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3"/>
          <w:footerReference w:type="even" r:id="rId53"/>
          <w:headerReference w:type="first" r:id="rId15"/>
          <w:footerReference w:type="default" r:id="rId53"/>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6 \h ">
        <w:r>
          <w:t>37</w:t>
        </w:r>
      </w:fldSimple>
    </w:p>
    <w:p>
      <w:pPr>
        <w:pStyle w:val="TDC2"/>
        <w:tabs>
          <w:tab w:pos="8755" w:val="right" w:leader="dot"/>
        </w:tabs>
        <w:spacing w:line="240" w:lineRule="auto" w:after="80"/>
        <w:jc w:val="left"/>
      </w:pPr>
      <w:r>
        <w:t>4.5 Métricas complementarias de detección</w:t>
        <w:tab/>
      </w:r>
      <w:fldSimple w:instr=" PAGEREF report_1069 \h ">
        <w:r>
          <w:t>39</w:t>
        </w:r>
      </w:fldSimple>
    </w:p>
    <w:p>
      <w:pPr>
        <w:pStyle w:val="TDC2"/>
        <w:tabs>
          <w:tab w:pos="8755" w:val="right" w:leader="dot"/>
        </w:tabs>
        <w:spacing w:line="240" w:lineRule="auto" w:after="80"/>
        <w:jc w:val="left"/>
      </w:pPr>
      <w:r>
        <w:t>4.6 Consideraciones de validez</w:t>
        <w:tab/>
      </w:r>
      <w:fldSimple w:instr=" PAGEREF report_1072 \h ">
        <w:r>
          <w:t>42</w:t>
        </w:r>
      </w:fldSimple>
    </w:p>
    <w:p>
      <w:pPr>
        <w:pStyle w:val="TDC2"/>
        <w:tabs>
          <w:tab w:pos="8755" w:val="right" w:leader="dot"/>
        </w:tabs>
        <w:spacing w:line="240" w:lineRule="auto" w:after="80"/>
        <w:jc w:val="left"/>
      </w:pPr>
      <w:r>
        <w:t>4.7 Distribución del tiempo de procesamiento</w:t>
        <w:tab/>
      </w:r>
      <w:fldSimple w:instr=" PAGEREF report_1073 \h ">
        <w:r>
          <w:t>44</w:t>
        </w:r>
      </w:fldSimple>
    </w:p>
    <w:p>
      <w:pPr>
        <w:pStyle w:val="TDC2"/>
        <w:tabs>
          <w:tab w:pos="8755" w:val="right" w:leader="dot"/>
        </w:tabs>
        <w:spacing w:line="240" w:lineRule="auto" w:after="80"/>
        <w:jc w:val="left"/>
      </w:pPr>
      <w:r>
        <w:t>4.8 Brillo de las imágenes y alcance del análisis de oclusión</w:t>
        <w:tab/>
      </w:r>
      <w:fldSimple w:instr=" PAGEREF report_1075 \h ">
        <w:r>
          <w:t>44</w:t>
        </w:r>
      </w:fldSimple>
    </w:p>
    <w:p>
      <w:pPr>
        <w:pStyle w:val="TDC2"/>
        <w:tabs>
          <w:tab w:pos="8755" w:val="right" w:leader="dot"/>
        </w:tabs>
        <w:spacing w:line="240" w:lineRule="auto" w:after="80"/>
        <w:jc w:val="left"/>
      </w:pPr>
      <w:r>
        <w:t>4.9 Correspondencia con las actividades de la propuesta</w:t>
        <w:tab/>
      </w:r>
      <w:fldSimple w:instr=" PAGEREF report_1077 \h ">
        <w:r>
          <w:t>46</w:t>
        </w:r>
      </w:fldSimple>
    </w:p>
    <w:p>
      <w:pPr>
        <w:pStyle w:val="TDC1"/>
        <w:tabs>
          <w:tab w:pos="8755" w:val="right" w:leader="dot"/>
        </w:tabs>
        <w:spacing w:line="240" w:lineRule="auto" w:after="80"/>
        <w:jc w:val="left"/>
      </w:pPr>
      <w:r>
        <w:t>5. Conclusiones</w:t>
        <w:tab/>
      </w:r>
      <w:fldSimple w:instr=" PAGEREF report_1079 \h ">
        <w:r>
          <w:t>49</w:t>
        </w:r>
      </w:fldSimple>
    </w:p>
    <w:p>
      <w:pPr>
        <w:pStyle w:val="TDC2"/>
        <w:tabs>
          <w:tab w:pos="8755" w:val="right" w:leader="dot"/>
        </w:tabs>
        <w:spacing w:line="240" w:lineRule="auto" w:after="80"/>
        <w:jc w:val="left"/>
      </w:pPr>
      <w:r>
        <w:t>5.1 Conclusiones</w:t>
        <w:tab/>
      </w:r>
      <w:fldSimple w:instr=" PAGEREF report_1080 \h ">
        <w:r>
          <w:t>49</w:t>
        </w:r>
      </w:fldSimple>
    </w:p>
    <w:p>
      <w:pPr>
        <w:pStyle w:val="TDC2"/>
        <w:tabs>
          <w:tab w:pos="8755" w:val="right" w:leader="dot"/>
        </w:tabs>
        <w:spacing w:line="240" w:lineRule="auto" w:after="80"/>
        <w:jc w:val="left"/>
      </w:pPr>
      <w:r>
        <w:t>5.2 Recomendaciones</w:t>
        <w:tab/>
      </w:r>
      <w:fldSimple w:instr=" PAGEREF report_1081 \h ">
        <w:r>
          <w:t>50</w:t>
        </w:r>
      </w:fldSimple>
    </w:p>
    <w:p>
      <w:pPr>
        <w:pStyle w:val="TDC2"/>
        <w:tabs>
          <w:tab w:pos="8755" w:val="right" w:leader="dot"/>
        </w:tabs>
        <w:spacing w:line="240" w:lineRule="auto" w:after="80"/>
        <w:jc w:val="left"/>
      </w:pPr>
      <w:r>
        <w:t>5.3 Trabajo futuro</w:t>
        <w:tab/>
      </w:r>
      <w:fldSimple w:instr=" PAGEREF report_1082 \h ">
        <w:r>
          <w:t>50</w:t>
        </w:r>
      </w:fldSimple>
    </w:p>
    <w:p>
      <w:pPr>
        <w:pStyle w:val="TDC1"/>
        <w:tabs>
          <w:tab w:pos="8755" w:val="right" w:leader="dot"/>
        </w:tabs>
        <w:spacing w:line="240" w:lineRule="auto" w:after="80"/>
        <w:jc w:val="left"/>
        <w:numPr>
          <w:numId w:val="0"/>
        </w:numPr>
      </w:pPr>
      <w:r>
        <w:t>Anexo A: Scripts de evaluación de modelos</w:t>
        <w:tab/>
      </w:r>
      <w:fldSimple w:instr=" PAGEREF report_1083 \h ">
        <w:r>
          <w:t>53</w:t>
        </w:r>
      </w:fldSimple>
    </w:p>
    <w:p>
      <w:pPr>
        <w:pStyle w:val="TDC1"/>
        <w:tabs>
          <w:tab w:pos="8755" w:val="right" w:leader="dot"/>
        </w:tabs>
        <w:spacing w:line="240" w:lineRule="auto" w:after="80"/>
        <w:jc w:val="left"/>
        <w:numPr>
          <w:numId w:val="0"/>
        </w:numPr>
      </w:pPr>
      <w:r>
        <w:t>Anexo B: Pruebas unitarias del prototipo</w:t>
        <w:tab/>
      </w:r>
      <w:fldSimple w:instr=" PAGEREF report_1084 \h ">
        <w:r>
          <w:t>55</w:t>
        </w:r>
      </w:fldSimple>
    </w:p>
    <w:p>
      <w:pPr>
        <w:pStyle w:val="TDC1"/>
        <w:tabs>
          <w:tab w:pos="8755" w:val="right" w:leader="dot"/>
        </w:tabs>
        <w:spacing w:line="240" w:lineRule="auto" w:after="80"/>
        <w:jc w:val="left"/>
        <w:numPr>
          <w:numId w:val="0"/>
        </w:numPr>
      </w:pPr>
      <w:r>
        <w:t>Anexo C: Manuales técnico y de usuario</w:t>
        <w:tab/>
      </w:r>
      <w:fldSimple w:instr=" PAGEREF report_1085 \h ">
        <w:r>
          <w:t>56</w:t>
        </w:r>
      </w:fldSimple>
    </w:p>
    <w:p>
      <w:pPr>
        <w:pStyle w:val="TDC1"/>
        <w:tabs>
          <w:tab w:pos="8755" w:val="right" w:leader="dot"/>
        </w:tabs>
        <w:spacing w:line="240" w:lineRule="auto" w:after="80"/>
        <w:jc w:val="left"/>
      </w:pPr>
      <w:r>
        <w:t>Bibliografía</w:t>
        <w:tab/>
      </w:r>
      <w:fldSimple w:instr=" PAGEREF report_1086 \h ">
        <w:r>
          <w:t>57</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Conteos visibles, correctos y falsos en los 33 grupos de captura.</w:t>
        <w:tab/>
      </w:r>
      <w:fldSimple w:instr=" PAGEREF report_1065 \h ">
        <w:r>
          <w:t>36</w:t>
        </w:r>
      </w:fldSimple>
    </w:p>
    <w:p>
      <w:pPr>
        <w:pStyle w:val="TDC1"/>
        <w:tabs>
          <w:tab w:pos="8755" w:val="right" w:leader="dot"/>
        </w:tabs>
        <w:spacing w:line="240" w:lineRule="auto" w:after="80"/>
        <w:jc w:val="left"/>
      </w:pPr>
      <w:r>
        <w:rPr>
          <w:b w:val="0"/>
        </w:rPr>
        <w:t>Figura 4.4. Recall por distancia estimada e intervalo bootstrap del 95 %.</w:t>
        <w:tab/>
      </w:r>
      <w:fldSimple w:instr=" PAGEREF report_1068 \h ">
        <w:r>
          <w:t>38</w:t>
        </w:r>
      </w:fldSimple>
    </w:p>
    <w:p>
      <w:pPr>
        <w:pStyle w:val="TDC1"/>
        <w:tabs>
          <w:tab w:pos="8755" w:val="right" w:leader="dot"/>
        </w:tabs>
        <w:spacing w:line="240" w:lineRule="auto" w:after="80"/>
        <w:jc w:val="left"/>
      </w:pPr>
      <w:r>
        <w:rPr>
          <w:b w:val="0"/>
        </w:rPr>
        <w:t>Figura 4.5. Precisión, recall y F1 del detector y de la lista de hasta dos objetos.</w:t>
        <w:tab/>
      </w:r>
      <w:fldSimple w:instr=" PAGEREF report_1071 \h ">
        <w:r>
          <w:t>41</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7 \h ">
        <w:r>
          <w:t>38</w:t>
        </w:r>
      </w:fldSimple>
    </w:p>
    <w:p>
      <w:pPr>
        <w:pStyle w:val="TDC1"/>
        <w:tabs>
          <w:tab w:pos="8755" w:val="right" w:leader="dot"/>
        </w:tabs>
        <w:spacing w:line="240" w:lineRule="auto" w:after="80"/>
        <w:jc w:val="left"/>
      </w:pPr>
      <w:r>
        <w:rPr>
          <w:b w:val="0"/>
        </w:rPr>
        <w:t>Tabla 4.7. Resultados por clase en el conjunto completo.</w:t>
        <w:tab/>
      </w:r>
      <w:fldSimple w:instr=" PAGEREF report_1070 \h ">
        <w:r>
          <w:t>40</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4 \h ">
        <w:r>
          <w:t>44</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6 \h ">
        <w:r>
          <w:t>45</w:t>
        </w:r>
      </w:fldSimple>
    </w:p>
    <w:p>
      <w:pPr>
        <w:pStyle w:val="TDC1"/>
        <w:tabs>
          <w:tab w:pos="8755" w:val="right" w:leader="dot"/>
        </w:tabs>
        <w:spacing w:line="240" w:lineRule="auto" w:after="80"/>
        <w:jc w:val="left"/>
      </w:pPr>
      <w:r>
        <w:rPr>
          <w:b w:val="0"/>
        </w:rPr>
        <w:t>Tabla 4.10. Evidencias y alcance de las actividades de la pasantía.</w:t>
        <w:tab/>
      </w:r>
      <w:fldSimple w:instr=" PAGEREF report_1078 \h ">
        <w:r>
          <w:t>46</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4"/>
          <w:footerReference w:type="even" r:id="rId54"/>
          <w:footerReference w:type="default" r:id="rId54"/>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[2].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[3],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[4], hasta detectores de una etapa orientados al tiempo real, como YOLO [5], SSD [6] y EfficientDet [7],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[8],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[34].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correspondencia entre actividades, evidencias y límites se sintetiza en la sección 4.9. La evaluación de la fase 3 cubre detección y procesamiento de imágenes; la iluminación se explora mediante brillo digital, sin mediciones de iluminancia, y la oclusión no cuenta con etiquetas específicas.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[9] y en el Plan de Gobierno Rectoral 2024-2028 [10].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5"/>
          <w:footerReference w:type="even" r:id="rId55"/>
          <w:headerReference w:type="even" r:id="rId16"/>
          <w:headerReference w:type="default" r:id="rId17"/>
          <w:headerReference w:type="first" r:id="rId18"/>
          <w:footerReference w:type="default" r:id="rId55"/>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[11].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[12]. El conjunto combina MS COCO con quince clases adicionales de interés para el entorno cotidiano, como puertas, ventanas, casilleros y señales, para un total de noventa y cinco clases [13].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Pawar estudió una aplicación Android basada en TensorFlow Object Detection API y SSD MobileNet, ajustada mediante transferencia de aprendizaje para reconocer ochenta categorías [14].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[15].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[8].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Los modelos de detección de objetos basados en redes neuronales profundas se clasifican en dos grandes categorías según su arquitectura [1].</w:t>
      </w:r>
    </w:p>
    <w:p>
      <w:pPr>
        <w:pStyle w:val="Normal"/>
        <w:widowControl/>
        <w:spacing w:line="360" w:lineRule="auto" w:after="330"/>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[4]. Ejemplos de esta arquitectura incluyen la familia R-CNN, específicamente Faster R-CNN y Mask R-CNN.</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[5], [6]. Una red convolucional extrae mapas de características espaciales y semánticas, sobre los cuales el modelo predice coordenadas y probabilidades de clase. YOLO prioriza la velocidad [5], SSD utiliza mapas multiescala y cajas predefinidas [6], y EfficientDet incorpora una fusión bidireccional de características y un escalamiento compuesto [7].</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la resolución de entrada, la representación numérica y las técnicas de compresión.</w:t>
      </w:r>
    </w:p>
    <w:p>
      <w:pPr>
        <w:pStyle w:val="Normal"/>
        <w:widowControl/>
        <w:spacing w:line="360" w:lineRule="auto" w:after="330"/>
        <w:jc w:val="both"/>
      </w:pPr>
      <w:r>
        <w:t xml:space="preserve">Howard et al. propusieron MobileNets como una familia de redes para visión móvil basada en convoluciones separables en profundidad [16].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[17].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estudió la ejecución de detectores en dispositivos de borde mediante TensorFlow Lite y la conversión de modelos Float32 a uint8 [18].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[19].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[19],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[6], [16], [17].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[7]. Sus variantes Lite fueron diseñadas para dispositivos móviles y </w:t>
      </w:r>
      <w:r>
        <w:rPr>
          <w:i/>
        </w:rPr>
        <w:t>edge</w:t>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[5]. Su ventaja principal es la velocidad,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[13]. También se revisó Open Images como fuente de categorías y anotaciones de gran escala [20].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[3], mientras ONNX Runtime y ExecuTorch representan alternativas para otros ecosistemas de despliegue [21], [22].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[23].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[13].</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penaliza ambas métricas por igual. Para el sistema propuesto, mAP50-95 indica la precisión geométrica de las detecciones [13].</w:t>
      </w:r>
    </w:p>
    <w:p>
      <w:pPr>
        <w:pStyle w:val="Normal"/>
        <w:widowControl/>
        <w:spacing w:line="360" w:lineRule="auto" w:after="330"/>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[1].</w:t>
      </w:r>
    </w:p>
    <w:p>
      <w:pPr>
        <w:pStyle w:val="Normal"/>
        <w:widowControl/>
        <w:spacing w:line="360" w:lineRule="auto" w:after="330"/>
        <w:jc w:val="both"/>
      </w:pPr>
      <w:r>
        <w:rPr>
          <w:i/>
        </w:rPr>
        <w:t>Recall</w:t>
      </w:r>
      <w:r>
        <w:t xml:space="preserve">, o exhaustividad, es la proporción de instancias anotadas visibles que el detector recupera: TP/(TP+FN).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A diferencia de la media aritmética, penaliza el desequilibrio entre ambas métricas, por lo que resulta útil como métrica única de exactitud global cuando se requiere un compromiso entre falsos positivos y falsos negativos [1].</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widowControl/>
        <w:spacing w:line="360" w:lineRule="auto" w:after="330"/>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w:t>
      </w:r>
      <w:r>
        <w:rPr>
          <w:i/>
        </w:rPr>
        <w:t>Benchmark</w:t>
      </w:r>
      <w:r>
        <w:t xml:space="preserve"> Tool [24].</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[24].</w:t>
      </w:r>
    </w:p>
    <w:p>
      <w:pPr>
        <w:pStyle w:val="Ttulo3"/>
      </w:pPr>
      <w:r>
        <w:t xml:space="preserve">2.2.2 Cuantización de modelos: Float32 y Float16</w:t>
      </w:r>
    </w:p>
    <w:p>
      <w:pPr>
        <w:pStyle w:val="Normal"/>
        <w:widowControl/>
        <w:spacing w:line="360" w:lineRule="auto" w:after="330"/>
        <w:jc w:val="both"/>
      </w:pPr>
      <w:r>
        <w:t>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[3].</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[3].</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[13].</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[24].</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[25].</w:t>
      </w:r>
    </w:p>
    <w:p>
      <w:pPr>
        <w:pStyle w:val="Normal"/>
        <w:widowControl/>
        <w:spacing w:line="360" w:lineRule="auto" w:after="330"/>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[26].</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[5], YOLO11n en variantes Float32 y Float16 [5], SSD MobileNetV1 [6] y EfficientDet-Lite2 [7].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[27], generando un total de 80 imágenes con 257 anotaciones en formato COCO JSON [13].</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[13].</w:t>
      </w:r>
    </w:p>
    <w:p>
      <w:pPr>
        <w:pStyle w:val="Normal"/>
        <w:widowControl/>
        <w:spacing w:line="360" w:lineRule="auto" w:after="330"/>
        <w:jc w:val="both"/>
      </w:pPr>
      <w:r>
        <w:t xml:space="preserve">Las métricas de precisión fueron calculadas mediante la librería pycocotools, que implementa el protocolo oficial de evaluación COCO [13].</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revela dos causas concretas del bajo rendimiento con GPU Delegate.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refleja el costo de compilar y cargar los </w:t>
      </w:r>
      <w:r>
        <w:rPr>
          <w:i/>
        </w:rPr>
        <w:t>kernels</w:t>
      </w:r>
      <w:r>
        <w:t xml:space="preserve"> OpenCL [28] en la GPU Adreno 610 [26].</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CameraX 1.6.1 gestiona la cámara y su ciclo de vida [29].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widowControl/>
        <w:spacing w:line="360" w:lineRule="auto" w:after="330"/>
        <w:jc w:val="both"/>
      </w:pPr>
      <w:r>
        <w:t>DetectionModule utiliza la API Interpreter del paquete LiteRT 1.4.2 y el archivo efficientdet-lite2-detection-metadata.tflite, cargado mediante un MappedByteBuffer [32].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0"/>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0"/>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[13]. No procede de un estudio de necesidades con usuarios ni establece una jerarquía clínica o de riesgo. La propuesta menciona puertas, sillas y escritorios como ejemplos [34];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[20],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AudioModule utiliza sherpa-onnx v1.13.6 para sintetizar voz local a partir de modelos VITS/Piper empaquetados con la aplicación [31].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w:t>
      </w:r>
      <w:r>
        <w:rPr>
          <w:i/>
        </w:rPr>
        <w:t>recall</w:t>
      </w:r>
      <w:r>
        <w:t xml:space="preserve"> por banda.</w:t>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La prueba t pareada por escena (lentes agrupadas) contrasta las posiciones dentro de cada grupo de captura; con gl = 32 el valor crítico a dos colas es t = 2,04 (α = 0,05).</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El boxplot de la Figura 4.2 resume la distribución de aciertos, pero no permite identificar en qué grupos cambia la ventaja. La Figura 4.3 desagrega las 33 escenas y coloca, en el mismo orden, las instancias visibles, las detecciones correctas y las predicciones falsas. Cada fila representa un grupo de seis capturas sucesivas; las columnas conservan el orden cabeza 1x, cabeza 0,5x, pecho 1x, pecho 0,5x, Gorillapod 1x y Gorillapod 0,5x. Los números son conteos y cada panel usa su propia escala de color, por lo que la intensidad no debe compararse entre paneles.</w:t>
      </w:r>
    </w:p>
    <w:p>
      <w:pPr>
        <w:keepNext/>
        <w:spacing w:line="240" w:lineRule="auto"/>
        <w:jc w:val="center"/>
      </w:pPr>
      <w:r>
        <w:drawing>
          <wp:inline>
            <wp:extent cx="5166360" cy="5608220"/>
            <wp:docPr id="50" name="Picture 50"/>
            <wp:cNvGraphicFramePr>
              <ns4:graphicFrameLocks noChangeAspect="1"/>
            </wp:cNvGraphicFramePr>
            <ns4:graphic>
              <ns4:graphicData uri="http://schemas.openxmlformats.org/drawingml/2006/picture">
                <ns5:pic>
                  <ns5:nvPicPr>
                    <ns5:cNvPr id="0" name="seleccion_escenas.png"/>
                    <ns5:cNvPicPr/>
                  </ns5:nvPicPr>
                  <ns5:blipFill>
                    <ns4:blip r:embed="rId50"/>
                    <ns4:stretch>
                      <ns4:fillRect/>
                    </ns4:stretch>
                  </ns5:blipFill>
                  <ns5:spPr>
                    <ns4:xfrm>
                      <ns4:off x="0" y="0"/>
                      <ns4:ext cx="5166360" cy="5608220"/>
                    </ns4:xfrm>
                    <ns4:prstGeom prst="rect"/>
                  </ns5:spPr>
                </ns5:pic>
              </ns4:graphicData>
            </ns4:graphic>
          </wp:inline>
        </w:drawing>
      </w:r>
    </w:p>
    <w:p>
      <w:bookmarkStart w:id="1065" w:name="report_1065"/>
      <w:pPr>
        <w:pStyle w:val="Descripcin"/>
        <w:keepNext/>
        <w:spacing w:line="240" w:lineRule="auto" w:after="160" w:before="160"/>
        <w:jc w:val="center"/>
      </w:pPr>
      <w:r>
        <w:rPr>
          <w:sz w:val="20"/>
        </w:rPr>
        <w:t>Figura 4.3. Conteos visibles, correctos y falsos en los 33 grupos de captura.</w:t>
      </w:r>
      <w:bookmarkEnd w:id="1065"/>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comparación por fila muestra por qué el mayor total no implica ganar en todas las escenas. En el grupo 12, Gorillapod 0,5x recupera nueve objetos correctos de diez visibles, frente a siete de diez de pecho 0,5x. En el grupo 23, Gorillapod 1x recupera seis de diez y Gorillapod 0,5x tres de once. El grupo 28 concentra numerosos objetos: cabeza 0,5x contiene 42 instancias y recupera once, mientras Gorillapod 0,5x contiene 36 y recupera diez. Estos ejemplos vinculan cobertura, dificultad y conteo; además, muestran la influencia de escenas densas sobre los totales. Las filas identifican grupos de captura, no objetos físicos seguidos entre vistas. La Tabla 4.5 cuantifica las diferencias pareadas y sus intervalos; el mapa de conteos aporta su contexto visual.</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6" w:name="report_1066"/>
      <w:pPr>
        <w:pStyle w:val="Ttulo2"/>
      </w:pPr>
      <w:r>
        <w:t>4.4 Escenario 3: rango de profundidad de detección</w:t>
      </w:r>
      <w:bookmarkEnd w:id="1066"/>
    </w:p>
    <w:p>
      <w:pPr>
        <w:widowControl/>
        <w:spacing w:line="360" w:lineRule="auto" w:after="330"/>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7" w:name="report_1067"/>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1" name="Picture 51"/>
            <wp:cNvGraphicFramePr>
              <ns4:graphicFrameLocks noChangeAspect="1"/>
            </wp:cNvGraphicFramePr>
            <ns4:graphic>
              <ns4:graphicData uri="http://schemas.openxmlformats.org/drawingml/2006/picture">
                <ns5:pic>
                  <ns5:nvPicPr>
                    <ns5:cNvPr id="0" name="depth_recall.png"/>
                    <ns5:cNvPicPr/>
                  </ns5:nvPicPr>
                  <ns5:blipFill>
                    <ns4:blip r:embed="rId51"/>
                    <ns4:stretch>
                      <ns4:fillRect/>
                    </ns4:stretch>
                  </ns5:blipFill>
                  <ns5:spPr>
                    <ns4:xfrm>
                      <ns4:off x="0" y="0"/>
                      <ns4:ext cx="5166360" cy="3321231"/>
                    </ns4:xfrm>
                    <ns4:prstGeom prst="rect"/>
                  </ns5:spPr>
                </ns5:pic>
              </ns4:graphicData>
            </ns4:graphic>
          </wp:inline>
        </w:drawing>
      </w:r>
    </w:p>
    <w:p>
      <w:bookmarkStart w:id="1068" w:name="report_1068"/>
      <w:pPr>
        <w:pStyle w:val="Descripcin"/>
        <w:keepNext/>
        <w:spacing w:line="240" w:lineRule="auto" w:after="160" w:before="160"/>
        <w:jc w:val="center"/>
      </w:pPr>
      <w:r>
        <w:rPr>
          <w:sz w:val="20"/>
        </w:rPr>
        <w:t xml:space="preserve">Figura 4.4. </w:t>
      </w:r>
      <w:r>
        <w:rPr>
          <w:i/>
          <w:sz w:val="20"/>
        </w:rPr>
        <w:t>Recall</w:t>
      </w:r>
      <w:r>
        <w:rPr>
          <w:sz w:val="20"/>
        </w:rPr>
        <w:t xml:space="preserve"> por distancia estimada e intervalo </w:t>
      </w:r>
      <w:r>
        <w:rPr>
          <w:i/>
          <w:sz w:val="20"/>
        </w:rPr>
        <w:t>bootstrap</w:t>
      </w:r>
      <w:r>
        <w:rPr>
          <w:sz w:val="20"/>
        </w:rPr>
        <w:t xml:space="preserve"> del 95 %.</w:t>
      </w:r>
      <w:bookmarkEnd w:id="1068"/>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9" w:name="report_1069"/>
      <w:pPr>
        <w:pStyle w:val="Ttulo2"/>
      </w:pPr>
      <w:r>
        <w:t>4.5 Métricas complementarias de detección</w:t>
      </w:r>
      <w:bookmarkEnd w:id="1069"/>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70" w:name="report_1070"/>
      <w:pPr>
        <w:pStyle w:val="Descripcin"/>
        <w:keepNext/>
        <w:spacing w:line="240" w:lineRule="auto" w:before="160" w:after="160"/>
        <w:jc w:val="center"/>
      </w:pPr>
      <w:r>
        <w:rPr>
          <w:sz w:val="20"/>
        </w:rPr>
        <w:t>Tabla 4.7. Resultados por clase en el conjunto completo.</w:t>
      </w:r>
      <w:bookmarkEnd w:id="107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4.5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2" name="Picture 52"/>
            <wp:cNvGraphicFramePr>
              <ns4:graphicFrameLocks noChangeAspect="1"/>
            </wp:cNvGraphicFramePr>
            <ns4:graphic>
              <ns4:graphicData uri="http://schemas.openxmlformats.org/drawingml/2006/picture">
                <ns5:pic>
                  <ns5:nvPicPr>
                    <ns5:cNvPr id="0" name="seleccion_metricas.png"/>
                    <ns5:cNvPicPr/>
                  </ns5:nvPicPr>
                  <ns5:blipFill>
                    <ns4:blip r:embed="rId52"/>
                    <ns4:stretch>
                      <ns4:fillRect/>
                    </ns4:stretch>
                  </ns5:blipFill>
                  <ns5:spPr>
                    <ns4:xfrm>
                      <ns4:off x="0" y="0"/>
                      <ns4:ext cx="5166360" cy="5608220"/>
                    </ns4:xfrm>
                    <ns4:prstGeom prst="rect"/>
                  </ns5:spPr>
                </ns5:pic>
              </ns4:graphicData>
            </ns4:graphic>
          </wp:inline>
        </w:drawing>
      </w:r>
    </w:p>
    <w:p>
      <w:bookmarkStart w:id="1071" w:name="report_1071"/>
      <w:pPr>
        <w:pStyle w:val="Descripcin"/>
        <w:keepNext/>
        <w:spacing w:line="240" w:lineRule="auto" w:after="160" w:before="160"/>
        <w:jc w:val="center"/>
      </w:pPr>
      <w:r>
        <w:rPr>
          <w:sz w:val="20"/>
        </w:rPr>
        <w:t xml:space="preserve">Figura 4.5. Precisión, </w:t>
      </w:r>
      <w:r>
        <w:rPr>
          <w:i/>
          <w:sz w:val="20"/>
        </w:rPr>
        <w:t>recall</w:t>
      </w:r>
      <w:r>
        <w:rPr>
          <w:sz w:val="20"/>
        </w:rPr>
        <w:t xml:space="preserve"> y F1 del detector y de la lista de hasta dos objetos.</w:t>
      </w:r>
      <w:bookmarkEnd w:id="1071"/>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4.5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4.5 utiliza un IoU fijo de 0,50, por lo que complementa ese resultado sin sustituirlo. El efecto de las imprecisiones de las cajas sobre la zona espacial anunciada requiere una evaluación específica.</w:t>
      </w:r>
    </w:p>
    <w:p>
      <w:bookmarkStart w:id="1072" w:name="report_1072"/>
      <w:pPr>
        <w:pStyle w:val="Ttulo2"/>
      </w:pPr>
      <w:r>
        <w:t>4.6 Consideraciones de validez</w:t>
      </w:r>
      <w:bookmarkEnd w:id="1072"/>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3" w:name="report_1073"/>
      <w:pPr>
        <w:pStyle w:val="Ttulo2"/>
      </w:pPr>
      <w:r>
        <w:t>4.7 Distribución del tiempo de procesamiento</w:t>
      </w:r>
      <w:bookmarkEnd w:id="1073"/>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w:t>
      </w:r>
    </w:p>
    <w:p>
      <w:bookmarkStart w:id="1074" w:name="report_1074"/>
      <w:pPr>
        <w:pStyle w:val="Descripcin"/>
        <w:keepNext/>
        <w:spacing w:line="240" w:lineRule="auto" w:before="160" w:after="160"/>
        <w:jc w:val="center"/>
      </w:pPr>
      <w:r>
        <w:rPr>
          <w:sz w:val="20"/>
        </w:rPr>
        <w:t>Tabla 4.8. Distribución de tiempos de reproducción en emulador en milisegundos.</w:t>
      </w:r>
      <w:bookmarkEnd w:id="107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5" w:name="report_1075"/>
      <w:pPr>
        <w:pStyle w:val="Ttulo2"/>
      </w:pPr>
      <w:r>
        <w:t>4.8 Brillo de las imágenes y alcance del análisis de oclusión</w:t>
      </w:r>
      <w:bookmarkEnd w:id="1075"/>
    </w:p>
    <w:p>
      <w:pPr>
        <w:widowControl/>
        <w:spacing w:line="360" w:lineRule="auto" w:after="330"/>
        <w:jc w:val="both"/>
      </w:pPr>
      <w:r>
        <w:t>La propuesta incluye iluminación y oclusión como condiciones de evaluación [34]. Las fotografías no tienen registros de lux ni etiquetas de oclusión. Como análisis posterior disponible, se calculó el brillo digital medio de cada JPEG a resolución original mediante la conversión RGB a escala de grises de ocho bits de Pillow [35].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6" w:name="report_1076"/>
      <w:pPr>
        <w:pStyle w:val="Descripcin"/>
        <w:keepNext/>
        <w:spacing w:line="240" w:lineRule="auto" w:before="160" w:after="160"/>
        <w:jc w:val="center"/>
      </w:pPr>
      <w:r>
        <w:rPr>
          <w:sz w:val="20"/>
        </w:rPr>
        <w:t>Tabla 4.9. Detección agrupada por brillo digital de las fotografías.</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widowControl/>
        <w:spacing w:line="360" w:lineRule="auto" w:after="330"/>
        <w:jc w:val="both"/>
      </w:pPr>
      <w:r>
        <w:t>La oclusión requiere una revisión adicional de las imágenes originales. Las cajas COCO disponibles no incluyen fracción visible, límites completos de objetos ocultos ni etiquetas de severidad. El área de una caja pequeña puede deberse a distancia, tamaño físico u oclusión, por lo que no se usa como sustituto de oclusión. Con las fotografías actuales se puede crear una anotación manual de ausencia, oclusión parcial y truncamiento por borde, con definiciones previas y revisión independiente, y después estratificar detección por clase y tamaño aparente. Esa anotación no se presenta como realizada. Las pruebas con iluminación controlada y distancias medidas requieren capturas nuevas.</w:t>
      </w:r>
    </w:p>
    <w:p>
      <w:bookmarkStart w:id="1077" w:name="report_1077"/>
      <w:pPr>
        <w:pStyle w:val="Ttulo2"/>
      </w:pPr>
      <w:r>
        <w:t>4.9 Correspondencia con las actividades de la propuesta</w:t>
      </w:r>
      <w:bookmarkEnd w:id="1077"/>
    </w:p>
    <w:p>
      <w:pPr>
        <w:widowControl/>
        <w:spacing w:line="360" w:lineRule="auto" w:after="330"/>
        <w:jc w:val="both"/>
      </w:pPr>
      <w:r>
        <w:t>La Tabla 4.10 relaciona las catorce actividades de las tres fases con los resultados del informe. «Documentada» indica evidencia del análisis o diseño; «implementada» indica disponibilidad técnica; «parcial» identifica componentes evaluados junto con criterios todavía pendientes. Ninguno de estos estados equivale a demostrar autonomía, seguridad de navegación o aceptación por usuarios.</w:t>
      </w:r>
    </w:p>
    <w:p>
      <w:bookmarkStart w:id="1078" w:name="report_1078"/>
      <w:pPr>
        <w:pStyle w:val="Descripcin"/>
        <w:keepNext/>
        <w:spacing w:line="240" w:lineRule="auto" w:before="160" w:after="160"/>
        <w:jc w:val="center"/>
      </w:pPr>
      <w:r>
        <w:rPr>
          <w:sz w:val="20"/>
        </w:rPr>
        <w:t>Tabla 4.10. Evidencias y alcance de las actividades de la pasantía.</w:t>
      </w:r>
      <w:bookmarkEnd w:id="1078"/>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t>Fase y actividad</w:t>
            </w:r>
          </w:p>
        </w:tc>
        <w:tc>
          <w:tcPr>
            <w:tcW w:type="dxa" w:w="3528"/>
            <w:vAlign w:val="center"/>
            <w:shd w:fill="EEEEEE"/>
          </w:tcPr>
          <w:p>
            <w:pPr>
              <w:keepNext/>
              <w:spacing w:line="240" w:lineRule="auto" w:after="60"/>
            </w:pPr>
            <w:r>
              <w:rPr>
                <w:rFonts w:ascii="Arial" w:hAnsi="Arial"/>
                <w:b/>
                <w:sz w:val="20"/>
              </w:rPr>
              <w:t>Evidencia</w:t>
            </w:r>
          </w:p>
        </w:tc>
        <w:tc>
          <w:tcPr>
            <w:tcW w:type="dxa" w:w="2203"/>
            <w:vAlign w:val="center"/>
            <w:shd w:fill="EEEEEE"/>
          </w:tcPr>
          <w:p>
            <w:pPr>
              <w:keepNext/>
              <w:spacing w:line="240" w:lineRule="auto" w:after="60"/>
            </w:pPr>
            <w:r>
              <w:rPr>
                <w:rFonts w:ascii="Arial" w:hAnsi="Arial"/>
                <w:b/>
                <w:sz w:val="20"/>
              </w:rPr>
              <w:t>Estado</w:t>
            </w:r>
          </w:p>
        </w:tc>
      </w:tr>
      <w:tr>
        <w:trPr>
          <w:cantSplit/>
        </w:trPr>
        <w:tc>
          <w:tcPr>
            <w:tcW w:type="dxa" w:w="3024"/>
            <w:vAlign w:val="center"/>
          </w:tcPr>
          <w:p>
            <w:pPr>
              <w:keepNext/>
              <w:spacing w:line="240" w:lineRule="auto" w:after="60"/>
            </w:pPr>
            <w:r>
              <w:rPr>
                <w:rFonts w:ascii="Arial" w:hAnsi="Arial"/>
                <w:b w:val="0"/>
                <w:sz w:val="20"/>
              </w:rPr>
              <w:t>1. Revisión teórica y problema</w:t>
            </w:r>
          </w:p>
        </w:tc>
        <w:tc>
          <w:tcPr>
            <w:tcW w:type="dxa" w:w="3528"/>
            <w:vAlign w:val="center"/>
          </w:tcPr>
          <w:p>
            <w:pPr>
              <w:keepNext/>
              <w:spacing w:line="240" w:lineRule="auto" w:after="60"/>
            </w:pPr>
            <w:r>
              <w:rPr>
                <w:rFonts w:ascii="Arial" w:hAnsi="Arial"/>
                <w:b w:val="0"/>
                <w:sz w:val="20"/>
              </w:rPr>
              <w:t>Capítulo 1 y antecedentes de la introducción.</w:t>
            </w:r>
          </w:p>
        </w:tc>
        <w:tc>
          <w:tcPr>
            <w:tcW w:type="dxa" w:w="2203"/>
            <w:vAlign w:val="center"/>
          </w:tcPr>
          <w:p>
            <w:pPr>
              <w:keepNext/>
              <w:spacing w:line="240" w:lineRule="auto" w:after="60"/>
            </w:pPr>
            <w:r>
              <w:rPr>
                <w:rFonts w:ascii="Arial" w:hAnsi="Arial"/>
                <w:b w:val="0"/>
                <w:sz w:val="20"/>
              </w:rPr>
              <w:t>Documentada</w:t>
            </w:r>
          </w:p>
        </w:tc>
      </w:tr>
      <w:tr>
        <w:trPr>
          <w:cantSplit/>
        </w:trPr>
        <w:tc>
          <w:tcPr>
            <w:tcW w:type="dxa" w:w="3024"/>
            <w:vAlign w:val="center"/>
          </w:tcPr>
          <w:p>
            <w:pPr>
              <w:keepNext/>
              <w:spacing w:line="240" w:lineRule="auto" w:after="60"/>
            </w:pPr>
            <w:r>
              <w:rPr>
                <w:rFonts w:ascii="Arial" w:hAnsi="Arial"/>
                <w:b w:val="0"/>
                <w:sz w:val="20"/>
              </w:rPr>
              <w:t>1. Requerimientos y diseño conceptual</w:t>
            </w:r>
          </w:p>
        </w:tc>
        <w:tc>
          <w:tcPr>
            <w:tcW w:type="dxa" w:w="3528"/>
            <w:vAlign w:val="center"/>
          </w:tcPr>
          <w:p>
            <w:pPr>
              <w:keepNext/>
              <w:spacing w:line="240" w:lineRule="auto" w:after="60"/>
            </w:pPr>
            <w:r>
              <w:rPr>
                <w:rFonts w:ascii="Arial" w:hAnsi="Arial"/>
                <w:b w:val="0"/>
                <w:sz w:val="20"/>
              </w:rPr>
              <w:t>Arquitectura, alcance y Tabla 3.4.</w:t>
            </w:r>
          </w:p>
        </w:tc>
        <w:tc>
          <w:tcPr>
            <w:tcW w:type="dxa" w:w="2203"/>
            <w:vAlign w:val="center"/>
          </w:tcPr>
          <w:p>
            <w:pPr>
              <w:keepNext/>
              <w:spacing w:line="240" w:lineRule="auto" w:after="60"/>
            </w:pPr>
            <w:r>
              <w:rPr>
                <w:rFonts w:ascii="Arial" w:hAnsi="Arial"/>
                <w:b w:val="0"/>
                <w:sz w:val="20"/>
              </w:rPr>
              <w:t>Documentada; sin consulta a usuarios</w:t>
            </w:r>
          </w:p>
        </w:tc>
      </w:tr>
      <w:tr>
        <w:trPr>
          <w:cantSplit/>
        </w:trPr>
        <w:tc>
          <w:tcPr>
            <w:tcW w:type="dxa" w:w="3024"/>
            <w:vAlign w:val="center"/>
          </w:tcPr>
          <w:p>
            <w:pPr>
              <w:keepNext/>
              <w:spacing w:line="240" w:lineRule="auto" w:after="60"/>
            </w:pPr>
            <w:r>
              <w:rPr>
                <w:rFonts w:ascii="Arial" w:hAnsi="Arial"/>
                <w:b w:val="0"/>
                <w:sz w:val="20"/>
              </w:rPr>
              <w:t>1. Selección y evaluación DNN</w:t>
            </w:r>
          </w:p>
        </w:tc>
        <w:tc>
          <w:tcPr>
            <w:tcW w:type="dxa" w:w="3528"/>
            <w:vAlign w:val="center"/>
          </w:tcPr>
          <w:p>
            <w:pPr>
              <w:keepNext/>
              <w:spacing w:line="240" w:lineRule="auto" w:after="60"/>
            </w:pPr>
            <w:r>
              <w:rPr>
                <w:rFonts w:ascii="Arial" w:hAnsi="Arial"/>
                <w:b w:val="0"/>
                <w:sz w:val="20"/>
              </w:rPr>
              <w:t>Seis configuraciones, 80 imágenes, benchmark en Redmi; capítulo 2.</w:t>
            </w:r>
          </w:p>
        </w:tc>
        <w:tc>
          <w:tcPr>
            <w:tcW w:type="dxa" w:w="2203"/>
            <w:vAlign w:val="center"/>
          </w:tcPr>
          <w:p>
            <w:pPr>
              <w:keepNext/>
              <w:spacing w:line="240" w:lineRule="auto" w:after="60"/>
            </w:pPr>
            <w:r>
              <w:rPr>
                <w:rFonts w:ascii="Arial" w:hAnsi="Arial"/>
                <w:b w:val="0"/>
                <w:sz w:val="20"/>
              </w:rPr>
              <w:t>Evaluada en el entorno descrito</w:t>
            </w:r>
          </w:p>
        </w:tc>
      </w:tr>
      <w:tr>
        <w:trPr>
          <w:cantSplit/>
        </w:trPr>
        <w:tc>
          <w:tcPr>
            <w:tcW w:type="dxa" w:w="3024"/>
            <w:vAlign w:val="center"/>
          </w:tcPr>
          <w:p>
            <w:pPr>
              <w:keepNext/>
              <w:spacing w:line="240" w:lineRule="auto" w:after="60"/>
            </w:pPr>
            <w:r>
              <w:rPr>
                <w:rFonts w:ascii="Arial" w:hAnsi="Arial"/>
                <w:b w:val="0"/>
                <w:sz w:val="20"/>
              </w:rPr>
              <w:t>1. Objetos prioritarios</w:t>
            </w:r>
          </w:p>
        </w:tc>
        <w:tc>
          <w:tcPr>
            <w:tcW w:type="dxa" w:w="3528"/>
            <w:vAlign w:val="center"/>
          </w:tcPr>
          <w:p>
            <w:pPr>
              <w:keepNext/>
              <w:spacing w:line="240" w:lineRule="auto" w:after="60"/>
            </w:pPr>
            <w:r>
              <w:rPr>
                <w:rFonts w:ascii="Arial" w:hAnsi="Arial"/>
                <w:b w:val="0"/>
                <w:sz w:val="20"/>
              </w:rPr>
              <w:t>Diez clases COCO, Tabla 3.1 y sección 3.7.</w:t>
            </w:r>
          </w:p>
        </w:tc>
        <w:tc>
          <w:tcPr>
            <w:tcW w:type="dxa" w:w="2203"/>
            <w:vAlign w:val="center"/>
          </w:tcPr>
          <w:p>
            <w:pPr>
              <w:keepNext/>
              <w:spacing w:line="240" w:lineRule="auto" w:after="60"/>
            </w:pPr>
            <w:r>
              <w:rPr>
                <w:rFonts w:ascii="Arial" w:hAnsi="Arial"/>
                <w:b w:val="0"/>
                <w:sz w:val="20"/>
              </w:rPr>
              <w:t>Parcial; sin puertas ni validación de prioridades</w:t>
            </w:r>
          </w:p>
        </w:tc>
      </w:tr>
      <w:tr>
        <w:trPr>
          <w:cantSplit/>
        </w:trPr>
        <w:tc>
          <w:tcPr>
            <w:tcW w:type="dxa" w:w="3024"/>
            <w:vAlign w:val="center"/>
          </w:tcPr>
          <w:p>
            <w:pPr>
              <w:keepNext/>
              <w:spacing w:line="240" w:lineRule="auto" w:after="60"/>
            </w:pPr>
            <w:r>
              <w:rPr>
                <w:rFonts w:ascii="Arial" w:hAnsi="Arial"/>
                <w:b w:val="0"/>
                <w:sz w:val="20"/>
              </w:rPr>
              <w:t>1. Diseño de descriptores</w:t>
            </w:r>
          </w:p>
        </w:tc>
        <w:tc>
          <w:tcPr>
            <w:tcW w:type="dxa" w:w="3528"/>
            <w:vAlign w:val="center"/>
          </w:tcPr>
          <w:p>
            <w:pPr>
              <w:keepNext/>
              <w:spacing w:line="240" w:lineRule="auto" w:after="60"/>
            </w:pPr>
            <w:r>
              <w:rPr>
                <w:rFonts w:ascii="Arial" w:hAnsi="Arial"/>
                <w:b w:val="0"/>
                <w:sz w:val="20"/>
              </w:rPr>
              <w:t>Seis zonas y composición textual, secciones 3.6 y 3.8.</w:t>
            </w:r>
          </w:p>
        </w:tc>
        <w:tc>
          <w:tcPr>
            <w:tcW w:type="dxa" w:w="2203"/>
            <w:vAlign w:val="center"/>
          </w:tcPr>
          <w:p>
            <w:pPr>
              <w:keepNext/>
              <w:spacing w:line="240" w:lineRule="auto" w:after="60"/>
            </w:pPr>
            <w:r>
              <w:rPr>
                <w:rFonts w:ascii="Arial" w:hAnsi="Arial"/>
                <w:b w:val="0"/>
                <w:sz w:val="20"/>
              </w:rPr>
              <w:t>Documentada; comprensión pendiente</w:t>
            </w:r>
          </w:p>
        </w:tc>
      </w:tr>
      <w:tr>
        <w:trPr>
          <w:cantSplit/>
        </w:trPr>
        <w:tc>
          <w:tcPr>
            <w:tcW w:type="dxa" w:w="3024"/>
            <w:vAlign w:val="center"/>
          </w:tcPr>
          <w:p>
            <w:pPr>
              <w:keepNext/>
              <w:spacing w:line="240" w:lineRule="auto" w:after="60"/>
            </w:pPr>
            <w:r>
              <w:rPr>
                <w:rFonts w:ascii="Arial" w:hAnsi="Arial"/>
                <w:b w:val="0"/>
                <w:sz w:val="20"/>
              </w:rPr>
              <w:t>2. Sistema integrado y posición</w:t>
            </w:r>
          </w:p>
        </w:tc>
        <w:tc>
          <w:tcPr>
            <w:tcW w:type="dxa" w:w="3528"/>
            <w:vAlign w:val="center"/>
          </w:tcPr>
          <w:p>
            <w:pPr>
              <w:keepNext/>
              <w:spacing w:line="240" w:lineRule="auto" w:after="60"/>
            </w:pPr>
            <w:r>
              <w:rPr>
                <w:rFonts w:ascii="Arial" w:hAnsi="Arial"/>
                <w:b w:val="0"/>
                <w:sz w:val="20"/>
              </w:rPr>
              <w:t>Flujo modular y seis configuraciones, secciones 3.1 y 3.2.</w:t>
            </w:r>
          </w:p>
        </w:tc>
        <w:tc>
          <w:tcPr>
            <w:tcW w:type="dxa" w:w="2203"/>
            <w:vAlign w:val="center"/>
          </w:tcPr>
          <w:p>
            <w:pPr>
              <w:keepNext/>
              <w:spacing w:line="240" w:lineRule="auto" w:after="60"/>
            </w:pPr>
            <w:r>
              <w:rPr>
                <w:rFonts w:ascii="Arial" w:hAnsi="Arial"/>
                <w:b w:val="0"/>
                <w:sz w:val="20"/>
              </w:rPr>
              <w:t>Implementada; ergonomía pendiente</w:t>
            </w:r>
          </w:p>
        </w:tc>
      </w:tr>
      <w:tr>
        <w:trPr>
          <w:cantSplit/>
        </w:trPr>
        <w:tc>
          <w:tcPr>
            <w:tcW w:type="dxa" w:w="3024"/>
            <w:vAlign w:val="center"/>
          </w:tcPr>
          <w:p>
            <w:pPr>
              <w:keepNext/>
              <w:spacing w:line="240" w:lineRule="auto" w:after="60"/>
            </w:pPr>
            <w:r>
              <w:rPr>
                <w:rFonts w:ascii="Arial" w:hAnsi="Arial"/>
                <w:b w:val="0"/>
                <w:sz w:val="20"/>
              </w:rPr>
              <w:t>2. Interfaz de captura</w:t>
            </w:r>
          </w:p>
        </w:tc>
        <w:tc>
          <w:tcPr>
            <w:tcW w:type="dxa" w:w="3528"/>
            <w:vAlign w:val="center"/>
          </w:tcPr>
          <w:p>
            <w:pPr>
              <w:keepNext/>
              <w:spacing w:line="240" w:lineRule="auto" w:after="60"/>
            </w:pPr>
            <w:r>
              <w:rPr>
                <w:rFonts w:ascii="Arial" w:hAnsi="Arial"/>
                <w:b w:val="0"/>
                <w:sz w:val="20"/>
              </w:rPr>
              <w:t>CameraX, captura manual y estados, secciones 3.3 y 3.11.</w:t>
            </w:r>
          </w:p>
        </w:tc>
        <w:tc>
          <w:tcPr>
            <w:tcW w:type="dxa" w:w="2203"/>
            <w:vAlign w:val="center"/>
          </w:tcPr>
          <w:p>
            <w:pPr>
              <w:keepNext/>
              <w:spacing w:line="240" w:lineRule="auto" w:after="60"/>
            </w:pPr>
            <w:r>
              <w:rPr>
                <w:rFonts w:ascii="Arial" w:hAnsi="Arial"/>
                <w:b w:val="0"/>
                <w:sz w:val="20"/>
              </w:rPr>
              <w:t>Implementada</w:t>
            </w:r>
          </w:p>
        </w:tc>
      </w:tr>
      <w:tr>
        <w:trPr>
          <w:cantSplit/>
        </w:trPr>
        <w:tc>
          <w:tcPr>
            <w:tcW w:type="dxa" w:w="3024"/>
            <w:vAlign w:val="center"/>
          </w:tcPr>
          <w:p>
            <w:pPr>
              <w:keepNext/>
              <w:spacing w:line="240" w:lineRule="auto" w:after="60"/>
            </w:pPr>
            <w:r>
              <w:rPr>
                <w:rFonts w:ascii="Arial" w:hAnsi="Arial"/>
                <w:b w:val="0"/>
                <w:sz w:val="20"/>
              </w:rPr>
              <w:t>2. Adaptación e integración DNN</w:t>
            </w:r>
          </w:p>
        </w:tc>
        <w:tc>
          <w:tcPr>
            <w:tcW w:type="dxa" w:w="3528"/>
            <w:vAlign w:val="center"/>
          </w:tcPr>
          <w:p>
            <w:pPr>
              <w:keepNext/>
              <w:spacing w:line="240" w:lineRule="auto" w:after="60"/>
            </w:pPr>
            <w:r>
              <w:rPr>
                <w:rFonts w:ascii="Arial" w:hAnsi="Arial"/>
                <w:b w:val="0"/>
                <w:sz w:val="20"/>
              </w:rPr>
              <w:t>Modelo TFLite, letterbox y coordenadas, secciones 3.4 y 3.5.</w:t>
            </w:r>
          </w:p>
        </w:tc>
        <w:tc>
          <w:tcPr>
            <w:tcW w:type="dxa" w:w="2203"/>
            <w:vAlign w:val="center"/>
          </w:tcPr>
          <w:p>
            <w:pPr>
              <w:keepNext/>
              <w:spacing w:line="240" w:lineRule="auto" w:after="60"/>
            </w:pPr>
            <w:r>
              <w:rPr>
                <w:rFonts w:ascii="Arial" w:hAnsi="Arial"/>
                <w:b w:val="0"/>
                <w:sz w:val="20"/>
              </w:rPr>
              <w:t>Implementada; sin entrenamiento nuevo</w:t>
            </w:r>
          </w:p>
        </w:tc>
      </w:tr>
      <w:tr>
        <w:trPr>
          <w:cantSplit/>
        </w:trPr>
        <w:tc>
          <w:tcPr>
            <w:tcW w:type="dxa" w:w="3024"/>
            <w:vAlign w:val="center"/>
          </w:tcPr>
          <w:p>
            <w:pPr>
              <w:keepNext/>
              <w:spacing w:line="240" w:lineRule="auto" w:after="60"/>
            </w:pPr>
            <w:r>
              <w:rPr>
                <w:rFonts w:ascii="Arial" w:hAnsi="Arial"/>
                <w:b w:val="0"/>
                <w:sz w:val="20"/>
              </w:rPr>
              <w:t>2. Módulo de audio</w:t>
            </w:r>
          </w:p>
        </w:tc>
        <w:tc>
          <w:tcPr>
            <w:tcW w:type="dxa" w:w="3528"/>
            <w:vAlign w:val="center"/>
          </w:tcPr>
          <w:p>
            <w:pPr>
              <w:keepNext/>
              <w:spacing w:line="240" w:lineRule="auto" w:after="60"/>
            </w:pPr>
            <w:r>
              <w:rPr>
                <w:rFonts w:ascii="Arial" w:hAnsi="Arial"/>
                <w:b w:val="0"/>
                <w:sz w:val="20"/>
              </w:rPr>
              <w:t>Síntesis local y formato de mensajes, sección 3.8.</w:t>
            </w:r>
          </w:p>
        </w:tc>
        <w:tc>
          <w:tcPr>
            <w:tcW w:type="dxa" w:w="2203"/>
            <w:vAlign w:val="center"/>
          </w:tcPr>
          <w:p>
            <w:pPr>
              <w:keepNext/>
              <w:spacing w:line="240" w:lineRule="auto" w:after="60"/>
            </w:pPr>
            <w:r>
              <w:rPr>
                <w:rFonts w:ascii="Arial" w:hAnsi="Arial"/>
                <w:b w:val="0"/>
                <w:sz w:val="20"/>
              </w:rPr>
              <w:t>Implementada; claridad no evaluada</w:t>
            </w:r>
          </w:p>
        </w:tc>
      </w:tr>
      <w:tr>
        <w:trPr>
          <w:cantSplit/>
        </w:trPr>
        <w:tc>
          <w:tcPr>
            <w:tcW w:type="dxa" w:w="3024"/>
            <w:vAlign w:val="center"/>
          </w:tcPr>
          <w:p>
            <w:pPr>
              <w:keepNext/>
              <w:spacing w:line="240" w:lineRule="auto" w:after="60"/>
            </w:pPr>
            <w:r>
              <w:rPr>
                <w:rFonts w:ascii="Arial" w:hAnsi="Arial"/>
                <w:b w:val="0"/>
                <w:sz w:val="20"/>
              </w:rPr>
              <w:t>2. Prototipo móvil</w:t>
            </w:r>
          </w:p>
        </w:tc>
        <w:tc>
          <w:tcPr>
            <w:tcW w:type="dxa" w:w="3528"/>
            <w:vAlign w:val="center"/>
          </w:tcPr>
          <w:p>
            <w:pPr>
              <w:keepNext/>
              <w:spacing w:line="240" w:lineRule="auto" w:after="60"/>
            </w:pPr>
            <w:r>
              <w:rPr>
                <w:rFonts w:ascii="Arial" w:hAnsi="Arial"/>
                <w:b w:val="0"/>
                <w:sz w:val="20"/>
              </w:rPr>
              <w:t>Integración Android y pruebas, sección 3.12 y anexo B.</w:t>
            </w:r>
          </w:p>
        </w:tc>
        <w:tc>
          <w:tcPr>
            <w:tcW w:type="dxa" w:w="2203"/>
            <w:vAlign w:val="center"/>
          </w:tcPr>
          <w:p>
            <w:pPr>
              <w:keepNext/>
              <w:spacing w:line="240" w:lineRule="auto" w:after="60"/>
            </w:pPr>
            <w:r>
              <w:rPr>
                <w:rFonts w:ascii="Arial" w:hAnsi="Arial"/>
                <w:b w:val="0"/>
                <w:sz w:val="20"/>
              </w:rPr>
              <w:t>Implementada; no validada con usuarios</w:t>
            </w:r>
          </w:p>
        </w:tc>
      </w:tr>
      <w:tr>
        <w:trPr>
          <w:cantSplit/>
        </w:trPr>
        <w:tc>
          <w:tcPr>
            <w:tcW w:type="dxa" w:w="3024"/>
            <w:vAlign w:val="center"/>
          </w:tcPr>
          <w:p>
            <w:pPr>
              <w:keepNext/>
              <w:spacing w:line="240" w:lineRule="auto" w:after="60"/>
            </w:pPr>
            <w:r>
              <w:rPr>
                <w:rFonts w:ascii="Arial" w:hAnsi="Arial"/>
                <w:b w:val="0"/>
                <w:sz w:val="20"/>
              </w:rPr>
              <w:t>3. Posicionamiento del dispositivo</w:t>
            </w:r>
          </w:p>
        </w:tc>
        <w:tc>
          <w:tcPr>
            <w:tcW w:type="dxa" w:w="3528"/>
            <w:vAlign w:val="center"/>
          </w:tcPr>
          <w:p>
            <w:pPr>
              <w:keepNext/>
              <w:spacing w:line="240" w:lineRule="auto" w:after="60"/>
            </w:pPr>
            <w:r>
              <w:rPr>
                <w:rFonts w:ascii="Arial" w:hAnsi="Arial"/>
                <w:b w:val="0"/>
                <w:sz w:val="20"/>
              </w:rPr>
              <w:t>33 grupos y seis configuraciones, secciones 4.2 y 4.3.</w:t>
            </w:r>
          </w:p>
        </w:tc>
        <w:tc>
          <w:tcPr>
            <w:tcW w:type="dxa" w:w="2203"/>
            <w:vAlign w:val="center"/>
          </w:tcPr>
          <w:p>
            <w:pPr>
              <w:keepNext/>
              <w:spacing w:line="240" w:lineRule="auto" w:after="60"/>
            </w:pPr>
            <w:r>
              <w:rPr>
                <w:rFonts w:ascii="Arial" w:hAnsi="Arial"/>
                <w:b w:val="0"/>
                <w:sz w:val="20"/>
              </w:rPr>
              <w:t>Parcial; sin estabilidad ni comodidad</w:t>
            </w:r>
          </w:p>
        </w:tc>
      </w:tr>
      <w:tr>
        <w:trPr>
          <w:cantSplit/>
        </w:trPr>
        <w:tc>
          <w:tcPr>
            <w:tcW w:type="dxa" w:w="3024"/>
            <w:vAlign w:val="center"/>
          </w:tcPr>
          <w:p>
            <w:pPr>
              <w:keepNext/>
              <w:spacing w:line="240" w:lineRule="auto" w:after="60"/>
            </w:pPr>
            <w:r>
              <w:rPr>
                <w:rFonts w:ascii="Arial" w:hAnsi="Arial"/>
                <w:b w:val="0"/>
                <w:sz w:val="20"/>
              </w:rPr>
              <w:t>3. Escenarios según objetos</w:t>
            </w:r>
          </w:p>
        </w:tc>
        <w:tc>
          <w:tcPr>
            <w:tcW w:type="dxa" w:w="3528"/>
            <w:vAlign w:val="center"/>
          </w:tcPr>
          <w:p>
            <w:pPr>
              <w:keepNext/>
              <w:spacing w:line="240" w:lineRule="auto" w:after="60"/>
            </w:pPr>
            <w:r>
              <w:rPr>
                <w:rFonts w:ascii="Arial" w:hAnsi="Arial"/>
                <w:b w:val="0"/>
                <w:sz w:val="20"/>
              </w:rPr>
              <w:t>198 fotografías, 889 instancias y diez clases, secciones 4.1 y 4.5.</w:t>
            </w:r>
          </w:p>
        </w:tc>
        <w:tc>
          <w:tcPr>
            <w:tcW w:type="dxa" w:w="2203"/>
            <w:vAlign w:val="center"/>
          </w:tcPr>
          <w:p>
            <w:pPr>
              <w:keepNext/>
              <w:spacing w:line="240" w:lineRule="auto" w:after="60"/>
            </w:pPr>
            <w:r>
              <w:rPr>
                <w:rFonts w:ascii="Arial" w:hAnsi="Arial"/>
                <w:b w:val="0"/>
                <w:sz w:val="20"/>
              </w:rPr>
              <w:t>Documentada; predominan sillas</w:t>
            </w:r>
          </w:p>
        </w:tc>
      </w:tr>
      <w:tr>
        <w:trPr>
          <w:cantSplit/>
        </w:trPr>
        <w:tc>
          <w:tcPr>
            <w:tcW w:type="dxa" w:w="3024"/>
            <w:vAlign w:val="center"/>
          </w:tcPr>
          <w:p>
            <w:pPr>
              <w:keepNext/>
              <w:spacing w:line="240" w:lineRule="auto" w:after="60"/>
            </w:pPr>
            <w:r>
              <w:rPr>
                <w:rFonts w:ascii="Arial" w:hAnsi="Arial"/>
                <w:b w:val="0"/>
                <w:sz w:val="20"/>
              </w:rPr>
              <w:t>3. Oclusión, iluminación y respuesta</w:t>
            </w:r>
          </w:p>
        </w:tc>
        <w:tc>
          <w:tcPr>
            <w:tcW w:type="dxa" w:w="3528"/>
            <w:vAlign w:val="center"/>
          </w:tcPr>
          <w:p>
            <w:pPr>
              <w:keepNext/>
              <w:spacing w:line="240" w:lineRule="auto" w:after="60"/>
            </w:pPr>
            <w:r>
              <w:rPr>
                <w:rFonts w:ascii="Arial" w:hAnsi="Arial"/>
                <w:b w:val="0"/>
                <w:sz w:val="20"/>
              </w:rPr>
              <w:t>Métricas, tiempos y brillo, secciones 4.5, 4.7 y 4.8.</w:t>
            </w:r>
          </w:p>
        </w:tc>
        <w:tc>
          <w:tcPr>
            <w:tcW w:type="dxa" w:w="2203"/>
            <w:vAlign w:val="center"/>
          </w:tcPr>
          <w:p>
            <w:pPr>
              <w:keepNext/>
              <w:spacing w:line="240" w:lineRule="auto" w:after="60"/>
            </w:pPr>
            <w:r>
              <w:rPr>
                <w:rFonts w:ascii="Arial" w:hAnsi="Arial"/>
                <w:b w:val="0"/>
                <w:sz w:val="20"/>
              </w:rPr>
              <w:t>Parcial; faltan oclusión, lux y latencia con voz</w:t>
            </w:r>
          </w:p>
        </w:tc>
      </w:tr>
      <w:tr>
        <w:trPr>
          <w:cantSplit/>
        </w:trPr>
        <w:tc>
          <w:tcPr>
            <w:tcW w:type="dxa" w:w="3024"/>
            <w:vAlign w:val="center"/>
          </w:tcPr>
          <w:p>
            <w:pPr>
              <w:keepNext w:val="0"/>
              <w:spacing w:line="240" w:lineRule="auto" w:after="60"/>
            </w:pPr>
            <w:r>
              <w:rPr>
                <w:rFonts w:ascii="Arial" w:hAnsi="Arial"/>
                <w:b w:val="0"/>
                <w:sz w:val="20"/>
              </w:rPr>
              <w:t>3. Informe y recomendaciones</w:t>
            </w:r>
          </w:p>
        </w:tc>
        <w:tc>
          <w:tcPr>
            <w:tcW w:type="dxa" w:w="3528"/>
            <w:vAlign w:val="center"/>
          </w:tcPr>
          <w:p>
            <w:pPr>
              <w:keepNext w:val="0"/>
              <w:spacing w:line="240" w:lineRule="auto" w:after="60"/>
            </w:pPr>
            <w:r>
              <w:rPr>
                <w:rFonts w:ascii="Arial" w:hAnsi="Arial"/>
                <w:b w:val="0"/>
                <w:sz w:val="20"/>
              </w:rPr>
              <w:t>Resultados, límites, conclusiones y trabajo futuro.</w:t>
            </w:r>
          </w:p>
        </w:tc>
        <w:tc>
          <w:tcPr>
            <w:tcW w:type="dxa" w:w="2203"/>
            <w:vAlign w:val="center"/>
          </w:tcPr>
          <w:p>
            <w:pPr>
              <w:keepNext w:val="0"/>
              <w:spacing w:line="240" w:lineRule="auto" w:after="60"/>
            </w:pPr>
            <w:r>
              <w:rPr>
                <w:rFonts w:ascii="Arial" w:hAnsi="Arial"/>
                <w:b w:val="0"/>
                <w:sz w:val="20"/>
              </w:rPr>
              <w:t>Documentada; cierre institucional pendiente</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El primer objetivo específico cuenta con comparación experimental y selección explícita; el segundo, con un prototipo integrado y verificación técnica. El tercero dispone de resultados de detección y tiempos de procesamiento parciales, pero no de claridad auditiva ni de ensayos controlados de oclusión e iluminación. En consecuencia, el informe sustenta desarrollo y evaluación técnica parcial; el cierre de la evaluación con usuarios debe mantenerse como una actividad pendiente, en correspondencia con el objetivo original.</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9" w:name="report_1079"/>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9"/>
    </w:p>
    <w:p>
      <w:bookmarkStart w:id="1080" w:name="report_1080"/>
      <w:pPr>
        <w:pStyle w:val="Ttulo2"/>
      </w:pPr>
      <w:r>
        <w:t xml:space="preserve">5.1 Conclusiones</w:t>
      </w:r>
      <w:bookmarkEnd w:id="1080"/>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La elección por cantidad favorece provisionalmente Gorillapod 0,5x, mientras la elección por equilibrio precisión-</w:t>
      </w:r>
      <w:r>
        <w:rPr>
          <w:i/>
        </w:rPr>
        <w:t>recall</w:t>
      </w:r>
      <w:r>
        <w:t xml:space="preserve"> favorece pecho 1x. Las comparaciones no establecen un ganador universal y deben confirmarse en escenas nuevas.</w:t>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permanece parcial para claridad auditiva, oclusión,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81" w:name="report_1081"/>
      <w:pPr>
        <w:pStyle w:val="Ttulo2"/>
      </w:pPr>
      <w:r>
        <w:t xml:space="preserve">5.2 Recomendaciones</w:t>
      </w:r>
      <w:bookmarkEnd w:id="1081"/>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2" w:name="report_1082"/>
      <w:pPr>
        <w:pStyle w:val="Ttulo2"/>
      </w:pPr>
      <w:r>
        <w:t xml:space="preserve">5.3 Trabajo futuro</w:t>
      </w:r>
      <w:bookmarkEnd w:id="1082"/>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La ausencia de un protocolo previo de oclusión, lux y escucha limita el cumplimiento de la fase 3.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3" w:name="report_1083"/>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3"/>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4" w:name="report_1084"/>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4"/>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5" w:name="report_1085"/>
      <w:pPr>
        <w:pStyle w:val="Subttulo"/>
        <w:pageBreakBefore/>
        <w:numPr>
          <w:numId w:val="0"/>
        </w:numPr>
      </w:pPr>
      <w:r>
        <w:t xml:space="preserve">Anexo C: Manuales técnico y de usuario</w:t>
      </w:r>
      <w:bookmarkEnd w:id="1085"/>
    </w:p>
    <w:p>
      <w:pPr>
        <w:pStyle w:val="Normal"/>
        <w:widowControl/>
        <w:spacing w:line="360" w:lineRule="auto" w:after="330"/>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6" w:name="report_1086"/>
      <w:pPr>
        <w:pStyle w:val="Ttulosposteriores"/>
        <w:pageBreakBefore/>
        <w:jc w:val="left"/>
      </w:pPr>
      <w:r w:rsidRPr="004F1FF8">
        <w:lastRenderedPageBreak/>
        <w:t>B</w:t>
      </w:r>
      <w:r w:rsidR="007D240C" w:rsidRPr="004F1FF8">
        <w:t>ibliografía</w:t>
      </w:r>
      <w:bookmarkEnd w:id="92"/>
      <w:bookmarkEnd w:id="93"/>
      <w:bookmarkEnd w:id="94"/>
      <w:bookmarkEnd w:id="95"/>
      <w:bookmarkEnd w:id="1086"/>
    </w:p>
    <w:p>
      <w:pPr>
        <w:pStyle w:val="Normal"/>
        <w:spacing w:line="360" w:lineRule="auto"/>
        <w:jc w:val="left"/>
        <w:ind w:left="720" w:hanging="720"/>
      </w:pPr>
      <w:r>
        <w:t xml:space="preserve">[1] R. Szeliski, “Computer Vision: Algorithms and Applications,” Springer-Verlag, Heidelberg, Berlin, 2010. [Online]. Available: https://dl.acm.org/doi/book/10.5555/1941882.</w:t>
      </w:r>
    </w:p>
    <w:p>
      <w:pPr>
        <w:pStyle w:val="Normal"/>
        <w:spacing w:line="360" w:lineRule="auto"/>
        <w:jc w:val="left"/>
        <w:ind w:left="720" w:hanging="720"/>
      </w:pPr>
      <w:r>
        <w:t xml:space="preserve">[2] World Health Organization, “World report on vision,” Geneva, Switzerland: World Health Organization, 2019. [Online]. Available: https://www.who.int/publications-detail/world-report-on-vision.</w:t>
      </w:r>
    </w:p>
    <w:p>
      <w:pPr>
        <w:pStyle w:val="Normal"/>
        <w:spacing w:line="360" w:lineRule="auto"/>
        <w:jc w:val="left"/>
        <w:ind w:left="720" w:hanging="720"/>
      </w:pPr>
      <w:r>
        <w:t xml:space="preserve">[3] TensorFlow, “TensorFlow Lite,” TensorFlow. [Online]. Available: https://www.tensorflow.org/lite/guide.</w:t>
      </w:r>
    </w:p>
    <w:p>
      <w:pPr>
        <w:pStyle w:val="Normal"/>
        <w:spacing w:line="360" w:lineRule="auto"/>
        <w:jc w:val="left"/>
        <w:ind w:left="720" w:hanging="720"/>
      </w:pPr>
      <w:r>
        <w:t xml:space="preserve">[4] S. Ren, K. He, R. Girshick, and J. Sun, “Faster R-CNN: Towards Real-Time Object Detection with Region Proposal Networks,” Jan. 06, 2016, arXiv:1506.01497. doi: 10.48550/arXiv.1506.01497.</w:t>
      </w:r>
    </w:p>
    <w:p>
      <w:pPr>
        <w:pStyle w:val="Normal"/>
        <w:spacing w:line="360" w:lineRule="auto"/>
        <w:jc w:val="left"/>
        <w:ind w:left="720" w:hanging="720"/>
      </w:pPr>
      <w:r>
        <w:t xml:space="preserve">[5] J. Redmon, S. Divvala, R. Girshick, and A. Farhadi, “You Only Look Once: Unified, Real-Time Object Detection,” in 2016 IEEE Conference on Computer Vision and Pattern Recognition (CVPR), Jun. 2016, pp. 779–788. doi: 10.1109/CVPR.2016.91.</w:t>
      </w:r>
    </w:p>
    <w:p>
      <w:pPr>
        <w:pStyle w:val="Normal"/>
        <w:spacing w:line="360" w:lineRule="auto"/>
        <w:jc w:val="left"/>
        <w:ind w:left="720" w:hanging="720"/>
      </w:pPr>
      <w:r>
        <w:t xml:space="preserve">[6] W. Liu et al., “SSD: Single Shot MultiBox Detector,” in Computer Vision – ECCV 2016, Cham: Springer International Publishing, 2016, pp. 21–37. doi: 10.1007/978-3-319-46448-0_2.</w:t>
      </w:r>
    </w:p>
    <w:p>
      <w:pPr>
        <w:pStyle w:val="Normal"/>
        <w:spacing w:line="360" w:lineRule="auto"/>
        <w:jc w:val="left"/>
        <w:ind w:left="720" w:hanging="720"/>
      </w:pPr>
      <w:r>
        <w:t xml:space="preserve">[7] M. Tan, R. Pang, and Q. V. Le, “EfficientDet: Scalable and Efficient Object Detection,” in 2020 IEEE/CVF Conference on Computer Vision and Pattern Recognition (CVPR), Jun. 2020, pp. 10781–10790. doi: 10.1109/CVPR42600.2020.01079.</w:t>
      </w:r>
    </w:p>
    <w:p>
      <w:pPr>
        <w:pStyle w:val="Normal"/>
        <w:spacing w:line="360" w:lineRule="auto"/>
        <w:jc w:val="left"/>
        <w:ind w:left="720" w:hanging="720"/>
      </w:pPr>
      <w:r>
        <w:t xml:space="preserve">[8] S. S. More, N. Patil, V. B. Lobo, N. Shet, D. Goswami, and P. Rane, “Empowering the Visually Impaired: YOLOv8-based Object Detection in Android Applications,” Procedia Computer Science, vol. 252, pp. 457–469, 2025. doi: 10.1016/j.procs.2025.01.054.</w:t>
      </w:r>
    </w:p>
    <w:p>
      <w:pPr>
        <w:pStyle w:val="Normal"/>
        <w:spacing w:line="360" w:lineRule="auto"/>
        <w:jc w:val="left"/>
        <w:ind w:left="720" w:hanging="720"/>
      </w:pPr>
      <w:r>
        <w:t xml:space="preserve">[9] Universidad del Magdalena, “Plan de Desarrollo UNIMAGDALENA Comprometida 2020–2030,” Santa Marta, Colombia, 2020.</w:t>
      </w:r>
    </w:p>
    <w:p>
      <w:pPr>
        <w:pStyle w:val="Normal"/>
        <w:spacing w:line="360" w:lineRule="auto"/>
        <w:jc w:val="left"/>
        <w:ind w:left="720" w:hanging="720"/>
      </w:pPr>
      <w:r>
        <w:t xml:space="preserve">[10] Universidad del Magdalena, “Plan de Gobierno Rectoral 2024–2028,” Santa Marta, Colombia, 2024.</w:t>
      </w:r>
    </w:p>
    <w:p>
      <w:pPr>
        <w:pStyle w:val="Normal"/>
        <w:spacing w:line="360" w:lineRule="auto"/>
        <w:jc w:val="left"/>
        <w:ind w:left="720" w:hanging="720"/>
      </w:pPr>
      <w:r>
        <w:t xml:space="preserve">[11] R. Meenakshi, R. Ponnusamy, S. Alghamdi, O. I. Khalaf, and Y. Alotaibi, “Development of Mobile App to Support the Mobility of Visually Impaired People,” Computers, Materials &amp; Continua, vol. 73, no. 2, pp. 3473–3495, 2022. doi: 10.32604/cmc.2022.028540.</w:t>
      </w:r>
    </w:p>
    <w:p>
      <w:pPr>
        <w:pStyle w:val="Normal"/>
        <w:spacing w:line="360" w:lineRule="auto"/>
        <w:jc w:val="left"/>
        <w:ind w:left="720" w:hanging="720"/>
      </w:pPr>
      <w:r>
        <w:t xml:space="preserve">[12] K. Guravaiah, Y. S. Bhavadeesha, P. Shwejana, A. H. Vardhan, and L. Saa, “Third Eye: Object Recognition and Speech Generation for Visually Impaired,” Procedia Computer Science, vol. 218, pp. 1144–1155, 2023. doi: 10.1016/j.procs.2023.01.093.</w:t>
      </w:r>
    </w:p>
    <w:p>
      <w:pPr>
        <w:pStyle w:val="Normal"/>
        <w:spacing w:line="360" w:lineRule="auto"/>
        <w:jc w:val="left"/>
        <w:ind w:left="720" w:hanging="720"/>
      </w:pPr>
      <w:r>
        <w:t xml:space="preserve">[13] T.-Y. Lin et al., “Microsoft COCO: Common Objects in Context,” in Computer Vision – ECCV 2014, Cham: Springer International Publishing, 2014, pp. 740–755. doi: 10.1007/978-3-319-10602-1_48.</w:t>
      </w:r>
    </w:p>
    <w:p>
      <w:pPr>
        <w:pStyle w:val="Normal"/>
        <w:spacing w:line="360" w:lineRule="auto"/>
        <w:jc w:val="left"/>
        <w:ind w:left="720" w:hanging="720"/>
      </w:pPr>
      <w:r>
        <w:t xml:space="preserve">[14] D. R. Pawar, “Deep Learning-Driven Assistive Technology for Blind Users: Real-Time Object Detection and Speech Feedback on Android,” 2025.</w:t>
      </w:r>
    </w:p>
    <w:p>
      <w:pPr>
        <w:pStyle w:val="Normal"/>
        <w:spacing w:line="360" w:lineRule="auto"/>
        <w:jc w:val="left"/>
        <w:ind w:left="720" w:hanging="720"/>
      </w:pPr>
      <w:r>
        <w:t xml:space="preserve">[15] J. Figura, R. Kuźmiczuk, and M. Badurowicz, “Analysis of object recognition systems using augmented reality glasses,” Journal of Computer Sciences Institute, vol. 34, pp. 8–13, 2025.</w:t>
      </w:r>
    </w:p>
    <w:p>
      <w:pPr>
        <w:pStyle w:val="Normal"/>
        <w:spacing w:line="360" w:lineRule="auto"/>
        <w:jc w:val="left"/>
        <w:ind w:left="720" w:hanging="720"/>
      </w:pPr>
      <w:r>
        <w:t xml:space="preserve">[16] A. G. Howard, M. Zhu, B. Chen, D. Kalenichenko, W. Wang, T. Weyand, M. Andreetto, and H. Adam, “MobileNets: Efficient Convolutional Neural Networks for Mobile Vision Applications,” arXiv:1704.04861, 2017.</w:t>
      </w:r>
    </w:p>
    <w:p>
      <w:pPr>
        <w:pStyle w:val="Normal"/>
        <w:spacing w:line="360" w:lineRule="auto"/>
        <w:jc w:val="left"/>
        <w:ind w:left="720" w:hanging="720"/>
      </w:pPr>
      <w:r>
        <w:t xml:space="preserve">[17] M. Sandler, A. Howard, M. Zhu, A. Zhmoginov, and L.-C. Chen, “MobileNetV2: Inverted Residuals and Linear Bottlenecks,” in 2018 IEEE/CVF Conference on Computer Vision and Pattern Recognition (CVPR), Jun. 2018, pp. 4510–4520. doi: 10.1109/CVPR.2018.00474.</w:t>
      </w:r>
    </w:p>
    <w:p>
      <w:pPr>
        <w:pStyle w:val="Normal"/>
        <w:spacing w:line="360" w:lineRule="auto"/>
        <w:jc w:val="left"/>
        <w:ind w:left="720" w:hanging="720"/>
      </w:pPr>
      <w:r>
        <w:t xml:space="preserve">[18] J. Dai, “Real-time and accurate object detection on edge device with TensorFlow Lite,” Journal of Physics: Conference Series, vol. 1651, no. 1, Art. no. 012114, 2020. doi: 10.1088/1742-6596/1651/1/012114.</w:t>
      </w:r>
    </w:p>
    <w:p>
      <w:pPr>
        <w:pStyle w:val="Normal"/>
        <w:spacing w:line="360" w:lineRule="auto"/>
        <w:jc w:val="left"/>
        <w:ind w:left="720" w:hanging="720"/>
      </w:pPr>
      <w:r>
        <w:t xml:space="preserve">[19] A. Magdy, M. S. Moustafa, H. M. Ebied, and M. F. Tolba, “Lightweight faster R-CNN for object detection in optical remote sensing images,” Scientific Reports, vol. 15, Art. no. 16163, 2025. doi: 10.1038/s41598-025-99242-y.</w:t>
      </w:r>
    </w:p>
    <w:p>
      <w:pPr>
        <w:pStyle w:val="Normal"/>
        <w:spacing w:line="360" w:lineRule="auto"/>
        <w:jc w:val="left"/>
        <w:ind w:left="720" w:hanging="720"/>
      </w:pPr>
      <w:r>
        <w:t xml:space="preserve">[20] A. Kuznetsova et al., “The Open Images Dataset V4: Unified image classification, object detection, and visual relationship detection at scale,” International Journal of Computer Vision, vol. 128, pp. 1956–1981, 2020. doi: 10.1007/s11263-020-01316-z.</w:t>
      </w:r>
    </w:p>
    <w:p>
      <w:pPr>
        <w:pStyle w:val="Normal"/>
        <w:spacing w:line="360" w:lineRule="auto"/>
        <w:jc w:val="left"/>
        <w:ind w:left="720" w:hanging="720"/>
      </w:pPr>
      <w:r>
        <w:t xml:space="preserve">[21] “ONNX Runtime,” ONNX Runtime. [Online]. Available: https://onnxruntime.ai/docs/.</w:t>
      </w:r>
    </w:p>
    <w:p>
      <w:pPr>
        <w:pStyle w:val="Normal"/>
        <w:spacing w:line="360" w:lineRule="auto"/>
        <w:jc w:val="left"/>
        <w:ind w:left="720" w:hanging="720"/>
      </w:pPr>
      <w:r>
        <w:t xml:space="preserve">[22] “ExecuTorch Documentation,” PyTorch. [Online]. Available: https://pytorch.org/executorch/stable/.</w:t>
      </w:r>
    </w:p>
    <w:p>
      <w:pPr>
        <w:pStyle w:val="Normal"/>
        <w:spacing w:line="360" w:lineRule="auto"/>
        <w:jc w:val="left"/>
        <w:ind w:left="720" w:hanging="720"/>
      </w:pPr>
      <w:r>
        <w:t xml:space="preserve">[23] N. Carion, F. Massa, G. Synnaeve, N. Usunier, A. Kirillov, and S. Zagoruyko, “End-to-End Object Detection with Transformers,” in Computer Vision – ECCV 2020, Cham: Springer International Publishing, 2020, pp. 213–229. doi: 10.1007/978-3-030-58452-8_13.</w:t>
      </w:r>
    </w:p>
    <w:p>
      <w:pPr>
        <w:pStyle w:val="Normal"/>
        <w:spacing w:line="360" w:lineRule="auto"/>
        <w:jc w:val="left"/>
        <w:ind w:left="720" w:hanging="720"/>
      </w:pPr>
      <w:r>
        <w:t xml:space="preserve">[24] Google, “Benchmark CompiledModel API,” Google AI Edge. [Online]. Available: https://developers.google.com/edge/litert/next/benchmark.</w:t>
      </w:r>
    </w:p>
    <w:p>
      <w:pPr>
        <w:pStyle w:val="Normal"/>
        <w:spacing w:line="360" w:lineRule="auto"/>
        <w:jc w:val="left"/>
        <w:ind w:left="720" w:hanging="720"/>
      </w:pPr>
      <w:r>
        <w:t xml:space="preserve">[25] Android Developers, “Android Debug Bridge (adb),” Android Studio. [Online]. Available: https://developer.android.com/tools/adb.</w:t>
      </w:r>
    </w:p>
    <w:p>
      <w:pPr>
        <w:pStyle w:val="Normal"/>
        <w:spacing w:line="360" w:lineRule="auto"/>
        <w:jc w:val="left"/>
        <w:ind w:left="720" w:hanging="720"/>
      </w:pPr>
      <w:r>
        <w:t xml:space="preserve">[26] Google, “GPU acceleration delegate with Interpreter API,” Google AI Edge. [Online]. Available: https://developers.google.com/edge/litert/android/gpu.</w:t>
      </w:r>
    </w:p>
    <w:p>
      <w:pPr>
        <w:pStyle w:val="Normal"/>
        <w:spacing w:line="360" w:lineRule="auto"/>
        <w:jc w:val="left"/>
        <w:ind w:left="720" w:hanging="720"/>
      </w:pPr>
      <w:r>
        <w:t xml:space="preserve">[27] Roboflow, “Roboflow: Computer vision tools for developers and enterprises.” [Online]. Available: https://roboflow.com/.</w:t>
      </w:r>
    </w:p>
    <w:p>
      <w:pPr>
        <w:pStyle w:val="Normal"/>
        <w:spacing w:line="360" w:lineRule="auto"/>
        <w:jc w:val="left"/>
        <w:ind w:left="720" w:hanging="720"/>
      </w:pPr>
      <w:r>
        <w:t xml:space="preserve">[28] Khronos Group, “OpenCL – The Open Standard for Parallel Programming of Heterogeneous Systems.” [Online]. Available: https://www.khronos.org/opencl/.</w:t>
      </w:r>
    </w:p>
    <w:p>
      <w:pPr>
        <w:pStyle w:val="Normal"/>
        <w:spacing w:line="360" w:lineRule="auto"/>
        <w:jc w:val="left"/>
        <w:ind w:left="720" w:hanging="720"/>
      </w:pPr>
      <w:r>
        <w:t xml:space="preserve">[29] Google, “CameraX,” Android Developers. [Online]. Available: https://developer.android.com/media/camera/camerax.</w:t>
      </w:r>
    </w:p>
    <w:p>
      <w:pPr>
        <w:pStyle w:val="Normal"/>
        <w:spacing w:line="360" w:lineRule="auto"/>
        <w:jc w:val="left"/>
        <w:ind w:left="720" w:hanging="720"/>
      </w:pPr>
      <w:r>
        <w:t xml:space="preserve">[30] Google, “TextToSpeech,” Android Developers. [Online]. Available: https://developer.android.com/reference/android/speech/tts/TextToSpeech.</w:t>
      </w:r>
    </w:p>
    <w:p>
      <w:pPr>
        <w:jc w:val="left"/>
      </w:pPr>
      <w:r>
        <w:t>[31] k2-fsa, “Text-to-speech,” sherpa-onnx documentation. [Online]. Available: https://k2-fsa.github.io/sherpa/onnx/tts/index.html. Consultado: 14 oct. 2026.</w:t>
      </w:r>
    </w:p>
    <w:p>
      <w:pPr>
        <w:jc w:val="left"/>
      </w:pPr>
      <w:r>
        <w:t>[32] Google, “LiteRT for Android,” Google AI Edge. [Online]. Available: https://developers.google.com/edge/litert/android. Consultado: 14 oct. 2026.</w:t>
      </w:r>
    </w:p>
    <w:p>
      <w:pPr>
        <w:jc w:val="left"/>
      </w:pPr>
      <w:r>
        <w:t>[33] D. Cerda, “AssistiveVision,” código fuente, revisión 85c852ddcb543bce1bd69ad0db307f895d597881. [Online]. Available: https://github.com/diomedescerda/AssistiveVision.</w:t>
      </w:r>
    </w:p>
    <w:p>
      <w:pPr>
        <w:jc w:val="left"/>
      </w:pPr>
      <w:r>
        <w:t>[34]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p>
    <w:p>
      <w:pPr>
        <w:jc w:val="left"/>
      </w:pPr>
      <w:r>
        <w:t>[35] Pillow contributors, “ImageStat module,” Pillow documentation. [Online]. Available: https://pillow.readthedocs.io/en/stable/reference/ImageStat.html. El análisis utiliza conversión RGB a L y media de píxeles.</w:t>
      </w:r>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footer" Target="footer2.xml"/><Relationship Id="rId54" Type="http://schemas.openxmlformats.org/officeDocument/2006/relationships/footer" Target="footer3.xml"/><Relationship Id="rId55"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