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Inteligencia artificial y visión por computador aplicadas a tecnologías de asistencia</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nextPage"/>
          <w:pgSz w:w="12240" w:h="15840" w:code="1"/>
          <w:pgMar w:top="1440" w:right="1440" w:bottom="1440" w:left="2041" w:header="709" w:footer="709" w:gutter="0"/>
          <w:pgNumType w:fmt="upperRoman"/>
          <w:cols w:space="708"/>
          <w:titlePg/>
          <w:docGrid w:linePitch="360"/>
        </w:sectPr>
      </w:pPr>
      <w:r>
        <w:rPr>
          <w:rFonts w:cs="Arial"/>
          <w:szCs w:val="22"/>
        </w:rPr>
        <w:t>2026</w:t>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A mi abuela, por su cariño y por el lugar tan importante que ocupa en mi vida. A mi padre, por su apoyo y por acompañarme en este camino. A mis amigos, por su compañía, sus palabras de ánimo y los momentos compartidos durante esta etapa. A toda mi familia, por estar presente y ser parte de este logro. Mi agradecimiento principal es para ustedes: este trabajo también representa lo que significa contar con las personas que quiero. Agradezco, además, a Idanis Beatriz Diaz Bolaño, directora, y a Aquiles Alfonso Cohen Llanes, codirector, por la orientación académica del proyecto, y a la Universidad del Magdalena por el espacio de formación.</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next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 xml:space="preserve">Se diseñó e implementó AssistiveVision, un sistema móvil Android orientado al apoyo de la percepción de entornos interiores para personas con discapacidad visual. Integra captura manual, preprocesamiento, detección de diez clases de objetos, selección configurable, localización relativa en seis zonas y descripción auditiva local en español e inglés. Su arquitectura modular incorpora CameraX, EfficientDet-Lite2 y síntesis de voz con sherpa-onnx; procesa y anuncia la escena bajo demanda, sin conexión a internet. El desarrollo comprendió revisión conceptual, selección del detector, integración y evaluación técnica. Se compararon seis configuraciones sobre 80 imágenes y 257 anotaciones; EfficientDet-Lite2 obtuvo AP50 de 0,648 y latencia aislada de 124,9 ms en CPU de Redmi Note 13. Se verificó la lógica con 34 pruebas JVM y se reprodujeron 198 fotografías mediante instrumentación Android en emulador Pixel 8. Las 889 anotaciones y 33 grupos permitieron comparar montajes y lentes: Gorillapod 0,5x alcanzó 82 detecciones correctas y pecho 1x, F1 de 61,9 %. También se analizaron tiempos de procesamiento, brillo, oclusión y distancia estimada. El resultado es un prototipo integrado y reproducible; la evaluación no mide comprensión auditiva, autonomía ni latencia completa hasta la voz.</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 xml:space="preserve">AssistiveVision was designed and implemented as an Android mobile system to support perception of indoor environments for people with visual impairments. It integrates manual capture, preprocessing, detection of ten object classes, configurable selection, relative localization in six image regions, and offline spoken descriptions in Spanish and English. Its modular architecture combines CameraX, EfficientDet-Lite2, and speech synthesis through sherpa-onnx to process and announce scenes on demand without internet connectivity. Development covered conceptual review, detector selection, integration, and technical evaluation. Six configurations were compared using 80 images and 257 annotations; EfficientDet-Lite2 achieved AP50 of 0.648 and isolated CPU latency of 124.9 ms on a Redmi Note 13. System logic was checked with 34 JVM tests, and Android instrumentation replayed 198 photographs on a Pixel 8 emulator. The 889 annotations and 33 capture groups supported mount and lens comparisons: Gorillapod 0.5x yielded 82 correct detections, while chest harness 1x achieved F1 of 61.9%. Processing times, digital brightness, occlusion, and estimated distance were also analyzed. The outcome is an integrated, reproducible prototype; evaluation does not measure speech comprehension, autonomy, or complete response latency through audio playback.</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next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IV</w:t>
      </w:r>
    </w:p>
    <w:p>
      <w:pPr>
        <w:pStyle w:val="TDC1"/>
        <w:tabs>
          <w:tab w:pos="8755" w:val="right" w:leader="dot"/>
        </w:tabs>
        <w:spacing w:line="240" w:lineRule="auto" w:after="80"/>
        <w:jc w:val="left"/>
      </w:pPr>
      <w:r>
        <w:t>Abstract</w:t>
        <w:tab/>
      </w:r>
      <w:r>
        <w:t>V</w:t>
      </w:r>
    </w:p>
    <w:p>
      <w:pPr>
        <w:pStyle w:val="TDC1"/>
        <w:tabs>
          <w:tab w:pos="8755" w:val="right" w:leader="dot"/>
        </w:tabs>
        <w:spacing w:line="240" w:lineRule="auto" w:after="80"/>
        <w:jc w:val="left"/>
      </w:pPr>
      <w:r>
        <w:t>Contenido</w:t>
        <w:tab/>
      </w:r>
      <w:r>
        <w:t>VI</w:t>
      </w:r>
    </w:p>
    <w:p>
      <w:pPr>
        <w:pStyle w:val="TDC1"/>
        <w:tabs>
          <w:tab w:pos="8755" w:val="right" w:leader="dot"/>
        </w:tabs>
        <w:spacing w:line="240" w:lineRule="auto" w:after="80"/>
        <w:jc w:val="left"/>
      </w:pPr>
      <w:r>
        <w:t>Lista de figuras</w:t>
        <w:tab/>
      </w:r>
      <w:r>
        <w:t>VIII</w:t>
      </w:r>
    </w:p>
    <w:p>
      <w:pPr>
        <w:pStyle w:val="TDC1"/>
        <w:tabs>
          <w:tab w:pos="8755" w:val="right" w:leader="dot"/>
        </w:tabs>
        <w:spacing w:line="240" w:lineRule="auto" w:after="80"/>
        <w:jc w:val="left"/>
      </w:pPr>
      <w:r>
        <w:t>Lista de tablas</w:t>
        <w:tab/>
      </w:r>
      <w:r>
        <w:t>IX</w:t>
      </w:r>
    </w:p>
    <w:p>
      <w:pPr>
        <w:pStyle w:val="TDC1"/>
        <w:tabs>
          <w:tab w:pos="8755" w:val="right" w:leader="dot"/>
        </w:tabs>
        <w:spacing w:line="240" w:lineRule="auto" w:after="80"/>
        <w:jc w:val="left"/>
      </w:pPr>
      <w:r>
        <w:t>Lista de símbolos</w:t>
        <w:tab/>
      </w:r>
      <w:r>
        <w:t>X</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w:t>
      </w:r>
      <w:hyperlink w:anchor="bib_ref_1" w:history="1">
        <w:r>
          <w:t xml:space="preserve">[1]</w:t>
        </w:r>
      </w:hyperlink>
      <w:r>
        <w:t xml:space="preserve">. Frente a esta situación, los sistemas de asistencia basados en visión por computador se han consolidado como una alternativa tecnológica viable para apoyar la percepción del entorno, al convertir la información visual capturada por una cámara en descripciones auditivas, como exploran los prototipos descritos en </w:t>
      </w:r>
      <w:hyperlink w:anchor="bib_ref_2" w:history="1">
        <w:r>
          <w:t xml:space="preserve">[2]</w:t>
        </w:r>
      </w:hyperlink>
      <w:r>
        <w:t xml:space="preserve">, </w:t>
      </w:r>
      <w:hyperlink w:anchor="bib_ref_3" w:history="1">
        <w:r>
          <w:t xml:space="preserve">[3]</w:t>
        </w:r>
      </w:hyperlink>
      <w:r>
        <w:t xml:space="preserve"> y </w:t>
      </w:r>
      <w:hyperlink w:anchor="bib_ref_4" w:history="1">
        <w:r>
          <w:t xml:space="preserve">[4]</w:t>
        </w:r>
      </w:hyperlink>
      <w:r>
        <w:t xml:space="preserve">.</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w:t>
      </w:r>
      <w:hyperlink w:anchor="bib_ref_5" w:history="1">
        <w:r>
          <w:t xml:space="preserve">[5]</w:t>
        </w:r>
      </w:hyperlink>
      <w:r>
        <w:t xml:space="preserve">,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w:t>
      </w:r>
      <w:hyperlink w:anchor="bib_ref_6" w:history="1">
        <w:r>
          <w:t xml:space="preserve">[6]</w:t>
        </w:r>
      </w:hyperlink>
      <w:r>
        <w:t xml:space="preserve">, hasta detectores de una etapa orientados al tiempo real, como YOLO </w:t>
      </w:r>
      <w:hyperlink w:anchor="bib_ref_7" w:history="1">
        <w:r>
          <w:t xml:space="preserve">[7]</w:t>
        </w:r>
      </w:hyperlink>
      <w:r>
        <w:t xml:space="preserve">, SSD </w:t>
      </w:r>
      <w:hyperlink w:anchor="bib_ref_8" w:history="1">
        <w:r>
          <w:t xml:space="preserve">[8]</w:t>
        </w:r>
      </w:hyperlink>
      <w:r>
        <w:t xml:space="preserve"> y EfficientDet </w:t>
      </w:r>
      <w:hyperlink w:anchor="bib_ref_9" w:history="1">
        <w:r>
          <w:t xml:space="preserve">[9]</w:t>
        </w:r>
      </w:hyperlink>
      <w:r>
        <w:t xml:space="preserve">,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w:t>
      </w:r>
      <w:hyperlink w:anchor="bib_ref_2" w:history="1">
        <w:r>
          <w:t xml:space="preserve">[2]</w:t>
        </w:r>
      </w:hyperlink>
      <w:r>
        <w:t xml:space="preserve">,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w:t>
      </w:r>
      <w:hyperlink w:anchor="bib_ref_10" w:history="1">
        <w:r>
          <w:t xml:space="preserve">[10]</w:t>
        </w:r>
      </w:hyperlink>
      <w:r>
        <w:t xml:space="preserve">.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con revisión parcial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que demuestra la viabilidad de ejecutar un </w:t>
      </w:r>
      <w:r>
        <w:rPr>
          <w:i/>
        </w:rPr>
        <w:t xml:space="preserve">flujo inte</w:t>
      </w:r>
      <w:r>
        <w:t xml:space="preserve">grado de captura, detección, selección de objetos, localización relativa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w:t>
      </w:r>
      <w:hyperlink w:anchor="bib_ref_11" w:history="1">
        <w:r>
          <w:t xml:space="preserve">[11]</w:t>
        </w:r>
      </w:hyperlink>
      <w:r>
        <w:t xml:space="preserve"> y en el Plan de Gobierno Rectoral 2024-2028 </w:t>
      </w:r>
      <w:hyperlink w:anchor="bib_ref_12" w:history="1">
        <w:r>
          <w:t xml:space="preserve">[12]</w:t>
        </w:r>
      </w:hyperlink>
      <w:r>
        <w:t xml:space="preserve">.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 </w:t>
      </w:r>
      <w:hyperlink w:anchor="bib_ref_2" w:history="1">
        <w:r>
          <w:t xml:space="preserve">[2]</w:t>
        </w:r>
      </w:hyperlink>
      <w:r>
        <w:t xml:space="preserve">, </w:t>
      </w:r>
      <w:hyperlink w:anchor="bib_ref_3" w:history="1">
        <w:r>
          <w:t xml:space="preserve">[3]</w:t>
        </w:r>
      </w:hyperlink>
      <w:r>
        <w:t xml:space="preserve">, </w:t>
      </w:r>
      <w:hyperlink w:anchor="bib_ref_4" w:history="1">
        <w:r>
          <w:t xml:space="preserve">[4]</w:t>
        </w:r>
      </w:hyperlink>
      <w:r>
        <w:t xml:space="preserve">.</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w:t>
      </w:r>
      <w:hyperlink w:anchor="bib_ref_3" w:history="1">
        <w:r>
          <w:t xml:space="preserve">[3]</w:t>
        </w:r>
      </w:hyperlink>
      <w:r>
        <w:t xml:space="preserve">.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w:t>
      </w:r>
      <w:hyperlink w:anchor="bib_ref_4" w:history="1">
        <w:r>
          <w:t xml:space="preserve">[4]</w:t>
        </w:r>
      </w:hyperlink>
      <w:r>
        <w:t xml:space="preserve">. El conjunto combina MS COCO con quince clases adicionales de interés para el entorno cotidiano, como puertas, ventanas, casilleros y señales, para un total de noventa y cinco clases </w:t>
      </w:r>
      <w:hyperlink w:anchor="bib_ref_4" w:history="1">
        <w:r>
          <w:t xml:space="preserve">[4]</w:t>
        </w:r>
      </w:hyperlink>
      <w:r>
        <w:t xml:space="preserve">.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En un preprint, Pawar describe una aplicación Android basada en TensorFlow Object Detection API y SSD MobileNet, ajustada mediante transferencia de aprendizaje para reconocer ochenta categorías </w:t>
      </w:r>
      <w:hyperlink w:anchor="bib_ref_13" w:history="1">
        <w:r>
          <w:t xml:space="preserve">[13]</w:t>
        </w:r>
      </w:hyperlink>
      <w:r>
        <w:t xml:space="preserve">.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propone el uso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w:t>
      </w:r>
      <w:hyperlink w:anchor="bib_ref_14" w:history="1">
        <w:r>
          <w:t xml:space="preserve">[14]</w:t>
        </w:r>
      </w:hyperlink>
      <w:r>
        <w:t xml:space="preserve">. Evaluaron velocidad, precisión, consumo de recursos y eficiencia energética. Sus resultados muestran que los detectores de una etapa son más apropiados para ejecución directa en el dispositivo; YOLOv8s obtuvo el mejor compromiso global entre las métricas consideradas,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w:t>
      </w:r>
      <w:hyperlink w:anchor="bib_ref_2" w:history="1">
        <w:r>
          <w:t xml:space="preserve">[2]</w:t>
        </w:r>
      </w:hyperlink>
      <w:r>
        <w:t xml:space="preserve">.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el estudio no incluyó validación con distancias medidas.</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Entre los detectores convolucionales revisados se distinguen enfoques de dos etapas, como Faster R-CNN </w:t>
      </w:r>
      <w:hyperlink w:anchor="bib_ref_6" w:history="1">
        <w:r>
          <w:t xml:space="preserve">[6]</w:t>
        </w:r>
      </w:hyperlink>
      <w:r>
        <w:t xml:space="preserve">, y de una etapa, como YOLO </w:t>
      </w:r>
      <w:hyperlink w:anchor="bib_ref_7" w:history="1">
        <w:r>
          <w:t xml:space="preserve">[7]</w:t>
        </w:r>
      </w:hyperlink>
      <w:r>
        <w:t xml:space="preserve"> y SSD </w:t>
      </w:r>
      <w:hyperlink w:anchor="bib_ref_8" w:history="1">
        <w:r>
          <w:t xml:space="preserve">[8]</w:t>
        </w:r>
      </w:hyperlink>
      <w:r>
        <w:t xml:space="preserve">.</w:t>
      </w:r>
    </w:p>
    <w:p>
      <w:pPr>
        <w:pStyle w:val="Normal"/>
        <w:widowControl/>
        <w:spacing w:line="360" w:lineRule="auto" w:after="330"/>
        <w:jc w:val="both"/>
      </w:pPr>
      <w:r>
        <w:t xml:space="preserve">Faster R-CNN divide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w:t>
      </w:r>
      <w:hyperlink w:anchor="bib_ref_6" w:history="1">
        <w:r>
          <w:t xml:space="preserve">[6]</w:t>
        </w:r>
      </w:hyperlink>
      <w:r>
        <w:t xml:space="preserve">. Esta descripción corresponde al detector de propuestas de regiones utilizado como antecedente.</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w:t>
      </w:r>
      <w:hyperlink w:anchor="bib_ref_7" w:history="1">
        <w:r>
          <w:t xml:space="preserve">[7]</w:t>
        </w:r>
      </w:hyperlink>
      <w:r>
        <w:t xml:space="preserve">, </w:t>
      </w:r>
      <w:hyperlink w:anchor="bib_ref_8" w:history="1">
        <w:r>
          <w:t xml:space="preserve">[8]</w:t>
        </w:r>
      </w:hyperlink>
      <w:r>
        <w:t xml:space="preserve">. Una red convolucional extrae mapas de características espaciales y semánticas, sobre los cuales el modelo predice coordenadas y probabilidades de clase. YOLO prioriza la velocidad </w:t>
      </w:r>
      <w:hyperlink w:anchor="bib_ref_7" w:history="1">
        <w:r>
          <w:t xml:space="preserve">[7]</w:t>
        </w:r>
      </w:hyperlink>
      <w:r>
        <w:t xml:space="preserve">, SSD utiliza mapas multiescala y cajas predefinidas </w:t>
      </w:r>
      <w:hyperlink w:anchor="bib_ref_8" w:history="1">
        <w:r>
          <w:t xml:space="preserve">[8]</w:t>
        </w:r>
      </w:hyperlink>
      <w:r>
        <w:t xml:space="preserve">, y EfficientDet incorpora una fusión bidireccional de características y un escalamiento compuesto </w:t>
      </w:r>
      <w:hyperlink w:anchor="bib_ref_9" w:history="1">
        <w:r>
          <w:t xml:space="preserve">[9]</w:t>
        </w:r>
      </w:hyperlink>
      <w:r>
        <w:t xml:space="preserve">.</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xml:space="preserve">, la resolución de entrada, la representación numérica y las técnicas de compresión </w:t>
      </w:r>
      <w:hyperlink w:anchor="bib_ref_15" w:history="1">
        <w:r>
          <w:t xml:space="preserve">[15]</w:t>
        </w:r>
      </w:hyperlink>
      <w:r>
        <w:t xml:space="preserve">, </w:t>
      </w:r>
      <w:hyperlink w:anchor="bib_ref_16" w:history="1">
        <w:r>
          <w:t xml:space="preserve">[16]</w:t>
        </w:r>
      </w:hyperlink>
      <w:r>
        <w:t xml:space="preserve">.</w:t>
      </w:r>
    </w:p>
    <w:p>
      <w:pPr>
        <w:pStyle w:val="Normal"/>
        <w:widowControl/>
        <w:spacing w:line="360" w:lineRule="auto" w:after="330"/>
        <w:jc w:val="both"/>
      </w:pPr>
      <w:r>
        <w:t xml:space="preserve">Howard et al. propusieron MobileNets como una familia de redes para visión móvil basada en convoluciones separables en profundidad </w:t>
      </w:r>
      <w:hyperlink w:anchor="bib_ref_15" w:history="1">
        <w:r>
          <w:t xml:space="preserve">[15]</w:t>
        </w:r>
      </w:hyperlink>
      <w:r>
        <w:t xml:space="preserve">.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w:t>
      </w:r>
      <w:hyperlink w:anchor="bib_ref_16" w:history="1">
        <w:r>
          <w:t xml:space="preserve">[16]</w:t>
        </w:r>
      </w:hyperlink>
      <w:r>
        <w:t xml:space="preserve">.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aborda la conversión de modelos Float32 a uint8 con TensorFlow Lite para reducir almacenamiento y coste de inferencia en dispositivos de borde </w:t>
      </w:r>
      <w:hyperlink w:anchor="bib_ref_17" w:history="1">
        <w:r>
          <w:t xml:space="preserve">[17]</w:t>
        </w:r>
      </w:hyperlink>
      <w:r>
        <w:t xml:space="preserve">. El artículo también reproduce una comparación entre SSD y Faster R-CNN; sus cifras no se utilizan aquí como mediciones del prototipo ni como evidencia aislada del efecto de la cuantización. Este antecedente motiva evaluar velocidad y exactitud en el dispositivo y con el protocolo propios.</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w:t>
      </w:r>
      <w:hyperlink w:anchor="bib_ref_18" w:history="1">
        <w:r>
          <w:t xml:space="preserve">[18]</w:t>
        </w:r>
      </w:hyperlink>
      <w:r>
        <w:t xml:space="preserve">.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anuncios incorrectos, mientras un modelo exacto pero lento no entrega información oportuna. Como criterio de diseño, y sin medir aquí confianza del usuario,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w:t>
      </w:r>
      <w:hyperlink w:anchor="bib_ref_18" w:history="1">
        <w:r>
          <w:t xml:space="preserve">[18]</w:t>
        </w:r>
      </w:hyperlink>
      <w:r>
        <w:t xml:space="preserve">,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w:t>
      </w:r>
      <w:hyperlink w:anchor="bib_ref_8" w:history="1">
        <w:r>
          <w:t xml:space="preserve">[8]</w:t>
        </w:r>
      </w:hyperlink>
      <w:r>
        <w:t xml:space="preserve">, </w:t>
      </w:r>
      <w:hyperlink w:anchor="bib_ref_15" w:history="1">
        <w:r>
          <w:t xml:space="preserve">[15]</w:t>
        </w:r>
      </w:hyperlink>
      <w:r>
        <w:t xml:space="preserve">, </w:t>
      </w:r>
      <w:hyperlink w:anchor="bib_ref_16" w:history="1">
        <w:r>
          <w:t xml:space="preserve">[16]</w:t>
        </w:r>
      </w:hyperlink>
      <w:r>
        <w:t xml:space="preserve">.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w:t>
      </w:r>
      <w:hyperlink w:anchor="bib_ref_9" w:history="1">
        <w:r>
          <w:t xml:space="preserve">[9]</w:t>
        </w:r>
      </w:hyperlink>
      <w:r>
        <w:t xml:space="preserve">. La documentación de EfficientDet-Lite describe variantes para dispositivos móviles </w:t>
      </w:r>
      <w:hyperlink w:anchor="bib_ref_19" w:history="1">
        <w:r>
          <w:t xml:space="preserve">[19]</w:t>
        </w:r>
      </w:hyperlink>
      <w:r>
        <w:rPr>
          <w:i/>
        </w:rPr>
        <w:t xml:space="preserve"/>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w:t>
      </w:r>
      <w:hyperlink w:anchor="bib_ref_7" w:history="1">
        <w:r>
          <w:t xml:space="preserve">[7]</w:t>
        </w:r>
      </w:hyperlink>
      <w:r>
        <w:t xml:space="preserve">. Las variantes YOLOv8 y YOLO11 evaluadas se documentan por separado en Ultralytics </w:t>
      </w:r>
      <w:hyperlink w:anchor="bib_ref_20" w:history="1">
        <w:r>
          <w:t xml:space="preserve">[20]</w:t>
        </w:r>
      </w:hyperlink>
      <w:r>
        <w:t xml:space="preserve">, </w:t>
      </w:r>
      <w:hyperlink w:anchor="bib_ref_21" w:history="1">
        <w:r>
          <w:t xml:space="preserve">[21]</w:t>
        </w:r>
      </w:hyperlink>
      <w:r>
        <w:t xml:space="preserve">;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w:t>
      </w:r>
      <w:hyperlink w:anchor="bib_ref_22" w:history="1">
        <w:r>
          <w:t xml:space="preserve">[22]</w:t>
        </w:r>
      </w:hyperlink>
      <w:r>
        <w:t xml:space="preserve">. También se revisó Open Images como fuente de categorías y anotaciones de gran escala </w:t>
      </w:r>
      <w:hyperlink w:anchor="bib_ref_23" w:history="1">
        <w:r>
          <w:t xml:space="preserve">[23]</w:t>
        </w:r>
      </w:hyperlink>
      <w:r>
        <w:t xml:space="preserve">.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w:t>
      </w:r>
      <w:hyperlink w:anchor="bib_ref_5" w:history="1">
        <w:r>
          <w:t xml:space="preserve">[5]</w:t>
        </w:r>
      </w:hyperlink>
      <w:r>
        <w:t xml:space="preserve">, mientras ONNX Runtime y ExecuTorch representan alternativas para otros ecosistemas de despliegue </w:t>
      </w:r>
      <w:hyperlink w:anchor="bib_ref_24" w:history="1">
        <w:r>
          <w:t xml:space="preserve">[24]</w:t>
        </w:r>
      </w:hyperlink>
      <w:r>
        <w:t xml:space="preserve">, </w:t>
      </w:r>
      <w:hyperlink w:anchor="bib_ref_25" w:history="1">
        <w:r>
          <w:t xml:space="preserve">[25]</w:t>
        </w:r>
      </w:hyperlink>
      <w:r>
        <w:t xml:space="preserve">.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w:t>
      </w:r>
      <w:hyperlink w:anchor="bib_ref_26" w:history="1">
        <w:r>
          <w:t xml:space="preserve">[26]</w:t>
        </w:r>
      </w:hyperlink>
      <w:r>
        <w:t xml:space="preserve">. El modelo procesa la imagen completa y utiliza object queries para producir predicciones directas, sin seguir explícitamente el esquema clásico de una o dos etapas. Su formulación reduce componentes como las cajas predefinidas y la supresión no máxima, en este proyecto se mantuvo como antecedente y no se midió su desempeño en el teléfono objetivo.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afecta ambas métricas. Para el sistema propuesto, mAP50-95 incorpora exigencias de clasificación y ajuste geométrico de las detecciones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La precisión es la proporción de predicciones positivas que resultan correctas: P = TP/(TP + FP) </w:t>
      </w:r>
      <w:hyperlink w:anchor="bib_ref_28" w:history="1">
        <w:r>
          <w:t xml:space="preserve">[28]</w:t>
        </w:r>
      </w:hyperlink>
      <w:r>
        <w:t xml:space="preserve">. No equivale a la tasa de falsos positivos. En este experimento se calcula después del emparejamiento de clase y caja; una predicción sin correspondencia se contabiliza como FP. Una precisión alta reduce la proporción de anuncios incorrectos entre las selecciones, pero su efecto sobre confianza o utilidad requiere evaluación </w:t>
      </w:r>
      <w:r>
        <w:t xml:space="preserve">con usuarios</w:t>
      </w:r>
      <w:r>
        <w:t xml:space="preserve">.</w:t>
      </w:r>
    </w:p>
    <w:p>
      <w:pPr>
        <w:pStyle w:val="Normal"/>
        <w:widowControl/>
        <w:spacing w:line="360" w:lineRule="auto" w:after="330"/>
        <w:jc w:val="both"/>
      </w:pPr>
      <w:r>
        <w:rPr>
          <w:i/>
        </w:rPr>
        <w:t>Recall</w:t>
      </w:r>
      <w:r>
        <w:t xml:space="preserve">, o exhaustividad, es la proporción de instancias anotadas visibles que el detector recupera: TP/(TP+FN) </w:t>
      </w:r>
      <w:hyperlink w:anchor="bib_ref_28" w:history="1">
        <w:r>
          <w:t xml:space="preserve">[28]</w:t>
        </w:r>
      </w:hyperlink>
      <w:r>
        <w:t xml:space="preserve">.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xml:space="preserve">). A diferencia de la media aritmética, penaliza el desequilibrio entre ambas métricas, por lo que resulta útil como métrica única de exactitud global cuando se requiere un compromiso entre falsos positivos y falsos negativos </w:t>
      </w:r>
      <w:hyperlink w:anchor="bib_ref_28" w:history="1">
        <w:r>
          <w:t xml:space="preserve">[28]</w:t>
        </w:r>
      </w:hyperlink>
      <w:r>
        <w:t xml:space="preserve">.</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Para inferencias secuenciales aisladas, los FPS se calculan como 1000 dividido por la latencia en milisegundos; esta conversión no incluye captura, interfaz ni voz </w:t>
      </w:r>
      <w:hyperlink w:anchor="bib_ref_29" w:history="1">
        <w:r>
          <w:t xml:space="preserve">[29]</w:t>
        </w:r>
      </w:hyperlink>
      <w:r>
        <w:t xml:space="preserve">.</w:t>
      </w:r>
    </w:p>
    <w:p>
      <w:pPr>
        <w:pStyle w:val="Normal"/>
        <w:widowControl/>
        <w:spacing w:line="360" w:lineRule="auto" w:after="330"/>
        <w:jc w:val="both"/>
      </w:pPr>
      <w:r>
        <w:t xml:space="preserve">La memoria se reporta como la huella aproximada medida por la Benchmark Tool durante la inicialización y ejecución, en megabytes (MB) </w:t>
      </w:r>
      <w:hyperlink w:anchor="bib_ref_29" w:history="1">
        <w:r>
          <w:t xml:space="preserve">[29]</w:t>
        </w:r>
      </w:hyperlink>
      <w:r>
        <w:t xml:space="preserve">. Incluye efectos del proceso de medición y no representa exclusivamente el tamaño del modelo o de sus tensores. Se utiliza para comparar las </w:t>
      </w:r>
      <w:r>
        <w:rPr>
          <w:i w:val="0"/>
        </w:rPr>
        <w:t xml:space="preserve">configuraciones bajo el mismo procedimient</w:t>
      </w:r>
      <w:r>
        <w:t xml:space="preserve">o</w:t>
      </w:r>
      <w:r>
        <w:t xml:space="preserve"/>
      </w:r>
      <w:r>
        <w:t xml:space="preserve">.</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w:t>
      </w:r>
      <w:hyperlink w:anchor="bib_ref_29" w:history="1">
        <w:r>
          <w:t xml:space="preserve">[29]</w:t>
        </w:r>
      </w:hyperlink>
      <w:r>
        <w:t xml:space="preserve">.</w:t>
      </w:r>
    </w:p>
    <w:p>
      <w:pPr>
        <w:pStyle w:val="Ttulo3"/>
      </w:pPr>
      <w:r>
        <w:t xml:space="preserve">2.2.2 Cuantización de modelos: Float32 y Float16</w:t>
      </w:r>
    </w:p>
    <w:p>
      <w:pPr>
        <w:pStyle w:val="Normal"/>
        <w:widowControl/>
        <w:spacing w:line="360" w:lineRule="auto" w:after="330"/>
        <w:jc w:val="both"/>
      </w:pPr>
      <w:r>
        <w:t xml:space="preserve">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w:t>
      </w:r>
      <w:hyperlink w:anchor="bib_ref_5" w:history="1">
        <w:r>
          <w:t xml:space="preserve">[5]</w:t>
        </w:r>
      </w:hyperlink>
      <w:r>
        <w:t xml:space="preserve">.</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w:t>
      </w:r>
      <w:hyperlink w:anchor="bib_ref_5" w:history="1">
        <w:r>
          <w:t xml:space="preserve">[5]</w:t>
        </w:r>
      </w:hyperlink>
      <w:r>
        <w:t xml:space="preserve">.</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w:t>
      </w:r>
      <w:hyperlink w:anchor="bib_ref_22" w:history="1">
        <w:r>
          <w:t xml:space="preserve">[22]</w:t>
        </w:r>
      </w:hyperlink>
      <w:r>
        <w:t xml:space="preserve">.</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con un alcance limitado a la ejecución del modelo. Se ejecutaron 50 iteraciones por modelo con 4 hilos de procesamiento </w:t>
      </w:r>
      <w:hyperlink w:anchor="bib_ref_29" w:history="1">
        <w:r>
          <w:t xml:space="preserve">[29]</w:t>
        </w:r>
      </w:hyperlink>
      <w:r>
        <w:t xml:space="preserve">.</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mediante comandos automatizados </w:t>
      </w:r>
      <w:hyperlink w:anchor="bib_ref_30" w:history="1">
        <w:r>
          <w:t xml:space="preserve">[30]</w:t>
        </w:r>
      </w:hyperlink>
      <w:r>
        <w:t xml:space="preserve">.</w:t>
      </w:r>
    </w:p>
    <w:p>
      <w:pPr>
        <w:pStyle w:val="Normal"/>
        <w:widowControl/>
        <w:spacing w:line="360" w:lineRule="auto" w:after="330"/>
        <w:jc w:val="both"/>
      </w:pPr>
      <w:r>
        <w:t xml:space="preserve">El GPU Delegate permite delegar operaciones compatibles de TFLite a la GPU, con backends como OpenCL </w:t>
      </w:r>
      <w:hyperlink w:anchor="bib_ref_31" w:history="1">
        <w:r>
          <w:t xml:space="preserve">[31]</w:t>
        </w:r>
      </w:hyperlink>
      <w:r>
        <w:t xml:space="preserve">, </w:t>
      </w:r>
      <w:hyperlink w:anchor="bib_ref_32" w:history="1">
        <w:r>
          <w:t xml:space="preserve">[32]</w:t>
        </w:r>
      </w:hyperlink>
      <w:r>
        <w:t xml:space="preserve">. Las operaciones no admitidas pueden permanecer en CPU y la división del grafo puede introducir transferencias y sincronización. La documentación advierte de ese coste </w:t>
      </w:r>
      <w:hyperlink w:anchor="bib_ref_31" w:history="1">
        <w:r>
          <w:t xml:space="preserve">[31]</w:t>
        </w:r>
      </w:hyperlink>
      <w:r>
        <w:t xml:space="preserve">; estas posibilidades no identifican por sí solas la causa del rendimiento observado en el dispositivo</w:t>
      </w:r>
      <w:r>
        <w:t xml:space="preserve">.</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w:t>
      </w:r>
      <w:hyperlink w:anchor="bib_ref_20" w:history="1">
        <w:r>
          <w:t xml:space="preserve">[20]</w:t>
        </w:r>
      </w:hyperlink>
      <w:r>
        <w:t xml:space="preserve">, YOLO11n en variantes Float32 y Float16 </w:t>
      </w:r>
      <w:hyperlink w:anchor="bib_ref_21" w:history="1">
        <w:r>
          <w:t xml:space="preserve">[21]</w:t>
        </w:r>
      </w:hyperlink>
      <w:r>
        <w:t xml:space="preserve">, SSD MobileNetV1 </w:t>
      </w:r>
      <w:hyperlink w:anchor="bib_ref_8" w:history="1">
        <w:r>
          <w:t xml:space="preserve">[8]</w:t>
        </w:r>
      </w:hyperlink>
      <w:r>
        <w:t xml:space="preserve">, </w:t>
      </w:r>
      <w:hyperlink w:anchor="bib_ref_15" w:history="1">
        <w:r>
          <w:t xml:space="preserve">[15]</w:t>
        </w:r>
      </w:hyperlink>
      <w:r>
        <w:t xml:space="preserve"> y EfficientDet-Lite2 </w:t>
      </w:r>
      <w:hyperlink w:anchor="bib_ref_9" w:history="1">
        <w:r>
          <w:t xml:space="preserve">[9]</w:t>
        </w:r>
      </w:hyperlink>
      <w:r>
        <w:t xml:space="preserve">, </w:t>
      </w:r>
      <w:hyperlink w:anchor="bib_ref_19" w:history="1">
        <w:r>
          <w:t xml:space="preserve">[19]</w:t>
        </w:r>
      </w:hyperlink>
      <w:r>
        <w:t xml:space="preserve">.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El conjunto inicial reúne imágenes propias de interiores e imágenes externas obtenidas de Roboflow. La exportación del 5 de junio de 2026 declara licencia CC BY 4.0 y se conserva con las imágenes y anotaciones en el repositorio del proyecto. La anotación manual se realizó en Roboflow </w:t>
      </w:r>
      <w:hyperlink w:anchor="bib_ref_33" w:history="1">
        <w:r>
          <w:t xml:space="preserve">[33]</w:t>
        </w:r>
      </w:hyperlink>
      <w:r>
        <w:t xml:space="preserve">, generando un total de 80 imágenes con 257 anotaciones en formato COCO JSON </w:t>
      </w:r>
      <w:hyperlink w:anchor="bib_ref_22" w:history="1">
        <w:r>
          <w:t xml:space="preserve">[22]</w:t>
        </w:r>
      </w:hyperlink>
      <w:r>
        <w:t xml:space="preserve">.</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w:t>
      </w:r>
      <w:hyperlink w:anchor="bib_ref_22" w:history="1">
        <w:r>
          <w:t xml:space="preserve">[22]</w:t>
        </w:r>
      </w:hyperlink>
      <w:r>
        <w:t xml:space="preserve">.</w:t>
      </w:r>
    </w:p>
    <w:p>
      <w:pPr>
        <w:pStyle w:val="Normal"/>
        <w:widowControl/>
        <w:spacing w:line="360" w:lineRule="auto" w:after="330"/>
        <w:jc w:val="both"/>
      </w:pPr>
      <w:r>
        <w:t xml:space="preserve">Las métricas de precisión fueron calculadas mediante la librería pycocotools, que implementa el protocolo oficial de evaluación COCO </w:t>
      </w:r>
      <w:hyperlink w:anchor="bib_ref_22" w:history="1">
        <w:r>
          <w:t xml:space="preserve">[22]</w:t>
        </w:r>
      </w:hyperlink>
      <w:r>
        <w:t xml:space="preserve">, </w:t>
      </w:r>
      <w:hyperlink w:anchor="bib_ref_27" w:history="1">
        <w:r>
          <w:t xml:space="preserve">[27]</w:t>
        </w:r>
      </w:hyperlink>
      <w:r>
        <w:t xml:space="preserve">.</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Esta métrica combina coincidencia de clase y solapamiento de cajas; no mide directamente la exactitud de la zona anunciada. Su latencia aislada en Android CPU supera los 620 ms en ambas variantes, equivalente a menos de dos inferencias por segundo, lo que incrementa el costo temporal del componente de detección en el hardware evaluado.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aislada de 124,9 ms en Android CPU (8,00 inferencias/s). Estos resultados sustentan la selección del componente de detección bajo las condiciones evaluadas; no representan la frecuencia del ciclo completo de captura y voz.</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muestra diferencias de inicialización y memoria entre CPU y GPU.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es compatible con los costes de preparación del delegado descritos en la documentación </w:t>
      </w:r>
      <w:hyperlink w:anchor="bib_ref_31" w:history="1">
        <w:r>
          <w:t xml:space="preserve">[31]</w:t>
        </w:r>
      </w:hyperlink>
      <w:r>
        <w:t xml:space="preserve">; no se midieron por separado compilación, transf</w:t>
      </w:r>
      <w:r>
        <w:rPr>
          <w:i/>
        </w:rPr>
        <w:t xml:space="preserve">e</w:t>
      </w:r>
      <w:r>
        <w:t xml:space="preserve"/>
      </w:r>
      <w:r>
        <w:t xml:space="preserve"/>
      </w:r>
      <w:r>
        <w:t xml:space="preserve">rencias o sincronización</w:t>
      </w:r>
      <w:r>
        <w:t xml:space="preserve"/>
      </w:r>
      <w:r>
        <w:t xml:space="preserve">.</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sin que esta medición permita identificar qué asignaciones explican la diferencia.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 La implementación de estos módulos se conserva en la revisión del código fuente citada en </w:t>
      </w:r>
      <w:hyperlink w:anchor="bib_ref_34" w:history="1">
        <w:r>
          <w:t xml:space="preserve">[34]</w:t>
        </w:r>
      </w:hyperlink>
      <w:r>
        <w:t xml:space="preserve">.</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Este soporte permite al usuario orientar libremente el celular y elegir qué parte de la escena explorar. En las capturas de este estudio se apuntó la cámara hacia los objetos de interés.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 xml:space="preserve">CameraX 1.6.1 gestiona la cámara y su ciclo de vida </w:t>
      </w:r>
      <w:hyperlink w:anchor="bib_ref_35" w:history="1">
        <w:r>
          <w:t xml:space="preserve">[35]</w:t>
        </w:r>
      </w:hyperlink>
      <w:r>
        <w:t xml:space="preserve">.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xml:space="preserve">,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 </w:t>
      </w:r>
      <w:hyperlink w:anchor="bib_ref_34" w:history="1">
        <w:r>
          <w:t xml:space="preserve">[34]</w:t>
        </w:r>
      </w:hyperlink>
      <w:r>
        <w:t xml:space="preserve">.</w:t>
      </w:r>
    </w:p>
    <w:p>
      <w:bookmarkStart w:id="1039" w:name="report_1039"/>
      <w:pPr>
        <w:pStyle w:val="Ttulo2"/>
      </w:pPr>
      <w:r>
        <w:t xml:space="preserve">3.5 Módulo de detección</w:t>
      </w:r>
      <w:bookmarkEnd w:id="1039"/>
    </w:p>
    <w:p>
      <w:pPr>
        <w:pStyle w:val="Normal"/>
        <w:widowControl/>
        <w:spacing w:line="360" w:lineRule="auto" w:after="330"/>
        <w:jc w:val="both"/>
      </w:pPr>
      <w:r>
        <w:t xml:space="preserve">DetectionModule utiliza la API Interpreter del paquete LiteRT 1.4.2 y el archivo efficientdet-lite2-detection-metadata.tflite, cargado mediante un MappedByteBuffer </w:t>
      </w:r>
      <w:hyperlink w:anchor="bib_ref_36" w:history="1">
        <w:r>
          <w:t xml:space="preserve">[36]</w:t>
        </w:r>
      </w:hyperlink>
      <w:r>
        <w:t xml:space="preserve">.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 xml:space="preserve">LocalizationModule asigna seis zonas según el centro de la caja: cortes en 0,35 y 0,65 del ancho y a media altura. Son regiones de imagen, no distancias ni tercios exactos (Tabla 3.2 y Figura 3.2).</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1"/>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1"/>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1"/>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w:t>
      </w:r>
      <w:hyperlink w:anchor="bib_ref_22" w:history="1">
        <w:r>
          <w:t xml:space="preserve">[22]</w:t>
        </w:r>
      </w:hyperlink>
      <w:r>
        <w:t xml:space="preserve">. No procede de un estudio de necesidades con usuarios ni establece una jerarquía clínica o de riesgo. La propuesta menciona puertas, sillas y escritorios como ejemplos </w:t>
      </w:r>
      <w:hyperlink w:anchor="bib_ref_10" w:history="1">
        <w:r>
          <w:t xml:space="preserve">[10]</w:t>
        </w:r>
      </w:hyperlink>
      <w:r>
        <w:t xml:space="preserve">;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w:t>
      </w:r>
      <w:hyperlink w:anchor="bib_ref_23" w:history="1">
        <w:r>
          <w:t xml:space="preserve">[23]</w:t>
        </w:r>
      </w:hyperlink>
      <w:r>
        <w:t xml:space="preserve">,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 xml:space="preserve">AudioModule utiliza sherpa-onnx v1.13.6 para sintetizar voz local a partir de modelos VITS/Piper empaquetados con la aplicación </w:t>
      </w:r>
      <w:hyperlink w:anchor="bib_ref_37" w:history="1">
        <w:r>
          <w:t xml:space="preserve">[37]</w:t>
        </w:r>
      </w:hyperlink>
      <w:r>
        <w:t xml:space="preserve">, </w:t>
      </w:r>
      <w:hyperlink w:anchor="bib_ref_38" w:history="1">
        <w:r>
          <w:t xml:space="preserve">[38]</w:t>
        </w:r>
      </w:hyperlink>
      <w:r>
        <w:t xml:space="preserve">, </w:t>
      </w:r>
      <w:hyperlink w:anchor="bib_ref_39" w:history="1">
        <w:r>
          <w:t xml:space="preserve">[39]</w:t>
        </w:r>
      </w:hyperlink>
      <w:r>
        <w:t xml:space="preserve">.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 xml:space="preserve">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w:t>
      </w:r>
      <w:hyperlink w:anchor="bib_ref_40" w:history="1">
        <w:r>
          <w:t xml:space="preserve">[40]</w:t>
        </w:r>
      </w:hyperlink>
      <w:r>
        <w:t xml:space="preserve">;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w:t>
      </w:r>
      <w:hyperlink w:anchor="bib_ref_41" w:history="1">
        <w:r>
          <w:t xml:space="preserve">[41]</w:t>
        </w:r>
      </w:hyperlink>
      <w:r>
        <w:t xml:space="preserv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no evaluada.</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En este último se orientó libremente la cámara hacia los objetos de interés; la altura y la inclinación no se midieron.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r>
        <w:rPr>
          <w:i/>
        </w:rPr>
        <w:t/>
      </w:r>
      <w:r>
        <w:t xml:space="preserve"/>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w:t>
      </w:r>
      <w:hyperlink w:anchor="bib_ref_42" w:history="1">
        <w:r>
          <w:t xml:space="preserve">[42]</w:t>
        </w:r>
      </w:hyperlink>
      <w:r>
        <w:t xml:space="preserve">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w:t>
      </w:r>
      <w:hyperlink w:anchor="bib_ref_43" w:history="1">
        <w:r>
          <w:t xml:space="preserve">[43]</w:t>
        </w:r>
      </w:hyperlink>
      <w:r>
        <w:t xml:space="preserve">, </w:t>
      </w:r>
      <w:hyperlink w:anchor="bib_ref_44" w:history="1">
        <w:r>
          <w:t xml:space="preserve">[44]</w:t>
        </w:r>
      </w:hyperlink>
      <w:r>
        <w:t xml:space="preserve">.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 xml:space="preserve">La prueba t pareada por escena (lentes agrupadas) contrasta las posiciones dentro de cada grupo de captura; con gl = 32 el valor crítico a dos colas es t = 2,04 (α = 0,05) </w:t>
      </w:r>
      <w:hyperlink w:anchor="bib_ref_42" w:history="1">
        <w:r>
          <w:t xml:space="preserve">[42]</w:t>
        </w:r>
      </w:hyperlink>
      <w:r>
        <w:t xml:space="preserve">.</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Para explorar la cobertura de detección disponible antes del límite de anuncios,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elección definitiva depende del objetivo del sistema: para priorizar el número de detecciones correctas antes de limitar la salida de voz,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 xml:space="preserve">Para caracterizar el rango de profundidad útil del sistema se estima la distancia entre el objeto y la cámara para cada instancia anotada de las mismas 198 fotografías, sin capturas adicionales. El modelo estenopeico de la cámara entrega d ≈ f_px · H_cls / h_px </w:t>
      </w:r>
      <w:hyperlink w:anchor="bib_ref_45" w:history="1">
        <w:r>
          <w:t xml:space="preserve">[45]</w:t>
        </w:r>
      </w:hyperlink>
      <w:r>
        <w:t xml:space="preserve">, donde f_px es la distancia focal en píxeles —calculada del campo FocalLengthIn35mmFilm del EXIF </w:t>
      </w:r>
      <w:hyperlink w:anchor="bib_ref_46" w:history="1">
        <w:r>
          <w:t xml:space="preserve">[46]</w:t>
        </w:r>
      </w:hyperlink>
      <w:r>
        <w:t xml:space="preserve">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adoptada como supuesto de este análisis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 Además, la orientación dirigida hacia los objetos con el Gorillapod forma parte de la condición evaluada: la comparación combina soporte y estrategia de encuadre, sin aislar sus efectos.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 </w:t>
      </w:r>
      <w:hyperlink w:anchor="bib_ref_47" w:history="1">
        <w:r>
          <w:t xml:space="preserve">[47]</w:t>
        </w:r>
      </w:hyperlink>
      <w:r>
        <w:t xml:space="preserve">.</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 xml:space="preserve">La propuesta incluye iluminación y oclusión como condiciones de evaluación </w:t>
      </w:r>
      <w:hyperlink w:anchor="bib_ref_10" w:history="1">
        <w:r>
          <w:t xml:space="preserve">[10]</w:t>
        </w:r>
      </w:hyperlink>
      <w:r>
        <w:t xml:space="preserve">.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w:t>
      </w:r>
      <w:hyperlink w:anchor="bib_ref_48" w:history="1">
        <w:r>
          <w:t xml:space="preserve">[48]</w:t>
        </w:r>
      </w:hyperlink>
      <w:r>
        <w:t xml:space="preserve">.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 xml:space="preserve">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Como definición operativa propia para este análisis,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El autor revisó 215 de las 889 etiquetas mediante la interfaz local; se conservaron las otras 674 etiquetas asistidas por IA sin revisión individual adicional. Los dos lotes iniciales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408</w:t>
            </w:r>
          </w:p>
        </w:tc>
        <w:tc>
          <w:tcPr>
            <w:tcW w:type="dxa" w:w="864"/>
            <w:vAlign w:val="center"/>
          </w:tcPr>
          <w:p>
            <w:pPr>
              <w:keepNext/>
              <w:spacing w:line="240" w:lineRule="auto" w:after="60"/>
            </w:pPr>
            <w:r>
              <w:rPr>
                <w:rFonts w:ascii="Arial" w:hAnsi="Arial"/>
                <w:b w:val="0"/>
                <w:sz w:val="18"/>
              </w:rPr>
              <w:t>217</w:t>
            </w:r>
          </w:p>
        </w:tc>
        <w:tc>
          <w:tcPr>
            <w:tcW w:type="dxa" w:w="864"/>
            <w:vAlign w:val="center"/>
          </w:tcPr>
          <w:p>
            <w:pPr>
              <w:keepNext/>
              <w:spacing w:line="240" w:lineRule="auto" w:after="60"/>
            </w:pPr>
            <w:r>
              <w:rPr>
                <w:rFonts w:ascii="Arial" w:hAnsi="Arial"/>
                <w:b w:val="0"/>
                <w:sz w:val="18"/>
              </w:rPr>
              <w:t>191</w:t>
            </w:r>
          </w:p>
        </w:tc>
        <w:tc>
          <w:tcPr>
            <w:tcW w:type="dxa" w:w="1224"/>
            <w:vAlign w:val="center"/>
          </w:tcPr>
          <w:p>
            <w:pPr>
              <w:keepNext/>
              <w:spacing w:line="240" w:lineRule="auto" w:after="60"/>
            </w:pPr>
            <w:r>
              <w:rPr>
                <w:rFonts w:ascii="Arial" w:hAnsi="Arial"/>
                <w:b w:val="0"/>
                <w:sz w:val="18"/>
              </w:rPr>
              <w:t>53,2 %</w:t>
            </w:r>
          </w:p>
        </w:tc>
        <w:tc>
          <w:tcPr>
            <w:tcW w:type="dxa" w:w="2995"/>
            <w:vAlign w:val="center"/>
          </w:tcPr>
          <w:p>
            <w:pPr>
              <w:keepNext/>
              <w:spacing w:line="240" w:lineRule="auto" w:after="60"/>
            </w:pPr>
            <w:r>
              <w:rPr>
                <w:rFonts w:ascii="Arial" w:hAnsi="Arial"/>
                <w:b w:val="0"/>
                <w:sz w:val="18"/>
              </w:rPr>
              <w:t>[46,6 %; 63,3 %]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168</w:t>
            </w:r>
          </w:p>
        </w:tc>
        <w:tc>
          <w:tcPr>
            <w:tcW w:type="dxa" w:w="864"/>
            <w:vAlign w:val="center"/>
          </w:tcPr>
          <w:p>
            <w:pPr>
              <w:keepNext/>
              <w:spacing w:line="240" w:lineRule="auto" w:after="60"/>
            </w:pPr>
            <w:r>
              <w:rPr>
                <w:rFonts w:ascii="Arial" w:hAnsi="Arial"/>
                <w:b w:val="0"/>
                <w:sz w:val="18"/>
              </w:rPr>
              <w:t>18</w:t>
            </w:r>
          </w:p>
        </w:tc>
        <w:tc>
          <w:tcPr>
            <w:tcW w:type="dxa" w:w="864"/>
            <w:vAlign w:val="center"/>
          </w:tcPr>
          <w:p>
            <w:pPr>
              <w:keepNext/>
              <w:spacing w:line="240" w:lineRule="auto" w:after="60"/>
            </w:pPr>
            <w:r>
              <w:rPr>
                <w:rFonts w:ascii="Arial" w:hAnsi="Arial"/>
                <w:b w:val="0"/>
                <w:sz w:val="18"/>
              </w:rPr>
              <w:t>150</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[5,4 %; 21,9 %]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33,3 %]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53,2 %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168 instancias con oclusión fuerte son sillas y 137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49,7 %, 10,7 %; con etiquetas de alta confianza son 69,9 %, 54,8 %, 11,1 %,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La revisión de etiquetas no modifica las cajas ni clases originales. Antes de formular conclusiones definitivas, deben resolverse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Se desarrolló un sistema integrado de asistencia visual en Android que conecta captura bajo demanda, preprocesamiento, detección, selección configurable de objetos, localización relativa en seis zonas y descripción auditiva local en español e inglés. La arquitectura modular incorpora CameraX, EfficientDet-Lite2, geometría letterbox y síntesis de voz con sherpa-onnx. La selección del detector se sustentó en AP50 de 0,648, </w:t>
      </w:r>
      <w:r>
        <w:rPr>
          <w:i/>
        </w:rPr>
        <w:t>recall</w:t>
      </w:r>
      <w:r>
        <w:t xml:space="preserve"> de 0,677 y latencia aislada de 124,9 ms</w:t>
      </w:r>
      <w:r>
        <w:rPr>
          <w:i/>
        </w:rPr>
        <w:t xml:space="preserve"/>
      </w:r>
      <w:r>
        <w:t xml:space="preserve"> en Redmi Note 13. Las 34 pruebas JVM y la reproducción instrumentada en Android respaldan la verificación técnica de componentes; no constituyen validación de comprensión auditiva ni de uso con personas con discapacidad visual.</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Bajo la orientación hacia los objetos utilizada en estas capturas, la elección por cantidad favorece provisionalmente Gorillapod 0,5x, mientras la elección por equilibrio precisión-recall favorece pecho 1x. Las comparaciones no establecen un ganador universal y deben confirmarse en escenas nuevas.</w:t>
      </w:r>
      <w:r>
        <w:rPr>
          <w:i/>
        </w:rPr>
        <w:t/>
      </w:r>
      <w:r>
        <w:t xml:space="preserve"/>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con revisión parcial del autor;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 xml:space="preserve">/results/android.json (predicciones) y los scripts de métricas, escenas, estadística y profundidad. Los borradores no son etiquetas finales. verify_package.py comprueba el archivo base; Documents/Review registra esta revisión. Los cálculos emplean NumPy </w:t>
      </w:r>
      <w:hyperlink w:anchor="bib_ref_47" w:history="1">
        <w:r>
          <w:t xml:space="preserve">[47]</w:t>
        </w:r>
      </w:hyperlink>
      <w:r>
        <w:t xml:space="preserve">, la evaluación COCO utiliza pycocotools </w:t>
      </w:r>
      <w:hyperlink w:anchor="bib_ref_27" w:history="1">
        <w:r>
          <w:t xml:space="preserve">[27]</w:t>
        </w:r>
      </w:hyperlink>
      <w:r>
        <w:t xml:space="preserve"> y los gráficos se generan con Matplotlib </w:t>
      </w:r>
      <w:hyperlink w:anchor="bib_ref_49" w:history="1">
        <w:r>
          <w:t xml:space="preserve">[49]</w:t>
        </w:r>
      </w:hyperlink>
      <w:r>
        <w:t xml:space="preserve">.</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 xml:space="preserve">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Build/Testing/LEEME.md documenta la reproducción, los hashes y los límites de cada ejecución. La configuración y los módulos corresponden a la revisión de la app indicada en </w:t>
      </w:r>
      <w:hyperlink w:anchor="bib_ref_34" w:history="1">
        <w:r>
          <w:t xml:space="preserve">[34]</w:t>
        </w:r>
      </w:hyperlink>
      <w:r>
        <w:t xml:space="preserve">.</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keepLines w:val="1"/>
      </w:pPr>
      <w:bookmarkStart w:id="1085" w:name="bib_ref_1"/>
      <w:r>
        <w:t xml:space="preserve">[1] World Health Organization, World report on vision. Geneva, Switzerland: World Health Organization, 2019. [Online]. Available: </w:t>
      </w:r>
      <w:hyperlink r:id="rIdBib32" w:history="1">
        <w:r>
          <w:t xml:space="preserve">https://www.who.int/publications/i/item/9789241516570</w:t>
        </w:r>
      </w:hyperlink>
      <w:r>
        <w:t xml:space="preserve">.</w:t>
      </w:r>
      <w:bookmarkEnd w:id="1085"/>
    </w:p>
    <w:p>
      <w:pPr>
        <w:pStyle w:val="Normal"/>
        <w:spacing w:line="360" w:lineRule="auto"/>
        <w:jc w:val="left"/>
        <w:ind w:left="720" w:hanging="720"/>
        <w:keepLines w:val="1"/>
      </w:pPr>
      <w:bookmarkStart w:id="1086" w:name="bib_ref_2"/>
      <w:r>
        <w:t xml:space="preserve">[2] S. S. More, N. Patil, V. B. Lobo, N. Shet, D. Goswami, and P. Rane, “Empowering the Visually Impaired: YOLOv8-based Object Detection in Android Applications,” Procedia Computer Science, vol. 252, pp. 457–469, 2025. doi: </w:t>
      </w:r>
      <w:hyperlink r:id="rIdBib33" w:history="1">
        <w:r>
          <w:t xml:space="preserve">10.1016/j.procs.2025.01.005</w:t>
        </w:r>
      </w:hyperlink>
      <w:r>
        <w:t xml:space="preserve">.</w:t>
      </w:r>
      <w:bookmarkEnd w:id="1086"/>
    </w:p>
    <w:p>
      <w:pPr>
        <w:pStyle w:val="Normal"/>
        <w:spacing w:line="360" w:lineRule="auto"/>
        <w:jc w:val="left"/>
        <w:ind w:left="720" w:hanging="720"/>
        <w:keepLines w:val="1"/>
      </w:pPr>
      <w:bookmarkStart w:id="1087" w:name="bib_ref_3"/>
      <w:r>
        <w:t xml:space="preserve">[3] R. Meenakshi, R. Ponnusamy, S. Alghamdi, O. I. Khalaf, and Y. Alotaibi, “Development of Mobile App to Support the Mobility of Visually Impaired People,” Computers, Materials &amp; Continua, vol. 73, no. 2, pp. 3473–3495, 2022. doi: </w:t>
      </w:r>
      <w:hyperlink r:id="rIdBib10" w:history="1">
        <w:r>
          <w:t xml:space="preserve">10.32604/cmc.2022.028540</w:t>
        </w:r>
      </w:hyperlink>
      <w:r>
        <w:t xml:space="preserve">.</w:t>
      </w:r>
      <w:bookmarkEnd w:id="1087"/>
    </w:p>
    <w:p>
      <w:pPr>
        <w:pStyle w:val="Normal"/>
        <w:spacing w:line="360" w:lineRule="auto"/>
        <w:jc w:val="left"/>
        <w:ind w:left="720" w:hanging="720"/>
        <w:keepLines w:val="1"/>
      </w:pPr>
      <w:bookmarkStart w:id="1088" w:name="bib_ref_4"/>
      <w:r>
        <w:t xml:space="preserve">[4] K. Guravaiah, Y. S. Bhavadeesh, P. Shwejan, A. H. Vardhan, and S. Lavanya, “Third Eye: Object Recognition and Speech Generation for Visually Impaired,” Procedia Computer Science, vol. 218, pp. 1144–1155, 2023. doi: </w:t>
      </w:r>
      <w:hyperlink r:id="rIdBib11" w:history="1">
        <w:r>
          <w:t xml:space="preserve">10.1016/j.procs.2023.01.093</w:t>
        </w:r>
      </w:hyperlink>
      <w:r>
        <w:t xml:space="preserve">.</w:t>
      </w:r>
      <w:bookmarkEnd w:id="1088"/>
    </w:p>
    <w:p>
      <w:pPr>
        <w:pStyle w:val="Normal"/>
        <w:spacing w:line="360" w:lineRule="auto"/>
        <w:jc w:val="left"/>
        <w:ind w:left="720" w:hanging="720"/>
        <w:keepLines w:val="1"/>
      </w:pPr>
      <w:bookmarkStart w:id="1089" w:name="bib_ref_5"/>
      <w:r>
        <w:t xml:space="preserve">[5] TensorFlow, “TensorFlow Lite,” TensorFlow. [Online]. Available: </w:t>
      </w:r>
      <w:hyperlink r:id="rIdBib3" w:history="1">
        <w:r>
          <w:t xml:space="preserve">https://www.tensorflow.org/lite/guide</w:t>
        </w:r>
      </w:hyperlink>
      <w:r>
        <w:t xml:space="preserve">.</w:t>
      </w:r>
      <w:bookmarkEnd w:id="1089"/>
    </w:p>
    <w:p>
      <w:pPr>
        <w:pStyle w:val="Normal"/>
        <w:spacing w:line="360" w:lineRule="auto"/>
        <w:jc w:val="left"/>
        <w:ind w:left="720" w:hanging="720"/>
        <w:keepLines w:val="1"/>
      </w:pPr>
      <w:bookmarkStart w:id="1090" w:name="bib_ref_6"/>
      <w:r>
        <w:t xml:space="preserve">[6] S. Ren, K. He, R. Girshick, and J. Sun, “Faster R-CNN: Towards Real-Time Object Detection with Region Proposal Networks,” </w:t>
      </w:r>
      <w:hyperlink r:id="rIdBib4" w:history="1">
        <w:r>
          <w:t xml:space="preserve">arXiv:1506.01497</w:t>
        </w:r>
      </w:hyperlink>
      <w:r>
        <w:t xml:space="preserve">, 2015. doi: </w:t>
      </w:r>
      <w:hyperlink r:id="rIdBib5" w:history="1">
        <w:r>
          <w:t xml:space="preserve">10.48550/arXiv.1506.01497</w:t>
        </w:r>
      </w:hyperlink>
      <w:r>
        <w:t xml:space="preserve">.</w:t>
      </w:r>
      <w:bookmarkEnd w:id="1090"/>
    </w:p>
    <w:p>
      <w:pPr>
        <w:pStyle w:val="Normal"/>
        <w:spacing w:line="360" w:lineRule="auto"/>
        <w:jc w:val="left"/>
        <w:ind w:left="720" w:hanging="720"/>
        <w:keepLines w:val="1"/>
      </w:pPr>
      <w:bookmarkStart w:id="1091" w:name="bib_ref_7"/>
      <w:r>
        <w:t xml:space="preserve">[7] J. Redmon, S. Divvala, R. Girshick, and A. Farhadi, “You Only Look Once: Unified, Real-Time Object Detection,” in 2016 IEEE Conference on Computer Vision and Pattern Recognition (CVPR), Jun. 2016, pp. 779–788. doi: </w:t>
      </w:r>
      <w:hyperlink r:id="rIdBib6" w:history="1">
        <w:r>
          <w:t xml:space="preserve">10.1109/CVPR.2016.91</w:t>
        </w:r>
      </w:hyperlink>
      <w:r>
        <w:t xml:space="preserve">.</w:t>
      </w:r>
      <w:bookmarkEnd w:id="1091"/>
    </w:p>
    <w:p>
      <w:pPr>
        <w:pStyle w:val="Normal"/>
        <w:spacing w:line="360" w:lineRule="auto"/>
        <w:jc w:val="left"/>
        <w:ind w:left="720" w:hanging="720"/>
        <w:keepLines w:val="1"/>
      </w:pPr>
      <w:bookmarkStart w:id="1092" w:name="bib_ref_8"/>
      <w:r>
        <w:t xml:space="preserve">[8] W. Liu et al., “SSD: Single Shot MultiBox Detector,” in Computer Vision – ECCV 2016, Cham: Springer International Publishing, 2016, pp. 21–37. doi: </w:t>
      </w:r>
      <w:hyperlink r:id="rIdBib7" w:history="1">
        <w:r>
          <w:t xml:space="preserve">10.1007/978-3-319-46448-0_2</w:t>
        </w:r>
      </w:hyperlink>
      <w:r>
        <w:t xml:space="preserve">.</w:t>
      </w:r>
      <w:bookmarkEnd w:id="1092"/>
    </w:p>
    <w:p>
      <w:pPr>
        <w:pStyle w:val="Normal"/>
        <w:spacing w:line="360" w:lineRule="auto"/>
        <w:jc w:val="left"/>
        <w:ind w:left="720" w:hanging="720"/>
        <w:keepLines w:val="1"/>
      </w:pPr>
      <w:bookmarkStart w:id="1093" w:name="bib_ref_9"/>
      <w:r>
        <w:t xml:space="preserve">[9] M. Tan, R. Pang, and Q. V. Le, “EfficientDet: Scalable and Efficient Object Detection,” in 2020 IEEE/CVF Conference on Computer Vision and Pattern Recognition (CVPR), Jun. 2020, pp. 10781–10790. doi: </w:t>
      </w:r>
      <w:hyperlink r:id="rIdBib8" w:history="1">
        <w:r>
          <w:t xml:space="preserve">10.1109/CVPR42600.2020.01079</w:t>
        </w:r>
      </w:hyperlink>
      <w:r>
        <w:t xml:space="preserve">.</w:t>
      </w:r>
      <w:bookmarkEnd w:id="1093"/>
    </w:p>
    <w:p>
      <w:pPr>
        <w:jc w:val="left"/>
        <w:keepLines w:val="1"/>
      </w:pPr>
      <w:bookmarkStart w:id="1094" w:name="bib_ref_10"/>
      <w:r>
        <w:t>[10]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bookmarkEnd w:id="1094"/>
    </w:p>
    <w:p>
      <w:pPr>
        <w:pStyle w:val="Normal"/>
        <w:spacing w:line="360" w:lineRule="auto"/>
        <w:jc w:val="left"/>
        <w:ind w:left="720" w:hanging="720"/>
        <w:keepLines w:val="1"/>
      </w:pPr>
      <w:bookmarkStart w:id="1095" w:name="bib_ref_11"/>
      <w:r>
        <w:t>[11] Universidad del Magdalena, “Plan de Desarrollo UNIMAGDALENA Comprometida 2020–2030,” Santa Marta, Colombia, 2020.</w:t>
      </w:r>
      <w:bookmarkEnd w:id="1095"/>
    </w:p>
    <w:p>
      <w:pPr>
        <w:pStyle w:val="Normal"/>
        <w:spacing w:line="360" w:lineRule="auto"/>
        <w:jc w:val="left"/>
        <w:ind w:left="720" w:hanging="720"/>
        <w:keepLines w:val="1"/>
      </w:pPr>
      <w:bookmarkStart w:id="1096" w:name="bib_ref_12"/>
      <w:r>
        <w:t>[12] Universidad del Magdalena, “Plan de Gobierno Rectoral 2024–2028,” Santa Marta, Colombia, 2024.</w:t>
      </w:r>
      <w:bookmarkEnd w:id="1096"/>
    </w:p>
    <w:p>
      <w:pPr>
        <w:pStyle w:val="Normal"/>
        <w:spacing w:line="360" w:lineRule="auto"/>
        <w:jc w:val="left"/>
        <w:ind w:left="720" w:hanging="720"/>
        <w:keepLines w:val="1"/>
      </w:pPr>
      <w:bookmarkStart w:id="1097" w:name="bib_ref_13"/>
      <w:r>
        <w:t xml:space="preserve">[13] D. R. Pawar, “Deep Learning-Driven Assistive Technology for Blind Users: Real-Time Object Detection and Speech Feedback on Android,” preprint, may. 2025. doi: </w:t>
      </w:r>
      <w:hyperlink r:id="rIdBib34" w:history="1">
        <w:r>
          <w:t xml:space="preserve">10.13140/RG.2.2.28125.12005</w:t>
        </w:r>
      </w:hyperlink>
      <w:r>
        <w:t xml:space="preserve">.</w:t>
      </w:r>
      <w:bookmarkEnd w:id="1097"/>
    </w:p>
    <w:p>
      <w:pPr>
        <w:pStyle w:val="Normal"/>
        <w:spacing w:line="360" w:lineRule="auto"/>
        <w:jc w:val="left"/>
        <w:ind w:left="720" w:hanging="720"/>
        <w:keepLines w:val="1"/>
      </w:pPr>
      <w:bookmarkStart w:id="1098" w:name="bib_ref_14"/>
      <w:r>
        <w:t xml:space="preserve">[14] J. Figura, R. Kuźmiczuk, and M. Badurowicz, “Analysis of object recognition systems using augmented reality glasses,” Journal of Computer Sciences Institute, vol. 34, pp. 8–13, 2025. doi: </w:t>
      </w:r>
      <w:hyperlink r:id="rIdBib35" w:history="1">
        <w:r>
          <w:t xml:space="preserve">10.35784/jcsi.6469</w:t>
        </w:r>
      </w:hyperlink>
      <w:r>
        <w:t xml:space="preserve">.</w:t>
      </w:r>
      <w:bookmarkEnd w:id="1098"/>
    </w:p>
    <w:p>
      <w:pPr>
        <w:pStyle w:val="Normal"/>
        <w:spacing w:line="360" w:lineRule="auto"/>
        <w:jc w:val="left"/>
        <w:ind w:left="720" w:hanging="720"/>
        <w:keepLines w:val="1"/>
      </w:pPr>
      <w:bookmarkStart w:id="1099" w:name="bib_ref_15"/>
      <w:r>
        <w:t xml:space="preserve">[15] A. G. Howard, M. Zhu, B. Chen, D. Kalenichenko, W. Wang, T. Weyand, M. Andreetto, and H. Adam, “MobileNets: Efficient Convolutional Neural Networks for Mobile Vision Applications,” </w:t>
      </w:r>
      <w:hyperlink r:id="rIdBib13" w:history="1">
        <w:r>
          <w:t xml:space="preserve">arXiv:1704.04861</w:t>
        </w:r>
      </w:hyperlink>
      <w:r>
        <w:t xml:space="preserve">, 2017.</w:t>
      </w:r>
      <w:bookmarkEnd w:id="1099"/>
    </w:p>
    <w:p>
      <w:pPr>
        <w:pStyle w:val="Normal"/>
        <w:spacing w:line="360" w:lineRule="auto"/>
        <w:jc w:val="left"/>
        <w:ind w:left="720" w:hanging="720"/>
        <w:keepLines w:val="1"/>
      </w:pPr>
      <w:bookmarkStart w:id="1100" w:name="bib_ref_16"/>
      <w:r>
        <w:t xml:space="preserve">[16] M. Sandler, A. Howard, M. Zhu, A. Zhmoginov, and L.-C. Chen, “MobileNetV2: Inverted Residuals and Linear Bottlenecks,” in 2018 IEEE/CVF Conference on Computer Vision and Pattern Recognition (CVPR), Jun. 2018, pp. 4510–4520. doi: </w:t>
      </w:r>
      <w:hyperlink r:id="rIdBib14" w:history="1">
        <w:r>
          <w:t xml:space="preserve">10.1109/CVPR.2018.00474</w:t>
        </w:r>
      </w:hyperlink>
      <w:r>
        <w:t xml:space="preserve">.</w:t>
      </w:r>
      <w:bookmarkEnd w:id="1100"/>
    </w:p>
    <w:p>
      <w:pPr>
        <w:pStyle w:val="Normal"/>
        <w:spacing w:line="360" w:lineRule="auto"/>
        <w:jc w:val="left"/>
        <w:ind w:left="720" w:hanging="720"/>
        <w:keepLines w:val="1"/>
      </w:pPr>
      <w:bookmarkStart w:id="1101" w:name="bib_ref_17"/>
      <w:r>
        <w:t xml:space="preserve">[17] J. Dai, “Real-time and accurate object detection on edge device with TensorFlow Lite,” Journal of Physics: Conference Series, vol. 1651, no. 1, Art. no. 012114, 2020. doi: </w:t>
      </w:r>
      <w:hyperlink r:id="rIdBib15" w:history="1">
        <w:r>
          <w:t xml:space="preserve">10.1088/1742-6596/1651/1/012114</w:t>
        </w:r>
      </w:hyperlink>
      <w:r>
        <w:t xml:space="preserve">.</w:t>
      </w:r>
      <w:bookmarkEnd w:id="1101"/>
    </w:p>
    <w:p>
      <w:pPr>
        <w:pStyle w:val="Normal"/>
        <w:spacing w:line="360" w:lineRule="auto"/>
        <w:jc w:val="left"/>
        <w:ind w:left="720" w:hanging="720"/>
        <w:keepLines w:val="1"/>
      </w:pPr>
      <w:bookmarkStart w:id="1102" w:name="bib_ref_18"/>
      <w:r>
        <w:t xml:space="preserve">[18] A. Magdy, M. S. Moustafa, H. M. Ebied, and M. F. Tolba, “Lightweight faster R-CNN for object detection in optical remote sensing images,” Scientific Reports, vol. 15, Art. no. 16163, 2025. doi: </w:t>
      </w:r>
      <w:hyperlink r:id="rIdBib16" w:history="1">
        <w:r>
          <w:t xml:space="preserve">10.1038/s41598-025-99242-y</w:t>
        </w:r>
      </w:hyperlink>
      <w:r>
        <w:t xml:space="preserve">.</w:t>
      </w:r>
      <w:bookmarkEnd w:id="1102"/>
    </w:p>
    <w:p>
      <w:pPr>
        <w:pStyle w:val="Normal"/>
        <w:spacing w:line="360" w:lineRule="auto"/>
        <w:jc w:val="left"/>
        <w:ind w:left="720" w:hanging="720"/>
        <w:keepLines w:val="1"/>
      </w:pPr>
      <w:bookmarkStart w:id="1103" w:name="bib_ref_19"/>
      <w:r>
        <w:t xml:space="preserve">[19] Google, “Object Detection with TensorFlow Lite Model Maker,” Google AI Edge. [Online]. Available: </w:t>
      </w:r>
      <w:hyperlink r:id="rIdBib36" w:history="1">
        <w:r>
          <w:t xml:space="preserve">https://developers.google.com/edge/litert/libraries/modify/object_detection</w:t>
        </w:r>
      </w:hyperlink>
      <w:r>
        <w:t xml:space="preserve">. Consultado: 20 oct. 2026.</w:t>
      </w:r>
      <w:bookmarkEnd w:id="1103"/>
    </w:p>
    <w:p>
      <w:pPr>
        <w:pStyle w:val="Normal"/>
        <w:spacing w:line="360" w:lineRule="auto"/>
        <w:jc w:val="left"/>
        <w:ind w:left="720" w:hanging="720"/>
        <w:keepLines w:val="1"/>
      </w:pPr>
      <w:bookmarkStart w:id="1104" w:name="bib_ref_20"/>
      <w:r>
        <w:t xml:space="preserve">[20] Ultralytics, “Explore Ultralytics YOLOv8,” Ultralytics documentation. [Online]. Available: </w:t>
      </w:r>
      <w:hyperlink r:id="rIdBib37" w:history="1">
        <w:r>
          <w:t xml:space="preserve">https://docs.ultralytics.com/models/yolov8/</w:t>
        </w:r>
      </w:hyperlink>
      <w:r>
        <w:t xml:space="preserve">. Consultado: 20 oct. 2026.</w:t>
      </w:r>
      <w:bookmarkEnd w:id="1104"/>
    </w:p>
    <w:p>
      <w:pPr>
        <w:pStyle w:val="Normal"/>
        <w:spacing w:line="360" w:lineRule="auto"/>
        <w:jc w:val="left"/>
        <w:ind w:left="720" w:hanging="720"/>
        <w:keepLines w:val="1"/>
      </w:pPr>
      <w:bookmarkStart w:id="1105" w:name="bib_ref_21"/>
      <w:r>
        <w:t xml:space="preserve">[21] Ultralytics, “Ultralytics YOLO11,” Ultralytics documentation. [Online]. Available: </w:t>
      </w:r>
      <w:hyperlink r:id="rIdBib38" w:history="1">
        <w:r>
          <w:t xml:space="preserve">https://docs.ultralytics.com/models/yolo11/</w:t>
        </w:r>
      </w:hyperlink>
      <w:r>
        <w:t xml:space="preserve">. Consultado: 20 oct. 2026.</w:t>
      </w:r>
      <w:bookmarkEnd w:id="1105"/>
    </w:p>
    <w:p>
      <w:pPr>
        <w:pStyle w:val="Normal"/>
        <w:spacing w:line="360" w:lineRule="auto"/>
        <w:jc w:val="left"/>
        <w:ind w:left="720" w:hanging="720"/>
        <w:keepLines w:val="1"/>
      </w:pPr>
      <w:bookmarkStart w:id="1106" w:name="bib_ref_22"/>
      <w:r>
        <w:t xml:space="preserve">[22] T.-Y. Lin et al., “Microsoft COCO: Common Objects in Context,” in Computer Vision – ECCV 2014, Cham: Springer International Publishing, 2014, pp. 740–755. doi: </w:t>
      </w:r>
      <w:hyperlink r:id="rIdBib12" w:history="1">
        <w:r>
          <w:t xml:space="preserve">10.1007/978-3-319-10602-1_48</w:t>
        </w:r>
      </w:hyperlink>
      <w:r>
        <w:t xml:space="preserve">.</w:t>
      </w:r>
      <w:bookmarkEnd w:id="1106"/>
    </w:p>
    <w:p>
      <w:pPr>
        <w:pStyle w:val="Normal"/>
        <w:spacing w:line="360" w:lineRule="auto"/>
        <w:jc w:val="left"/>
        <w:ind w:left="720" w:hanging="720"/>
        <w:keepLines w:val="1"/>
      </w:pPr>
      <w:bookmarkStart w:id="1107" w:name="bib_ref_23"/>
      <w:r>
        <w:t xml:space="preserve">[23] A. Kuznetsova et al., “The Open Images Dataset V4: Unified image classification, object detection, and visual relationship detection at scale,” International Journal of Computer Vision, vol. 128, pp. 1956–1981, 2020. doi: </w:t>
      </w:r>
      <w:hyperlink r:id="rIdBib17" w:history="1">
        <w:r>
          <w:t xml:space="preserve">10.1007/s11263-020-01316-z</w:t>
        </w:r>
      </w:hyperlink>
      <w:r>
        <w:t xml:space="preserve">.</w:t>
      </w:r>
      <w:bookmarkEnd w:id="1107"/>
    </w:p>
    <w:p>
      <w:pPr>
        <w:pStyle w:val="Normal"/>
        <w:spacing w:line="360" w:lineRule="auto"/>
        <w:jc w:val="left"/>
        <w:ind w:left="720" w:hanging="720"/>
        <w:keepLines w:val="1"/>
      </w:pPr>
      <w:bookmarkStart w:id="1108" w:name="bib_ref_24"/>
      <w:r>
        <w:t xml:space="preserve">[24] “ONNX Runtime,” ONNX Runtime. [Online]. Available: </w:t>
      </w:r>
      <w:hyperlink r:id="rIdBib18" w:history="1">
        <w:r>
          <w:t xml:space="preserve">https://onnxruntime.ai/docs/</w:t>
        </w:r>
      </w:hyperlink>
      <w:r>
        <w:t xml:space="preserve">.</w:t>
      </w:r>
      <w:bookmarkEnd w:id="1108"/>
    </w:p>
    <w:p>
      <w:pPr>
        <w:pStyle w:val="Normal"/>
        <w:spacing w:line="360" w:lineRule="auto"/>
        <w:jc w:val="left"/>
        <w:ind w:left="720" w:hanging="720"/>
        <w:keepLines w:val="1"/>
      </w:pPr>
      <w:bookmarkStart w:id="1109" w:name="bib_ref_25"/>
      <w:r>
        <w:t xml:space="preserve">[25] “ExecuTorch Documentation,” PyTorch. [Online]. Available: </w:t>
      </w:r>
      <w:hyperlink r:id="rIdBib19" w:history="1">
        <w:r>
          <w:t xml:space="preserve">https://pytorch.org/executorch/stable/</w:t>
        </w:r>
      </w:hyperlink>
      <w:r>
        <w:t xml:space="preserve">.</w:t>
      </w:r>
      <w:bookmarkEnd w:id="1109"/>
    </w:p>
    <w:p>
      <w:pPr>
        <w:pStyle w:val="Normal"/>
        <w:spacing w:line="360" w:lineRule="auto"/>
        <w:jc w:val="left"/>
        <w:ind w:left="720" w:hanging="720"/>
        <w:keepLines w:val="1"/>
      </w:pPr>
      <w:bookmarkStart w:id="1110" w:name="bib_ref_26"/>
      <w:r>
        <w:t xml:space="preserve">[26] N. Carion, F. Massa, G. Synnaeve, N. Usunier, A. Kirillov, and S. Zagoruyko, “End-to-End Object Detection with Transformers,” in Computer Vision – ECCV 2020, Cham: Springer International Publishing, 2020, pp. 213–229. doi: </w:t>
      </w:r>
      <w:hyperlink r:id="rIdBib20" w:history="1">
        <w:r>
          <w:t xml:space="preserve">10.1007/978-3-030-58452-8_13</w:t>
        </w:r>
      </w:hyperlink>
      <w:r>
        <w:t xml:space="preserve">.</w:t>
      </w:r>
      <w:bookmarkEnd w:id="1110"/>
    </w:p>
    <w:p>
      <w:pPr>
        <w:pStyle w:val="Normal"/>
        <w:spacing w:line="360" w:lineRule="auto"/>
        <w:jc w:val="left"/>
        <w:ind w:left="720" w:hanging="720"/>
        <w:keepLines w:val="1"/>
      </w:pPr>
      <w:bookmarkStart w:id="1111" w:name="bib_ref_27"/>
      <w:r>
        <w:t xml:space="preserve">[27] COCO dataset contributors, “COCO API: PythonAPI/pycocotools/cocoeval.py,” repositorio de software. [Online]. Available: </w:t>
      </w:r>
      <w:hyperlink r:id="rIdBib39" w:history="1">
        <w:r>
          <w:t xml:space="preserve">https://github.com/cocodataset/cocoapi/blob/master/PythonAPI/pycocotools/cocoeval.py</w:t>
        </w:r>
      </w:hyperlink>
      <w:r>
        <w:t xml:space="preserve">. Consultado: 20 oct. 2026.</w:t>
      </w:r>
      <w:bookmarkEnd w:id="1111"/>
    </w:p>
    <w:p>
      <w:pPr>
        <w:pStyle w:val="Normal"/>
        <w:spacing w:line="360" w:lineRule="auto"/>
        <w:jc w:val="left"/>
        <w:ind w:left="720" w:hanging="720"/>
        <w:keepLines w:val="1"/>
      </w:pPr>
      <w:bookmarkStart w:id="1112" w:name="bib_ref_28"/>
      <w:r>
        <w:t xml:space="preserve">[28] C. D. Manning, P. Raghavan, and H. Schütze, Introduction to Information Retrieval. Cambridge University Press, 2008, sec. 8.3. [Online]. Available: </w:t>
      </w:r>
      <w:hyperlink r:id="rIdBib40" w:history="1">
        <w:r>
          <w:t xml:space="preserve">https://nlp.stanford.edu/IR-book/html/htmledition/evaluation-of-unranked-retrieval-sets-1.html</w:t>
        </w:r>
      </w:hyperlink>
      <w:r>
        <w:t xml:space="preserve">.</w:t>
      </w:r>
      <w:bookmarkEnd w:id="1112"/>
    </w:p>
    <w:p>
      <w:pPr>
        <w:pStyle w:val="Normal"/>
        <w:spacing w:line="360" w:lineRule="auto"/>
        <w:jc w:val="left"/>
        <w:ind w:left="720" w:hanging="720"/>
        <w:keepLines w:val="1"/>
      </w:pPr>
      <w:bookmarkStart w:id="1113" w:name="bib_ref_29"/>
      <w:r>
        <w:t xml:space="preserve">[29] TensorFlow contributors, “Performance measurement,” TensorFlow Lite documentation, archivo performance/measurement.md. [Online]. Available: </w:t>
      </w:r>
      <w:hyperlink r:id="rIdBib41" w:history="1">
        <w:r>
          <w:t xml:space="preserve">https://github.com/tensorflow/tensorflow/blob/master/tensorflow/lite/g3doc/performance/measurement.md</w:t>
        </w:r>
      </w:hyperlink>
      <w:r>
        <w:t xml:space="preserve">. Consultado: 20 oct. 2026.</w:t>
      </w:r>
      <w:bookmarkEnd w:id="1113"/>
    </w:p>
    <w:p>
      <w:pPr>
        <w:pStyle w:val="Normal"/>
        <w:spacing w:line="360" w:lineRule="auto"/>
        <w:jc w:val="left"/>
        <w:ind w:left="720" w:hanging="720"/>
        <w:keepLines w:val="1"/>
      </w:pPr>
      <w:bookmarkStart w:id="1114" w:name="bib_ref_30"/>
      <w:r>
        <w:t xml:space="preserve">[30] Android Developers, “Android Debug Bridge (adb),” Android Studio. [Online]. Available: </w:t>
      </w:r>
      <w:hyperlink r:id="rIdBib22" w:history="1">
        <w:r>
          <w:t xml:space="preserve">https://developer.android.com/tools/adb</w:t>
        </w:r>
      </w:hyperlink>
      <w:r>
        <w:t xml:space="preserve">.</w:t>
      </w:r>
      <w:bookmarkEnd w:id="1114"/>
    </w:p>
    <w:p>
      <w:pPr>
        <w:pStyle w:val="Normal"/>
        <w:spacing w:line="360" w:lineRule="auto"/>
        <w:jc w:val="left"/>
        <w:ind w:left="720" w:hanging="720"/>
        <w:keepLines w:val="1"/>
      </w:pPr>
      <w:bookmarkStart w:id="1115" w:name="bib_ref_31"/>
      <w:r>
        <w:t xml:space="preserve">[31] Google, “GPU acceleration delegate with Interpreter API,” Google AI Edge. [Online]. Available: </w:t>
      </w:r>
      <w:hyperlink r:id="rIdBib23" w:history="1">
        <w:r>
          <w:t xml:space="preserve">https://developers.google.com/edge/litert/android/gpu</w:t>
        </w:r>
      </w:hyperlink>
      <w:r>
        <w:t xml:space="preserve">.</w:t>
      </w:r>
      <w:bookmarkEnd w:id="1115"/>
    </w:p>
    <w:p>
      <w:pPr>
        <w:pStyle w:val="Normal"/>
        <w:spacing w:line="360" w:lineRule="auto"/>
        <w:jc w:val="left"/>
        <w:ind w:left="720" w:hanging="720"/>
        <w:keepLines w:val="1"/>
      </w:pPr>
      <w:bookmarkStart w:id="1116" w:name="bib_ref_32"/>
      <w:r>
        <w:t xml:space="preserve">[32] Khronos Group, “OpenCL – The Open Standard for Parallel Programming of Heterogeneous Systems.” [Online]. Available: </w:t>
      </w:r>
      <w:hyperlink r:id="rIdBib25" w:history="1">
        <w:r>
          <w:t xml:space="preserve">https://www.khronos.org/opencl/</w:t>
        </w:r>
      </w:hyperlink>
      <w:r>
        <w:t xml:space="preserve">.</w:t>
      </w:r>
      <w:bookmarkEnd w:id="1116"/>
    </w:p>
    <w:p>
      <w:pPr>
        <w:pStyle w:val="Normal"/>
        <w:spacing w:line="360" w:lineRule="auto"/>
        <w:jc w:val="left"/>
        <w:ind w:left="720" w:hanging="720"/>
        <w:keepLines w:val="1"/>
      </w:pPr>
      <w:bookmarkStart w:id="1117" w:name="bib_ref_33"/>
      <w:r>
        <w:t xml:space="preserve">[33] Roboflow, “Roboflow: Computer vision tools for developers and enterprises.” [Online]. Available: </w:t>
      </w:r>
      <w:hyperlink r:id="rIdBib24" w:history="1">
        <w:r>
          <w:t xml:space="preserve">https://roboflow.com/</w:t>
        </w:r>
      </w:hyperlink>
      <w:r>
        <w:t xml:space="preserve">.</w:t>
      </w:r>
      <w:bookmarkEnd w:id="1117"/>
    </w:p>
    <w:p>
      <w:pPr>
        <w:jc w:val="left"/>
        <w:keepLines w:val="1"/>
      </w:pPr>
      <w:bookmarkStart w:id="1118" w:name="bib_ref_34"/>
      <w:r>
        <w:t xml:space="preserve">[34] D. Cerda, “AssistiveVision,” código fuente, revisión 85c852ddcb543bce1bd69ad0db307f895d597881. [Online]. Available: </w:t>
      </w:r>
      <w:hyperlink r:id="rIdBib30" w:history="1">
        <w:r>
          <w:t xml:space="preserve">https://github.com/diomedescerda/AssistiveVision</w:t>
        </w:r>
      </w:hyperlink>
      <w:r>
        <w:t xml:space="preserve">.</w:t>
      </w:r>
      <w:bookmarkEnd w:id="1118"/>
    </w:p>
    <w:p>
      <w:pPr>
        <w:pStyle w:val="Normal"/>
        <w:spacing w:line="360" w:lineRule="auto"/>
        <w:jc w:val="left"/>
        <w:ind w:left="720" w:hanging="720"/>
        <w:keepLines w:val="1"/>
      </w:pPr>
      <w:bookmarkStart w:id="1119" w:name="bib_ref_35"/>
      <w:r>
        <w:t xml:space="preserve">[35] Google, “CameraX,” Android Developers. [Online]. Available: </w:t>
      </w:r>
      <w:hyperlink r:id="rIdBib26" w:history="1">
        <w:r>
          <w:t xml:space="preserve">https://developer.android.com/media/camera/camerax</w:t>
        </w:r>
      </w:hyperlink>
      <w:r>
        <w:t xml:space="preserve">.</w:t>
      </w:r>
      <w:bookmarkEnd w:id="1119"/>
    </w:p>
    <w:p>
      <w:pPr>
        <w:jc w:val="left"/>
        <w:keepLines w:val="1"/>
      </w:pPr>
      <w:bookmarkStart w:id="1120" w:name="bib_ref_36"/>
      <w:r>
        <w:t xml:space="preserve">[36] Google, “LiteRT for Android,” Google AI Edge. [Online]. Available: </w:t>
      </w:r>
      <w:hyperlink r:id="rIdBib29" w:history="1">
        <w:r>
          <w:t xml:space="preserve">https://developers.google.com/edge/litert/android</w:t>
        </w:r>
      </w:hyperlink>
      <w:r>
        <w:t xml:space="preserve">. Consultado: 14 oct. 2026.</w:t>
      </w:r>
      <w:bookmarkEnd w:id="1120"/>
    </w:p>
    <w:p>
      <w:pPr>
        <w:jc w:val="left"/>
        <w:keepLines w:val="1"/>
      </w:pPr>
      <w:bookmarkStart w:id="1121" w:name="bib_ref_37"/>
      <w:r>
        <w:t xml:space="preserve">[37] k2-fsa, “Text-to-speech,” sherpa-onnx documentation. [Online]. Available: </w:t>
      </w:r>
      <w:hyperlink r:id="rIdBib28" w:history="1">
        <w:r>
          <w:t xml:space="preserve">https://k2-fsa.github.io/sherpa/onnx/tts/index.html</w:t>
        </w:r>
      </w:hyperlink>
      <w:r>
        <w:t xml:space="preserve">. Consultado: 14 oct. 2026.</w:t>
      </w:r>
      <w:bookmarkEnd w:id="1121"/>
    </w:p>
    <w:p>
      <w:pPr>
        <w:pStyle w:val="Normal"/>
        <w:spacing w:line="360" w:lineRule="auto"/>
        <w:jc w:val="left"/>
        <w:ind w:left="720" w:hanging="720"/>
        <w:keepLines w:val="1"/>
      </w:pPr>
      <w:bookmarkStart w:id="1122" w:name="bib_ref_38"/>
      <w:r>
        <w:t xml:space="preserve">[38] J. Kim, J. Kong, and J. Son, “Conditional Variational Autoencoder with Adversarial Learning for End-to-End Text-to-Speech,” </w:t>
      </w:r>
      <w:hyperlink r:id="rIdBib42" w:history="1">
        <w:r>
          <w:t xml:space="preserve">arXiv:2106.06103</w:t>
        </w:r>
      </w:hyperlink>
      <w:r>
        <w:t xml:space="preserve">, 2021. doi: </w:t>
      </w:r>
      <w:hyperlink r:id="rIdBib43" w:history="1">
        <w:r>
          <w:t xml:space="preserve">10.48550/arXiv.2106.06103</w:t>
        </w:r>
      </w:hyperlink>
      <w:r>
        <w:t xml:space="preserve">.</w:t>
      </w:r>
      <w:bookmarkEnd w:id="1122"/>
    </w:p>
    <w:p>
      <w:pPr>
        <w:pStyle w:val="Normal"/>
        <w:spacing w:line="360" w:lineRule="auto"/>
        <w:jc w:val="left"/>
        <w:ind w:left="720" w:hanging="720"/>
        <w:keepLines w:val="1"/>
      </w:pPr>
      <w:bookmarkStart w:id="1123" w:name="bib_ref_39"/>
      <w:r>
        <w:t xml:space="preserve">[39] Rhasspy contributors, “Piper: A fast, local neural text to speech system,” repositorio de software. [Online]. Available: </w:t>
      </w:r>
      <w:hyperlink r:id="rIdBib44" w:history="1">
        <w:r>
          <w:t xml:space="preserve">https://github.com/rhasspy/piper</w:t>
        </w:r>
      </w:hyperlink>
      <w:r>
        <w:t xml:space="preserve">. Consultado: 20 oct. 2026.</w:t>
      </w:r>
      <w:bookmarkEnd w:id="1123"/>
    </w:p>
    <w:p>
      <w:pPr>
        <w:pStyle w:val="Normal"/>
        <w:spacing w:line="360" w:lineRule="auto"/>
        <w:jc w:val="left"/>
        <w:ind w:left="720" w:hanging="720"/>
        <w:keepLines w:val="1"/>
      </w:pPr>
      <w:bookmarkStart w:id="1124" w:name="bib_ref_40"/>
      <w:r>
        <w:t xml:space="preserve">[40] Google, “AudioTrack,” Android Developers. [Online]. Available: </w:t>
      </w:r>
      <w:hyperlink r:id="rIdBib45" w:history="1">
        <w:r>
          <w:t xml:space="preserve">https://developer.android.com/reference/android/media/AudioTrack</w:t>
        </w:r>
      </w:hyperlink>
      <w:r>
        <w:t xml:space="preserve">. Consultado: 20 oct. 2026.</w:t>
      </w:r>
      <w:bookmarkEnd w:id="1124"/>
    </w:p>
    <w:p>
      <w:pPr>
        <w:pStyle w:val="Normal"/>
        <w:spacing w:line="360" w:lineRule="auto"/>
        <w:jc w:val="left"/>
        <w:ind w:left="720" w:hanging="720"/>
        <w:keepLines w:val="1"/>
      </w:pPr>
      <w:bookmarkStart w:id="1125" w:name="bib_ref_41"/>
      <w:r>
        <w:t xml:space="preserve">[41] Google, “DataStore,” Android Developers. [Online]. Available: </w:t>
      </w:r>
      <w:hyperlink r:id="rIdBib46" w:history="1">
        <w:r>
          <w:t xml:space="preserve">https://developer.android.com/topic/libraries/architecture/datastore</w:t>
        </w:r>
      </w:hyperlink>
      <w:r>
        <w:t xml:space="preserve">. Consultado: 20 oct. 2026.</w:t>
      </w:r>
      <w:bookmarkEnd w:id="1125"/>
    </w:p>
    <w:p>
      <w:pPr>
        <w:pStyle w:val="Normal"/>
        <w:spacing w:line="360" w:lineRule="auto"/>
        <w:jc w:val="left"/>
        <w:ind w:left="720" w:hanging="720"/>
        <w:keepLines w:val="1"/>
      </w:pPr>
      <w:bookmarkStart w:id="1126" w:name="bib_ref_42"/>
      <w:r>
        <w:t xml:space="preserve">[42] NIST/SEMATECH, “Analysis of paired observations,” e-Handbook of Statistical Methods, sec. 7.3.1.1. [Online]. Available: </w:t>
      </w:r>
      <w:hyperlink r:id="rIdBib47" w:history="1">
        <w:r>
          <w:t xml:space="preserve">https://www.itl.nist.gov/div898/handbook/prc/section3/prc311.htm</w:t>
        </w:r>
      </w:hyperlink>
      <w:r>
        <w:t xml:space="preserve">. Consultado: 20 oct. 2026.</w:t>
      </w:r>
      <w:bookmarkEnd w:id="1126"/>
    </w:p>
    <w:p>
      <w:pPr>
        <w:pStyle w:val="Normal"/>
        <w:spacing w:line="360" w:lineRule="auto"/>
        <w:jc w:val="left"/>
        <w:ind w:left="720" w:hanging="720"/>
        <w:keepLines w:val="1"/>
      </w:pPr>
      <w:bookmarkStart w:id="1127" w:name="bib_ref_43"/>
      <w:r>
        <w:t xml:space="preserve">[43] B. Efron, “Bootstrap Methods: Another Look at the Jackknife,” The Annals of Statistics, vol. 7, no. 1, pp. 1–26, 1979. doi: </w:t>
      </w:r>
      <w:hyperlink r:id="rIdBib48" w:history="1">
        <w:r>
          <w:t xml:space="preserve">10.1214/aos/1176344552</w:t>
        </w:r>
      </w:hyperlink>
      <w:r>
        <w:t xml:space="preserve">.</w:t>
      </w:r>
      <w:bookmarkEnd w:id="1127"/>
    </w:p>
    <w:p>
      <w:pPr>
        <w:pStyle w:val="Normal"/>
        <w:spacing w:line="360" w:lineRule="auto"/>
        <w:jc w:val="left"/>
        <w:ind w:left="720" w:hanging="720"/>
        <w:keepLines w:val="1"/>
      </w:pPr>
      <w:bookmarkStart w:id="1128" w:name="bib_ref_44"/>
      <w:r>
        <w:t xml:space="preserve">[44] C. A. Field and A. H. Welsh, “Bootstrapping clustered data,” Journal of the Royal Statistical Society: Series B (Statistical Methodology), vol. 69, no. 3, pp. 369–390, 2007. doi: </w:t>
      </w:r>
      <w:hyperlink r:id="rIdBib49" w:history="1">
        <w:r>
          <w:t xml:space="preserve">10.1111/j.1467-9868.2007.00593.x</w:t>
        </w:r>
      </w:hyperlink>
      <w:r>
        <w:t xml:space="preserve">.</w:t>
      </w:r>
      <w:bookmarkEnd w:id="1128"/>
    </w:p>
    <w:p>
      <w:pPr>
        <w:pStyle w:val="Normal"/>
        <w:spacing w:line="360" w:lineRule="auto"/>
        <w:jc w:val="left"/>
        <w:ind w:left="720" w:hanging="720"/>
        <w:keepLines w:val="1"/>
      </w:pPr>
      <w:bookmarkStart w:id="1129" w:name="bib_ref_45"/>
      <w:r>
        <w:t xml:space="preserve">[45] R. Szeliski, “Computer Vision: Algorithms and Applications,” Springer-Verlag, Heidelberg, Berlin, 2010. [Online]. Available: </w:t>
      </w:r>
      <w:hyperlink r:id="rIdBib1" w:history="1">
        <w:r>
          <w:t xml:space="preserve">https://dl.acm.org/doi/book/10.5555/1941882</w:t>
        </w:r>
      </w:hyperlink>
      <w:r>
        <w:t xml:space="preserve">.</w:t>
      </w:r>
      <w:bookmarkEnd w:id="1129"/>
    </w:p>
    <w:p>
      <w:pPr>
        <w:pStyle w:val="Normal"/>
        <w:spacing w:line="360" w:lineRule="auto"/>
        <w:jc w:val="left"/>
        <w:ind w:left="720" w:hanging="720"/>
        <w:keepLines w:val="1"/>
      </w:pPr>
      <w:bookmarkStart w:id="1130" w:name="bib_ref_46"/>
      <w:r>
        <w:t xml:space="preserve">[46] Camera &amp; Imaging Products Association, Exif 2.31 metadata for XMP, borrador CIPA DC-X010-2017, 2017, campo FocalLengthIn35mmFilm. [Online]. Available: </w:t>
      </w:r>
      <w:hyperlink r:id="rIdBib50" w:history="1">
        <w:r>
          <w:t xml:space="preserve">https://www.cipa.jp/std/documents/e/DC-X010-2017.pdf</w:t>
        </w:r>
      </w:hyperlink>
      <w:r>
        <w:t xml:space="preserve">.</w:t>
      </w:r>
      <w:bookmarkEnd w:id="1130"/>
    </w:p>
    <w:p>
      <w:pPr>
        <w:pStyle w:val="Normal"/>
        <w:spacing w:line="360" w:lineRule="auto"/>
        <w:jc w:val="left"/>
        <w:ind w:left="720" w:hanging="720"/>
        <w:keepLines w:val="1"/>
      </w:pPr>
      <w:bookmarkStart w:id="1131" w:name="bib_ref_47"/>
      <w:r>
        <w:t xml:space="preserve">[47] NumPy developers, “numpy.quantile,” NumPy documentation. [Online]. Available: </w:t>
      </w:r>
      <w:hyperlink r:id="rIdBib51" w:history="1">
        <w:r>
          <w:t xml:space="preserve">https://numpy.org/doc/stable/reference/generated/numpy.quantile.html</w:t>
        </w:r>
      </w:hyperlink>
      <w:r>
        <w:t xml:space="preserve">. Consultado: 20 oct. 2026.</w:t>
      </w:r>
      <w:bookmarkEnd w:id="1131"/>
    </w:p>
    <w:p>
      <w:pPr>
        <w:jc w:val="left"/>
        <w:keepLines w:val="1"/>
      </w:pPr>
      <w:bookmarkStart w:id="1132" w:name="bib_ref_48"/>
      <w:r>
        <w:t xml:space="preserve">[48] Pillow contributors, “Image.convert and ImageStat,” Pillow documentation. [Online]. Available: </w:t>
      </w:r>
      <w:hyperlink r:id="rIdBib52" w:history="1">
        <w:r>
          <w:t xml:space="preserve">https://pillow.readthedocs.io/en/stable/reference/Image.html#PIL.Image.Image.convert</w:t>
        </w:r>
      </w:hyperlink>
      <w:r>
        <w:t xml:space="preserve"> and </w:t>
      </w:r>
      <w:hyperlink r:id="rIdBib31" w:history="1">
        <w:r>
          <w:t xml:space="preserve">https://pillow.readthedocs.io/en/stable/reference/ImageStat.html</w:t>
        </w:r>
      </w:hyperlink>
      <w:r>
        <w:t xml:space="preserve">. Consultado: 20 oct. 2026.</w:t>
      </w:r>
      <w:bookmarkEnd w:id="1132"/>
    </w:p>
    <w:p>
      <w:pPr>
        <w:pStyle w:val="Normal"/>
        <w:spacing w:line="360" w:lineRule="auto"/>
        <w:jc w:val="left"/>
        <w:ind w:left="720" w:hanging="720"/>
        <w:keepLines w:val="1"/>
      </w:pPr>
      <w:bookmarkStart w:id="1133" w:name="bib_ref_49"/>
      <w:r>
        <w:t xml:space="preserve">[49] J. D. Hunter, “Matplotlib: A 2D Graphics Environment,” Computing in Science &amp; Engineering, vol. 9, no. 3, pp. 90–95, 2007. doi: </w:t>
      </w:r>
      <w:hyperlink r:id="rIdBib53" w:history="1">
        <w:r>
          <w:t xml:space="preserve">10.1109/MCSE.2007.55</w:t>
        </w:r>
      </w:hyperlink>
      <w:r>
        <w:t xml:space="preserve">.</w:t>
      </w:r>
      <w:bookmarkEnd w:id="1133"/>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 Id="rIdBib1" Type="http://schemas.openxmlformats.org/officeDocument/2006/relationships/hyperlink" Target="https://dl.acm.org/doi/book/10.5555/1941882" TargetMode="External"/><Relationship Id="rIdBib2" Type="http://schemas.openxmlformats.org/officeDocument/2006/relationships/hyperlink" Target="https://www.who.int/publications-detail/world-report-on-vision" TargetMode="External"/><Relationship Id="rIdBib3" Type="http://schemas.openxmlformats.org/officeDocument/2006/relationships/hyperlink" Target="https://www.tensorflow.org/lite/guide" TargetMode="External"/><Relationship Id="rIdBib4" Type="http://schemas.openxmlformats.org/officeDocument/2006/relationships/hyperlink" Target="https://arxiv.org/abs/1506.01497" TargetMode="External"/><Relationship Id="rIdBib5" Type="http://schemas.openxmlformats.org/officeDocument/2006/relationships/hyperlink" Target="https://doi.org/10.48550/arXiv.1506.01497" TargetMode="External"/><Relationship Id="rIdBib6" Type="http://schemas.openxmlformats.org/officeDocument/2006/relationships/hyperlink" Target="https://doi.org/10.1109/CVPR.2016.91" TargetMode="External"/><Relationship Id="rIdBib7" Type="http://schemas.openxmlformats.org/officeDocument/2006/relationships/hyperlink" Target="https://doi.org/10.1007/978-3-319-46448-0_2" TargetMode="External"/><Relationship Id="rIdBib8" Type="http://schemas.openxmlformats.org/officeDocument/2006/relationships/hyperlink" Target="https://doi.org/10.1109/CVPR42600.2020.01079" TargetMode="External"/><Relationship Id="rIdBib9" Type="http://schemas.openxmlformats.org/officeDocument/2006/relationships/hyperlink" Target="https://doi.org/10.1016/j.procs.2025.01.054" TargetMode="External"/><Relationship Id="rIdBib10" Type="http://schemas.openxmlformats.org/officeDocument/2006/relationships/hyperlink" Target="https://doi.org/10.32604/cmc.2022.028540" TargetMode="External"/><Relationship Id="rIdBib11" Type="http://schemas.openxmlformats.org/officeDocument/2006/relationships/hyperlink" Target="https://doi.org/10.1016/j.procs.2023.01.093" TargetMode="External"/><Relationship Id="rIdBib12" Type="http://schemas.openxmlformats.org/officeDocument/2006/relationships/hyperlink" Target="https://doi.org/10.1007/978-3-319-10602-1_48" TargetMode="External"/><Relationship Id="rIdBib13" Type="http://schemas.openxmlformats.org/officeDocument/2006/relationships/hyperlink" Target="https://arxiv.org/abs/1704.04861" TargetMode="External"/><Relationship Id="rIdBib14" Type="http://schemas.openxmlformats.org/officeDocument/2006/relationships/hyperlink" Target="https://doi.org/10.1109/CVPR.2018.00474" TargetMode="External"/><Relationship Id="rIdBib15" Type="http://schemas.openxmlformats.org/officeDocument/2006/relationships/hyperlink" Target="https://doi.org/10.1088/1742-6596/1651/1/012114" TargetMode="External"/><Relationship Id="rIdBib16" Type="http://schemas.openxmlformats.org/officeDocument/2006/relationships/hyperlink" Target="https://doi.org/10.1038/s41598-025-99242-y" TargetMode="External"/><Relationship Id="rIdBib17" Type="http://schemas.openxmlformats.org/officeDocument/2006/relationships/hyperlink" Target="https://doi.org/10.1007/s11263-020-01316-z" TargetMode="External"/><Relationship Id="rIdBib18" Type="http://schemas.openxmlformats.org/officeDocument/2006/relationships/hyperlink" Target="https://onnxruntime.ai/docs/" TargetMode="External"/><Relationship Id="rIdBib19" Type="http://schemas.openxmlformats.org/officeDocument/2006/relationships/hyperlink" Target="https://pytorch.org/executorch/stable/" TargetMode="External"/><Relationship Id="rIdBib20" Type="http://schemas.openxmlformats.org/officeDocument/2006/relationships/hyperlink" Target="https://doi.org/10.1007/978-3-030-58452-8_13" TargetMode="External"/><Relationship Id="rIdBib21" Type="http://schemas.openxmlformats.org/officeDocument/2006/relationships/hyperlink" Target="https://developers.google.com/edge/litert/next/benchmark" TargetMode="External"/><Relationship Id="rIdBib22" Type="http://schemas.openxmlformats.org/officeDocument/2006/relationships/hyperlink" Target="https://developer.android.com/tools/adb" TargetMode="External"/><Relationship Id="rIdBib23" Type="http://schemas.openxmlformats.org/officeDocument/2006/relationships/hyperlink" Target="https://developers.google.com/edge/litert/android/gpu" TargetMode="External"/><Relationship Id="rIdBib24" Type="http://schemas.openxmlformats.org/officeDocument/2006/relationships/hyperlink" Target="https://roboflow.com/" TargetMode="External"/><Relationship Id="rIdBib25" Type="http://schemas.openxmlformats.org/officeDocument/2006/relationships/hyperlink" Target="https://www.khronos.org/opencl/" TargetMode="External"/><Relationship Id="rIdBib26" Type="http://schemas.openxmlformats.org/officeDocument/2006/relationships/hyperlink" Target="https://developer.android.com/media/camera/camerax" TargetMode="External"/><Relationship Id="rIdBib27" Type="http://schemas.openxmlformats.org/officeDocument/2006/relationships/hyperlink" Target="https://developer.android.com/reference/android/speech/tts/TextToSpeech" TargetMode="External"/><Relationship Id="rIdBib28" Type="http://schemas.openxmlformats.org/officeDocument/2006/relationships/hyperlink" Target="https://k2-fsa.github.io/sherpa/onnx/tts/index.html" TargetMode="External"/><Relationship Id="rIdBib29" Type="http://schemas.openxmlformats.org/officeDocument/2006/relationships/hyperlink" Target="https://developers.google.com/edge/litert/android" TargetMode="External"/><Relationship Id="rIdBib30" Type="http://schemas.openxmlformats.org/officeDocument/2006/relationships/hyperlink" Target="https://github.com/diomedescerda/AssistiveVision" TargetMode="External"/><Relationship Id="rIdBib31" Type="http://schemas.openxmlformats.org/officeDocument/2006/relationships/hyperlink" Target="https://pillow.readthedocs.io/en/stable/reference/ImageStat.html" TargetMode="External"/><Relationship Id="rIdBib32" Type="http://schemas.openxmlformats.org/officeDocument/2006/relationships/hyperlink" Target="https://www.who.int/publications/i/item/9789241516570" TargetMode="External"/><Relationship Id="rIdBib33" Type="http://schemas.openxmlformats.org/officeDocument/2006/relationships/hyperlink" Target="https://doi.org/10.1016/j.procs.2025.01.005" TargetMode="External"/><Relationship Id="rIdBib34" Type="http://schemas.openxmlformats.org/officeDocument/2006/relationships/hyperlink" Target="https://doi.org/10.13140/RG.2.2.28125.12005" TargetMode="External"/><Relationship Id="rIdBib35" Type="http://schemas.openxmlformats.org/officeDocument/2006/relationships/hyperlink" Target="https://doi.org/10.35784/jcsi.6469" TargetMode="External"/><Relationship Id="rIdBib36" Type="http://schemas.openxmlformats.org/officeDocument/2006/relationships/hyperlink" Target="https://developers.google.com/edge/litert/libraries/modify/object_detection" TargetMode="External"/><Relationship Id="rIdBib37" Type="http://schemas.openxmlformats.org/officeDocument/2006/relationships/hyperlink" Target="https://docs.ultralytics.com/models/yolov8/" TargetMode="External"/><Relationship Id="rIdBib38" Type="http://schemas.openxmlformats.org/officeDocument/2006/relationships/hyperlink" Target="https://docs.ultralytics.com/models/yolo11/" TargetMode="External"/><Relationship Id="rIdBib39" Type="http://schemas.openxmlformats.org/officeDocument/2006/relationships/hyperlink" Target="https://github.com/cocodataset/cocoapi/blob/master/PythonAPI/pycocotools/cocoeval.py" TargetMode="External"/><Relationship Id="rIdBib40" Type="http://schemas.openxmlformats.org/officeDocument/2006/relationships/hyperlink" Target="https://nlp.stanford.edu/IR-book/html/htmledition/evaluation-of-unranked-retrieval-sets-1.html" TargetMode="External"/><Relationship Id="rIdBib41" Type="http://schemas.openxmlformats.org/officeDocument/2006/relationships/hyperlink" Target="https://github.com/tensorflow/tensorflow/blob/master/tensorflow/lite/g3doc/performance/measurement.md" TargetMode="External"/><Relationship Id="rIdBib42" Type="http://schemas.openxmlformats.org/officeDocument/2006/relationships/hyperlink" Target="https://arxiv.org/abs/2106.06103" TargetMode="External"/><Relationship Id="rIdBib43" Type="http://schemas.openxmlformats.org/officeDocument/2006/relationships/hyperlink" Target="https://doi.org/10.48550/arXiv.2106.06103" TargetMode="External"/><Relationship Id="rIdBib44" Type="http://schemas.openxmlformats.org/officeDocument/2006/relationships/hyperlink" Target="https://github.com/rhasspy/piper" TargetMode="External"/><Relationship Id="rIdBib45" Type="http://schemas.openxmlformats.org/officeDocument/2006/relationships/hyperlink" Target="https://developer.android.com/reference/android/media/AudioTrack" TargetMode="External"/><Relationship Id="rIdBib46" Type="http://schemas.openxmlformats.org/officeDocument/2006/relationships/hyperlink" Target="https://developer.android.com/topic/libraries/architecture/datastore" TargetMode="External"/><Relationship Id="rIdBib47" Type="http://schemas.openxmlformats.org/officeDocument/2006/relationships/hyperlink" Target="https://www.itl.nist.gov/div898/handbook/prc/section3/prc311.htm" TargetMode="External"/><Relationship Id="rIdBib48" Type="http://schemas.openxmlformats.org/officeDocument/2006/relationships/hyperlink" Target="https://doi.org/10.1214/aos/1176344552" TargetMode="External"/><Relationship Id="rIdBib49" Type="http://schemas.openxmlformats.org/officeDocument/2006/relationships/hyperlink" Target="https://doi.org/10.1111/j.1467-9868.2007.00593.x" TargetMode="External"/><Relationship Id="rIdBib50" Type="http://schemas.openxmlformats.org/officeDocument/2006/relationships/hyperlink" Target="https://www.cipa.jp/std/documents/e/DC-X010-2017.pdf" TargetMode="External"/><Relationship Id="rIdBib51" Type="http://schemas.openxmlformats.org/officeDocument/2006/relationships/hyperlink" Target="https://numpy.org/doc/stable/reference/generated/numpy.quantile.html" TargetMode="External"/><Relationship Id="rIdBib52" Type="http://schemas.openxmlformats.org/officeDocument/2006/relationships/hyperlink" Target="https://pillow.readthedocs.io/en/stable/reference/Image.html#PIL.Image.Image.convert" TargetMode="External"/><Relationship Id="rIdBib53" Type="http://schemas.openxmlformats.org/officeDocument/2006/relationships/hyperlink" Target="https://doi.org/10.1109/MCSE.2007.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