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t>Diomedes Farid Cerda Leon</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t>Diomedes Farid Cerda Leon</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t>Idanis Beatriz Diaz Bolaño</w:t>
      </w:r>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t>Aquiles Alfonso Cohen Llanes</w:t>
      </w:r>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Inteligencia artificial y visión por computador aplicadas a tecnologías de asistencia</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t>Desarrollo y gestión de tecnologías para las organizaciones y la sociedad – TecnOS</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nextPage"/>
          <w:pgSz w:w="12240" w:h="15840" w:code="1"/>
          <w:pgMar w:top="1440" w:right="1440" w:bottom="1440" w:left="2041" w:header="709" w:footer="709" w:gutter="0"/>
          <w:pgNumType w:fmt="upperRoman"/>
          <w:cols w:space="708"/>
          <w:titlePg/>
          <w:docGrid w:linePitch="360"/>
        </w:sectPr>
      </w:pPr>
      <w:r>
        <w:rPr>
          <w:rFonts w:cs="Arial"/>
          <w:szCs w:val="22"/>
        </w:rPr>
        <w:t>2026</w:t>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A mi abuela, por su cariño y por el lugar tan importante que ocupa en mi vida. A mi padre, por su apoyo y por acompañarme en este camino. A mis amigos, por su compañía, sus palabras de ánimo y los momentos compartidos durante esta etapa. A toda mi familia, por estar presente y ser parte de este logro. Mi agradecimiento principal es para ustedes: este trabajo también representa lo que significa contar con las personas que quiero. Agradezco, además, a Idanis Beatriz Diaz Bolaño, directora, y a Aquiles Alfonso Cohen Llanes, codirector, por la orientación académica del proyecto, y a la Universidad del Magdalena por el espacio de formación.</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next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Se desarrolló AssistiveVision, una aplicación Android que identifica diez clases de objetos y comunica su posición relativa mediante voz local en español e inglés. La selección inicial comparó seis configuraciones de detectores sobre 80 imágenes y 257 anotaciones; EfficientDet-Lite2 obtuvo AP50 de 0,648 y una latencia aislada de 124,9 ms en CPU de un Redmi Note 13. Para evaluar el montaje y el lente se construyó un segundo conjunto de 198 fotografías de iPhone, organizadas en 33 grupos de seis capturas sucesivas y corregidas manualmente hasta obtener 889 anotaciones. Las imágenes se reprodujeron con los módulos de producción de Android en un emulador Pixel 8, con confianza 0,30 e IoU mínimo 0,50. Gorillapod 0,5x produjo el mayor número de detecciones correctas (82), mientras el arnés de pecho 1x obtuvo la mayor F1 (61,9 %). La ventaja del Gorillapod sobre pecho 1x fue de 0,515 detecciones por escena, con IC bootstrap del 95 % de 0,121 a 0,939; frente a pecho 0,5x no quedó establecida. La profundidad se exploró mediante estimaciones geométricas, sin validar un rango operativo. Los resultados sustentan una selección provisional por cobertura y requieren confirmación con escenas nuevas, distancias medidas, el teléfono de destino y usuarios finales.</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AssistiveVision was developed as an Android application that identifies ten object classes and describes their relative position through offline speech in Spanish and English. An initial comparison of six detector configurations used 80 images and 257 annotations; EfficientDet-Lite2 achieved AP50 of 0.648 and isolated CPU latency of 124.9 ms on a Redmi Note 13. Mount and lens evaluation used a separate set of 198 iPhone photographs arranged in 33 successive six-capture groups, with 889 manually corrected annotations. Production Android preprocessing and detection modules replayed all photographs on a Pixel 8 emulator, using confidence 0.30 and minimum IoU 0.50. Gorillapod 0.5x produced the most correct detections (82), whereas chest harness 1x achieved the highest F1 (61.9%). Gorillapod exceeded chest 1x by 0.515 correct detections per scene, with a paired 95% bootstrap interval of 0.121 to 0.939; its advantage over chest 0.5x was not established. Geometric distance estimates supported an exploratory depth analysis rather than a validated operating range. The findings support a provisional coverage-based choice, subject to validation on new scenes, measured distances, the target phone and end users.</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2"/>
          <w:footerReference w:type="even" r:id="rId52"/>
          <w:headerReference w:type="first" r:id="rId15"/>
          <w:footerReference w:type="default" r:id="rId52"/>
          <w:type w:val="next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IV</w:t>
      </w:r>
    </w:p>
    <w:p>
      <w:pPr>
        <w:pStyle w:val="TDC1"/>
        <w:tabs>
          <w:tab w:pos="8755" w:val="right" w:leader="dot"/>
        </w:tabs>
        <w:spacing w:line="240" w:lineRule="auto" w:after="80"/>
        <w:jc w:val="left"/>
      </w:pPr>
      <w:r>
        <w:t>Abstract</w:t>
        <w:tab/>
      </w:r>
      <w:r>
        <w:t>V</w:t>
      </w:r>
    </w:p>
    <w:p>
      <w:pPr>
        <w:pStyle w:val="TDC1"/>
        <w:tabs>
          <w:tab w:pos="8755" w:val="right" w:leader="dot"/>
        </w:tabs>
        <w:spacing w:line="240" w:lineRule="auto" w:after="80"/>
        <w:jc w:val="left"/>
      </w:pPr>
      <w:r>
        <w:t>Contenido</w:t>
        <w:tab/>
      </w:r>
      <w:r>
        <w:t>VI</w:t>
      </w:r>
    </w:p>
    <w:p>
      <w:pPr>
        <w:pStyle w:val="TDC1"/>
        <w:tabs>
          <w:tab w:pos="8755" w:val="right" w:leader="dot"/>
        </w:tabs>
        <w:spacing w:line="240" w:lineRule="auto" w:after="80"/>
        <w:jc w:val="left"/>
      </w:pPr>
      <w:r>
        <w:t>Lista de figuras</w:t>
        <w:tab/>
      </w:r>
      <w:r>
        <w:t>VIII</w:t>
      </w:r>
    </w:p>
    <w:p>
      <w:pPr>
        <w:pStyle w:val="TDC1"/>
        <w:tabs>
          <w:tab w:pos="8755" w:val="right" w:leader="dot"/>
        </w:tabs>
        <w:spacing w:line="240" w:lineRule="auto" w:after="80"/>
        <w:jc w:val="left"/>
      </w:pPr>
      <w:r>
        <w:t>Lista de tablas</w:t>
        <w:tab/>
      </w:r>
      <w:r>
        <w:t>IX</w:t>
      </w:r>
    </w:p>
    <w:p>
      <w:pPr>
        <w:pStyle w:val="TDC1"/>
        <w:tabs>
          <w:tab w:pos="8755" w:val="right" w:leader="dot"/>
        </w:tabs>
        <w:spacing w:line="240" w:lineRule="auto" w:after="80"/>
        <w:jc w:val="left"/>
      </w:pPr>
      <w:r>
        <w:t>Lista de símbolos</w:t>
        <w:tab/>
      </w:r>
      <w:r>
        <w:t>X</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2</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3</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4</w:t>
        </w:r>
      </w:fldSimple>
    </w:p>
    <w:p>
      <w:pPr>
        <w:pStyle w:val="TDC2"/>
        <w:tabs>
          <w:tab w:pos="8755" w:val="right" w:leader="dot"/>
        </w:tabs>
        <w:spacing w:line="240" w:lineRule="auto" w:after="80"/>
        <w:jc w:val="left"/>
      </w:pPr>
      <w:r>
        <w:t>Estructura del documento</w:t>
        <w:tab/>
      </w:r>
      <w:fldSimple w:instr=" PAGEREF report_1013 \h ">
        <w:r>
          <w:t>4</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9</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12</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16</w:t>
        </w:r>
      </w:fldSimple>
    </w:p>
    <w:p>
      <w:pPr>
        <w:pStyle w:val="TDC2"/>
        <w:tabs>
          <w:tab w:pos="8755" w:val="right" w:leader="dot"/>
        </w:tabs>
        <w:spacing w:line="240" w:lineRule="auto" w:after="80"/>
        <w:jc w:val="left"/>
      </w:pPr>
      <w:r>
        <w:t>2.6 Análisis de resultados</w:t>
        <w:tab/>
      </w:r>
      <w:fldSimple w:instr=" PAGEREF report_1030 \h ">
        <w:r>
          <w:t>18</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21</w:t>
        </w:r>
      </w:fldSimple>
    </w:p>
    <w:p>
      <w:pPr>
        <w:pStyle w:val="TDC2"/>
        <w:tabs>
          <w:tab w:pos="8755" w:val="right" w:leader="dot"/>
        </w:tabs>
        <w:spacing w:line="240" w:lineRule="auto" w:after="80"/>
        <w:jc w:val="left"/>
      </w:pPr>
      <w:r>
        <w:t>3.1 Arquitectura general del sistema</w:t>
        <w:tab/>
      </w:r>
      <w:fldSimple w:instr=" PAGEREF report_1034 \h ">
        <w:r>
          <w:t>21</w:t>
        </w:r>
      </w:fldSimple>
    </w:p>
    <w:p>
      <w:pPr>
        <w:pStyle w:val="TDC2"/>
        <w:tabs>
          <w:tab w:pos="8755" w:val="right" w:leader="dot"/>
        </w:tabs>
        <w:spacing w:line="240" w:lineRule="auto" w:after="80"/>
        <w:jc w:val="left"/>
      </w:pPr>
      <w:r>
        <w:t>3.2 Posicionamiento del dispositivo</w:t>
        <w:tab/>
      </w:r>
      <w:fldSimple w:instr=" PAGEREF report_1036 \h ">
        <w:r>
          <w:t>21</w:t>
        </w:r>
      </w:fldSimple>
    </w:p>
    <w:p>
      <w:pPr>
        <w:pStyle w:val="TDC2"/>
        <w:tabs>
          <w:tab w:pos="8755" w:val="right" w:leader="dot"/>
        </w:tabs>
        <w:spacing w:line="240" w:lineRule="auto" w:after="80"/>
        <w:jc w:val="left"/>
      </w:pPr>
      <w:r>
        <w:t>3.3 Módulo de captura</w:t>
        <w:tab/>
      </w:r>
      <w:fldSimple w:instr=" PAGEREF report_1037 \h ">
        <w:r>
          <w:t>22</w:t>
        </w:r>
      </w:fldSimple>
    </w:p>
    <w:p>
      <w:pPr>
        <w:pStyle w:val="TDC2"/>
        <w:tabs>
          <w:tab w:pos="8755" w:val="right" w:leader="dot"/>
        </w:tabs>
        <w:spacing w:line="240" w:lineRule="auto" w:after="80"/>
        <w:jc w:val="left"/>
      </w:pPr>
      <w:r>
        <w:t>3.4 Módulo de preprocesamiento</w:t>
        <w:tab/>
      </w:r>
      <w:fldSimple w:instr=" PAGEREF report_1038 \h ">
        <w:r>
          <w:t>22</w:t>
        </w:r>
      </w:fldSimple>
    </w:p>
    <w:p>
      <w:pPr>
        <w:pStyle w:val="TDC2"/>
        <w:tabs>
          <w:tab w:pos="8755" w:val="right" w:leader="dot"/>
        </w:tabs>
        <w:spacing w:line="240" w:lineRule="auto" w:after="80"/>
        <w:jc w:val="left"/>
      </w:pPr>
      <w:r>
        <w:t>3.5 Módulo de detección</w:t>
        <w:tab/>
      </w:r>
      <w:fldSimple w:instr=" PAGEREF report_1039 \h ">
        <w:r>
          <w:t>22</w:t>
        </w:r>
      </w:fldSimple>
    </w:p>
    <w:p>
      <w:pPr>
        <w:pStyle w:val="TDC2"/>
        <w:tabs>
          <w:tab w:pos="8755" w:val="right" w:leader="dot"/>
        </w:tabs>
        <w:spacing w:line="240" w:lineRule="auto" w:after="80"/>
        <w:jc w:val="left"/>
      </w:pPr>
      <w:r>
        <w:t>3.6 Módulo de localización espacial</w:t>
        <w:tab/>
      </w:r>
      <w:fldSimple w:instr=" PAGEREF report_1041 \h ">
        <w:r>
          <w:t>23</w:t>
        </w:r>
      </w:fldSimple>
    </w:p>
    <w:p>
      <w:pPr>
        <w:pStyle w:val="TDC2"/>
        <w:tabs>
          <w:tab w:pos="8755" w:val="right" w:leader="dot"/>
        </w:tabs>
        <w:spacing w:line="240" w:lineRule="auto" w:after="80"/>
        <w:jc w:val="left"/>
      </w:pPr>
      <w:r>
        <w:t>3.7 Módulo de filtrado y priorización</w:t>
        <w:tab/>
      </w:r>
      <w:fldSimple w:instr=" PAGEREF report_1044 \h ">
        <w:r>
          <w:t>24</w:t>
        </w:r>
      </w:fldSimple>
    </w:p>
    <w:p>
      <w:pPr>
        <w:pStyle w:val="TDC2"/>
        <w:tabs>
          <w:tab w:pos="8755" w:val="right" w:leader="dot"/>
        </w:tabs>
        <w:spacing w:line="240" w:lineRule="auto" w:after="80"/>
        <w:jc w:val="left"/>
      </w:pPr>
      <w:r>
        <w:t>3.8 Módulo de audio y descriptores de voz</w:t>
        <w:tab/>
      </w:r>
      <w:fldSimple w:instr=" PAGEREF report_1045 \h ">
        <w:r>
          <w:t>25</w:t>
        </w:r>
      </w:fldSimple>
    </w:p>
    <w:p>
      <w:pPr>
        <w:pStyle w:val="TDC2"/>
        <w:tabs>
          <w:tab w:pos="8755" w:val="right" w:leader="dot"/>
        </w:tabs>
        <w:spacing w:line="240" w:lineRule="auto" w:after="80"/>
        <w:jc w:val="left"/>
      </w:pPr>
      <w:r>
        <w:t>3.9 Modos de operación</w:t>
        <w:tab/>
      </w:r>
      <w:fldSimple w:instr=" PAGEREF report_1046 \h ">
        <w:r>
          <w:t>25</w:t>
        </w:r>
      </w:fldSimple>
    </w:p>
    <w:p>
      <w:pPr>
        <w:pStyle w:val="TDC2"/>
        <w:tabs>
          <w:tab w:pos="8755" w:val="right" w:leader="dot"/>
        </w:tabs>
        <w:spacing w:line="240" w:lineRule="auto" w:after="80"/>
        <w:jc w:val="left"/>
      </w:pPr>
      <w:r>
        <w:t>3.10 Configuración del sistema</w:t>
        <w:tab/>
      </w:r>
      <w:fldSimple w:instr=" PAGEREF report_1047 \h ">
        <w:r>
          <w:t>26</w:t>
        </w:r>
      </w:fldSimple>
    </w:p>
    <w:p>
      <w:pPr>
        <w:pStyle w:val="TDC2"/>
        <w:tabs>
          <w:tab w:pos="8755" w:val="right" w:leader="dot"/>
        </w:tabs>
        <w:spacing w:line="240" w:lineRule="auto" w:after="80"/>
        <w:jc w:val="left"/>
      </w:pPr>
      <w:r>
        <w:t>3.11 Interfaz de usuario</w:t>
        <w:tab/>
      </w:r>
      <w:fldSimple w:instr=" PAGEREF report_1049 \h ">
        <w:r>
          <w:t>26</w:t>
        </w:r>
      </w:fldSimple>
    </w:p>
    <w:p>
      <w:pPr>
        <w:pStyle w:val="TDC2"/>
        <w:tabs>
          <w:tab w:pos="8755" w:val="right" w:leader="dot"/>
        </w:tabs>
        <w:spacing w:line="240" w:lineRule="auto" w:after="80"/>
        <w:jc w:val="left"/>
      </w:pPr>
      <w:r>
        <w:t>3.12 Verificación y rendimiento del prototipo</w:t>
        <w:tab/>
      </w:r>
      <w:fldSimple w:instr=" PAGEREF report_1051 \h ">
        <w:r>
          <w:t>27</w:t>
        </w:r>
      </w:fldSimple>
    </w:p>
    <w:p>
      <w:pPr>
        <w:pStyle w:val="TDC2"/>
        <w:tabs>
          <w:tab w:pos="8755" w:val="right" w:leader="dot"/>
        </w:tabs>
        <w:spacing w:line="240" w:lineRule="auto" w:after="80"/>
        <w:jc w:val="left"/>
      </w:pPr>
      <w:r>
        <w:t>3.13 Requerimientos y criterios de verificación</w:t>
        <w:tab/>
      </w:r>
      <w:fldSimple w:instr=" PAGEREF report_1052 \h ">
        <w:r>
          <w:t>27</w:t>
        </w:r>
      </w:fldSimple>
    </w:p>
    <w:p>
      <w:pPr>
        <w:pStyle w:val="TDC1"/>
        <w:tabs>
          <w:tab w:pos="8755" w:val="right" w:leader="dot"/>
        </w:tabs>
        <w:spacing w:line="240" w:lineRule="auto" w:after="80"/>
        <w:jc w:val="left"/>
      </w:pPr>
      <w:r>
        <w:t>4. Evaluación del prototipo en escenarios controlados</w:t>
        <w:tab/>
      </w:r>
      <w:fldSimple w:instr=" PAGEREF report_1054 \h ">
        <w:r>
          <w:t>29</w:t>
        </w:r>
      </w:fldSimple>
    </w:p>
    <w:p>
      <w:pPr>
        <w:pStyle w:val="TDC2"/>
        <w:tabs>
          <w:tab w:pos="8755" w:val="right" w:leader="dot"/>
        </w:tabs>
        <w:spacing w:line="240" w:lineRule="auto" w:after="80"/>
        <w:jc w:val="left"/>
      </w:pPr>
      <w:r>
        <w:t>4.1 Diseño experimental</w:t>
        <w:tab/>
      </w:r>
      <w:fldSimple w:instr=" PAGEREF report_1055 \h ">
        <w:r>
          <w:t>29</w:t>
        </w:r>
      </w:fldSimple>
    </w:p>
    <w:p>
      <w:pPr>
        <w:pStyle w:val="TDC2"/>
        <w:tabs>
          <w:tab w:pos="8755" w:val="right" w:leader="dot"/>
        </w:tabs>
        <w:spacing w:line="240" w:lineRule="auto" w:after="80"/>
        <w:jc w:val="left"/>
      </w:pPr>
      <w:r>
        <w:t>4.2 Escenario 1: posiciones del arnés</w:t>
        <w:tab/>
      </w:r>
      <w:fldSimple w:instr=" PAGEREF report_1057 \h ">
        <w:r>
          <w:t>31</w:t>
        </w:r>
      </w:fldSimple>
    </w:p>
    <w:p>
      <w:pPr>
        <w:pStyle w:val="TDC2"/>
        <w:tabs>
          <w:tab w:pos="8755" w:val="right" w:leader="dot"/>
        </w:tabs>
        <w:spacing w:line="240" w:lineRule="auto" w:after="80"/>
        <w:jc w:val="left"/>
      </w:pPr>
      <w:r>
        <w:t>4.3 Escenario 2: combinaciones de arnés y lente</w:t>
        <w:tab/>
      </w:r>
      <w:fldSimple w:instr=" PAGEREF report_1061 \h ">
        <w:r>
          <w:t>33</w:t>
        </w:r>
      </w:fldSimple>
    </w:p>
    <w:p>
      <w:pPr>
        <w:pStyle w:val="TDC2"/>
        <w:tabs>
          <w:tab w:pos="8755" w:val="right" w:leader="dot"/>
        </w:tabs>
        <w:spacing w:line="240" w:lineRule="auto" w:after="80"/>
        <w:jc w:val="left"/>
      </w:pPr>
      <w:r>
        <w:t>4.4 Escenario 3: rango de profundidad de detección</w:t>
        <w:tab/>
      </w:r>
      <w:fldSimple w:instr=" PAGEREF report_1065 \h ">
        <w:r>
          <w:t>35</w:t>
        </w:r>
      </w:fldSimple>
    </w:p>
    <w:p>
      <w:pPr>
        <w:pStyle w:val="TDC2"/>
        <w:tabs>
          <w:tab w:pos="8755" w:val="right" w:leader="dot"/>
        </w:tabs>
        <w:spacing w:line="240" w:lineRule="auto" w:after="80"/>
        <w:jc w:val="left"/>
      </w:pPr>
      <w:r>
        <w:t>4.5 Métricas complementarias de detección</w:t>
        <w:tab/>
      </w:r>
      <w:fldSimple w:instr=" PAGEREF report_1068 \h ">
        <w:r>
          <w:t>38</w:t>
        </w:r>
      </w:fldSimple>
    </w:p>
    <w:p>
      <w:pPr>
        <w:pStyle w:val="TDC2"/>
        <w:tabs>
          <w:tab w:pos="8755" w:val="right" w:leader="dot"/>
        </w:tabs>
        <w:spacing w:line="240" w:lineRule="auto" w:after="80"/>
        <w:jc w:val="left"/>
      </w:pPr>
      <w:r>
        <w:t>4.6 Consideraciones de validez</w:t>
        <w:tab/>
      </w:r>
      <w:fldSimple w:instr=" PAGEREF report_1071 \h ">
        <w:r>
          <w:t>40</w:t>
        </w:r>
      </w:fldSimple>
    </w:p>
    <w:p>
      <w:pPr>
        <w:pStyle w:val="TDC2"/>
        <w:tabs>
          <w:tab w:pos="8755" w:val="right" w:leader="dot"/>
        </w:tabs>
        <w:spacing w:line="240" w:lineRule="auto" w:after="80"/>
        <w:jc w:val="left"/>
      </w:pPr>
      <w:r>
        <w:t>4.7 Distribución del tiempo de procesamiento</w:t>
        <w:tab/>
      </w:r>
      <w:fldSimple w:instr=" PAGEREF report_1072 \h ">
        <w:r>
          <w:t>42</w:t>
        </w:r>
      </w:fldSimple>
    </w:p>
    <w:p>
      <w:pPr>
        <w:pStyle w:val="TDC2"/>
        <w:tabs>
          <w:tab w:pos="8755" w:val="right" w:leader="dot"/>
        </w:tabs>
        <w:spacing w:line="240" w:lineRule="auto" w:after="80"/>
        <w:jc w:val="left"/>
      </w:pPr>
      <w:r>
        <w:t>4.8 Brillo de las imágenes y alcance del análisis de oclusión</w:t>
        <w:tab/>
      </w:r>
      <w:fldSimple w:instr=" PAGEREF report_1074 \h ">
        <w:r>
          <w:t>42</w:t>
        </w:r>
      </w:fldSimple>
    </w:p>
    <w:p>
      <w:pPr>
        <w:pStyle w:val="TDC1"/>
        <w:tabs>
          <w:tab w:pos="8755" w:val="right" w:leader="dot"/>
        </w:tabs>
        <w:spacing w:line="240" w:lineRule="auto" w:after="80"/>
        <w:jc w:val="left"/>
      </w:pPr>
      <w:r>
        <w:t>5. Conclusiones</w:t>
        <w:tab/>
      </w:r>
      <w:fldSimple w:instr=" PAGEREF report_1077 \h ">
        <w:r>
          <w:t>47</w:t>
        </w:r>
      </w:fldSimple>
    </w:p>
    <w:p>
      <w:pPr>
        <w:pStyle w:val="TDC2"/>
        <w:tabs>
          <w:tab w:pos="8755" w:val="right" w:leader="dot"/>
        </w:tabs>
        <w:spacing w:line="240" w:lineRule="auto" w:after="80"/>
        <w:jc w:val="left"/>
      </w:pPr>
      <w:r>
        <w:t>5.1 Conclusiones</w:t>
        <w:tab/>
      </w:r>
      <w:fldSimple w:instr=" PAGEREF report_1078 \h ">
        <w:r>
          <w:t>47</w:t>
        </w:r>
      </w:fldSimple>
    </w:p>
    <w:p>
      <w:pPr>
        <w:pStyle w:val="TDC2"/>
        <w:tabs>
          <w:tab w:pos="8755" w:val="right" w:leader="dot"/>
        </w:tabs>
        <w:spacing w:line="240" w:lineRule="auto" w:after="80"/>
        <w:jc w:val="left"/>
      </w:pPr>
      <w:r>
        <w:t>5.2 Recomendaciones</w:t>
        <w:tab/>
      </w:r>
      <w:fldSimple w:instr=" PAGEREF report_1079 \h ">
        <w:r>
          <w:t>48</w:t>
        </w:r>
      </w:fldSimple>
    </w:p>
    <w:p>
      <w:pPr>
        <w:pStyle w:val="TDC2"/>
        <w:tabs>
          <w:tab w:pos="8755" w:val="right" w:leader="dot"/>
        </w:tabs>
        <w:spacing w:line="240" w:lineRule="auto" w:after="80"/>
        <w:jc w:val="left"/>
      </w:pPr>
      <w:r>
        <w:t>5.3 Trabajo futuro</w:t>
        <w:tab/>
      </w:r>
      <w:fldSimple w:instr=" PAGEREF report_1080 \h ">
        <w:r>
          <w:t>48</w:t>
        </w:r>
      </w:fldSimple>
    </w:p>
    <w:p>
      <w:pPr>
        <w:pStyle w:val="TDC1"/>
        <w:tabs>
          <w:tab w:pos="8755" w:val="right" w:leader="dot"/>
        </w:tabs>
        <w:spacing w:line="240" w:lineRule="auto" w:after="80"/>
        <w:jc w:val="left"/>
        <w:numPr>
          <w:numId w:val="0"/>
        </w:numPr>
      </w:pPr>
      <w:r>
        <w:t>Anexo A: Scripts de evaluación de modelos</w:t>
        <w:tab/>
      </w:r>
      <w:fldSimple w:instr=" PAGEREF report_1081 \h ">
        <w:r>
          <w:t>51</w:t>
        </w:r>
      </w:fldSimple>
    </w:p>
    <w:p>
      <w:pPr>
        <w:pStyle w:val="TDC1"/>
        <w:tabs>
          <w:tab w:pos="8755" w:val="right" w:leader="dot"/>
        </w:tabs>
        <w:spacing w:line="240" w:lineRule="auto" w:after="80"/>
        <w:jc w:val="left"/>
        <w:numPr>
          <w:numId w:val="0"/>
        </w:numPr>
      </w:pPr>
      <w:r>
        <w:t>Anexo B: Pruebas unitarias del prototipo</w:t>
        <w:tab/>
      </w:r>
      <w:fldSimple w:instr=" PAGEREF report_1082 \h ">
        <w:r>
          <w:t>53</w:t>
        </w:r>
      </w:fldSimple>
    </w:p>
    <w:p>
      <w:pPr>
        <w:pStyle w:val="TDC1"/>
        <w:tabs>
          <w:tab w:pos="8755" w:val="right" w:leader="dot"/>
        </w:tabs>
        <w:spacing w:line="240" w:lineRule="auto" w:after="80"/>
        <w:jc w:val="left"/>
        <w:numPr>
          <w:numId w:val="0"/>
        </w:numPr>
      </w:pPr>
      <w:r>
        <w:t>Anexo C: Manuales técnico y de usuario</w:t>
        <w:tab/>
      </w:r>
      <w:fldSimple w:instr=" PAGEREF report_1083 \h ">
        <w:r>
          <w:t>54</w:t>
        </w:r>
      </w:fldSimple>
    </w:p>
    <w:p>
      <w:pPr>
        <w:pStyle w:val="TDC1"/>
        <w:tabs>
          <w:tab w:pos="8755" w:val="right" w:leader="dot"/>
        </w:tabs>
        <w:spacing w:line="240" w:lineRule="auto" w:after="80"/>
        <w:jc w:val="left"/>
      </w:pPr>
      <w:r>
        <w:t>Bibliografía</w:t>
        <w:tab/>
      </w:r>
      <w:fldSimple w:instr=" PAGEREF report_1084 \h ">
        <w:r>
          <w:t>55</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21</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24</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26</w:t>
        </w:r>
      </w:fldSimple>
    </w:p>
    <w:p>
      <w:pPr>
        <w:pStyle w:val="TDC1"/>
        <w:tabs>
          <w:tab w:pos="8755" w:val="right" w:leader="dot"/>
        </w:tabs>
        <w:spacing w:line="240" w:lineRule="auto" w:after="80"/>
        <w:jc w:val="left"/>
      </w:pPr>
      <w:r>
        <w:rPr>
          <w:b w:val="0"/>
        </w:rPr>
        <w:t>Figura 4.1. Objetos correctos por fotografía y montaje.</w:t>
        <w:tab/>
      </w:r>
      <w:fldSimple w:instr=" PAGEREF report_1060 \h ">
        <w:r>
          <w:t>33</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4 \h ">
        <w:r>
          <w:t>35</w:t>
        </w:r>
      </w:fldSimple>
    </w:p>
    <w:p>
      <w:pPr>
        <w:pStyle w:val="TDC1"/>
        <w:tabs>
          <w:tab w:pos="8755" w:val="right" w:leader="dot"/>
        </w:tabs>
        <w:spacing w:line="240" w:lineRule="auto" w:after="80"/>
        <w:jc w:val="left"/>
      </w:pPr>
      <w:r>
        <w:rPr>
          <w:b w:val="0"/>
        </w:rPr>
        <w:t>Figura 4.3. Recall por distancia estimada e intervalo bootstrap del 95 %.</w:t>
        <w:tab/>
      </w:r>
      <w:fldSimple w:instr=" PAGEREF report_1067 \h ">
        <w:r>
          <w:t>37</w:t>
        </w:r>
      </w:fldSimple>
    </w:p>
    <w:p>
      <w:pPr>
        <w:pStyle w:val="TDC1"/>
        <w:tabs>
          <w:tab w:pos="8755" w:val="right" w:leader="dot"/>
        </w:tabs>
        <w:spacing w:line="240" w:lineRule="auto" w:after="80"/>
        <w:jc w:val="left"/>
      </w:pPr>
      <w:r>
        <w:rPr>
          <w:b w:val="0"/>
        </w:rPr>
        <w:t>Figura 4.4. Precisión, recall y F1 del detector y de la lista de hasta dos objetos.</w:t>
        <w:tab/>
      </w:r>
      <w:fldSimple w:instr=" PAGEREF report_1070 \h ">
        <w:r>
          <w:t>39</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16</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17</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20</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23</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23</w:t>
        </w:r>
      </w:fldSimple>
    </w:p>
    <w:p>
      <w:pPr>
        <w:pStyle w:val="TDC1"/>
        <w:tabs>
          <w:tab w:pos="8755" w:val="right" w:leader="dot"/>
        </w:tabs>
        <w:spacing w:line="240" w:lineRule="auto" w:after="80"/>
        <w:jc w:val="left"/>
      </w:pPr>
      <w:r>
        <w:rPr>
          <w:b w:val="0"/>
        </w:rPr>
        <w:t>Tabla 3.3. Parámetros configurables del sistema.</w:t>
        <w:tab/>
      </w:r>
      <w:fldSimple w:instr=" PAGEREF report_1048 \h ">
        <w:r>
          <w:t>26</w:t>
        </w:r>
      </w:fldSimple>
    </w:p>
    <w:p>
      <w:pPr>
        <w:pStyle w:val="TDC1"/>
        <w:tabs>
          <w:tab w:pos="8755" w:val="right" w:leader="dot"/>
        </w:tabs>
        <w:spacing w:line="240" w:lineRule="auto" w:after="80"/>
        <w:jc w:val="left"/>
      </w:pPr>
      <w:r>
        <w:rPr>
          <w:b w:val="0"/>
        </w:rPr>
        <w:t>Tabla 3.4. Requerimientos operativos y evidencia de verificación.</w:t>
        <w:tab/>
      </w:r>
      <w:fldSimple w:instr=" PAGEREF report_1053 \h ">
        <w:r>
          <w:t>28</w:t>
        </w:r>
      </w:fldSimple>
    </w:p>
    <w:p>
      <w:pPr>
        <w:pStyle w:val="TDC1"/>
        <w:tabs>
          <w:tab w:pos="8755" w:val="right" w:leader="dot"/>
        </w:tabs>
        <w:spacing w:line="240" w:lineRule="auto" w:after="80"/>
        <w:jc w:val="left"/>
      </w:pPr>
      <w:r>
        <w:rPr>
          <w:b w:val="0"/>
        </w:rPr>
        <w:t>Tabla 4.1. Diseño y unidades de análisis.</w:t>
        <w:tab/>
      </w:r>
      <w:fldSimple w:instr=" PAGEREF report_1056 \h ">
        <w:r>
          <w:t>31</w:t>
        </w:r>
      </w:fldSimple>
    </w:p>
    <w:p>
      <w:pPr>
        <w:pStyle w:val="TDC1"/>
        <w:tabs>
          <w:tab w:pos="8755" w:val="right" w:leader="dot"/>
        </w:tabs>
        <w:spacing w:line="240" w:lineRule="auto" w:after="80"/>
        <w:jc w:val="left"/>
      </w:pPr>
      <w:r>
        <w:rPr>
          <w:b w:val="0"/>
        </w:rPr>
        <w:t>Tabla 4.2. Resultados agrupados por montaje.</w:t>
        <w:tab/>
      </w:r>
      <w:fldSimple w:instr=" PAGEREF report_1058 \h ">
        <w:r>
          <w:t>31</w:t>
        </w:r>
      </w:fldSimple>
    </w:p>
    <w:p>
      <w:pPr>
        <w:pStyle w:val="TDC1"/>
        <w:tabs>
          <w:tab w:pos="8755" w:val="right" w:leader="dot"/>
        </w:tabs>
        <w:spacing w:line="240" w:lineRule="auto" w:after="80"/>
        <w:jc w:val="left"/>
      </w:pPr>
      <w:r>
        <w:rPr>
          <w:b w:val="0"/>
        </w:rPr>
        <w:t>Tabla 4.3. Pruebas t pareadas por montaje.</w:t>
        <w:tab/>
      </w:r>
      <w:fldSimple w:instr=" PAGEREF report_1059 \h ">
        <w:r>
          <w:t>32</w:t>
        </w:r>
      </w:fldSimple>
    </w:p>
    <w:p>
      <w:pPr>
        <w:pStyle w:val="TDC1"/>
        <w:tabs>
          <w:tab w:pos="8755" w:val="right" w:leader="dot"/>
        </w:tabs>
        <w:spacing w:line="240" w:lineRule="auto" w:after="80"/>
        <w:jc w:val="left"/>
      </w:pPr>
      <w:r>
        <w:rPr>
          <w:b w:val="0"/>
        </w:rPr>
        <w:t>Tabla 4.4. Resultados por configuración.</w:t>
        <w:tab/>
      </w:r>
      <w:fldSimple w:instr=" PAGEREF report_1062 \h ">
        <w:r>
          <w:t>34</w:t>
        </w:r>
      </w:fldSimple>
    </w:p>
    <w:p>
      <w:pPr>
        <w:pStyle w:val="TDC1"/>
        <w:tabs>
          <w:tab w:pos="8755" w:val="right" w:leader="dot"/>
        </w:tabs>
        <w:spacing w:line="240" w:lineRule="auto" w:after="80"/>
        <w:jc w:val="left"/>
      </w:pPr>
      <w:r>
        <w:rPr>
          <w:b w:val="0"/>
        </w:rPr>
        <w:t>Tabla 4.5. Comparación de conteos con Gorillapod 0,5x.</w:t>
        <w:tab/>
      </w:r>
      <w:fldSimple w:instr=" PAGEREF report_1063 \h ">
        <w:r>
          <w:t>34</w:t>
        </w:r>
      </w:fldSimple>
    </w:p>
    <w:p>
      <w:pPr>
        <w:pStyle w:val="TDC1"/>
        <w:tabs>
          <w:tab w:pos="8755" w:val="right" w:leader="dot"/>
        </w:tabs>
        <w:spacing w:line="240" w:lineRule="auto" w:after="80"/>
        <w:jc w:val="left"/>
      </w:pPr>
      <w:r>
        <w:rPr>
          <w:b w:val="0"/>
        </w:rPr>
        <w:t>Tabla 4.6. Recall por banda de distancia estimada.</w:t>
        <w:tab/>
      </w:r>
      <w:fldSimple w:instr=" PAGEREF report_1066 \h ">
        <w:r>
          <w:t>36</w:t>
        </w:r>
      </w:fldSimple>
    </w:p>
    <w:p>
      <w:pPr>
        <w:pStyle w:val="TDC1"/>
        <w:tabs>
          <w:tab w:pos="8755" w:val="right" w:leader="dot"/>
        </w:tabs>
        <w:spacing w:line="240" w:lineRule="auto" w:after="80"/>
        <w:jc w:val="left"/>
      </w:pPr>
      <w:r>
        <w:rPr>
          <w:b w:val="0"/>
        </w:rPr>
        <w:t>Tabla 4.7. Resultados por clase en el conjunto completo.</w:t>
        <w:tab/>
      </w:r>
      <w:fldSimple w:instr=" PAGEREF report_1069 \h ">
        <w:r>
          <w:t>38</w:t>
        </w:r>
      </w:fldSimple>
    </w:p>
    <w:p>
      <w:pPr>
        <w:pStyle w:val="TDC1"/>
        <w:tabs>
          <w:tab w:pos="8755" w:val="right" w:leader="dot"/>
        </w:tabs>
        <w:spacing w:line="240" w:lineRule="auto" w:after="80"/>
        <w:jc w:val="left"/>
      </w:pPr>
      <w:r>
        <w:rPr>
          <w:b w:val="0"/>
        </w:rPr>
        <w:t>Tabla 4.8. Distribución de tiempos de reproducción en emulador en milisegundos.</w:t>
        <w:tab/>
      </w:r>
      <w:fldSimple w:instr=" PAGEREF report_1073 \h ">
        <w:r>
          <w:t>42</w:t>
        </w:r>
      </w:fldSimple>
    </w:p>
    <w:p>
      <w:pPr>
        <w:pStyle w:val="TDC1"/>
        <w:tabs>
          <w:tab w:pos="8755" w:val="right" w:leader="dot"/>
        </w:tabs>
        <w:spacing w:line="240" w:lineRule="auto" w:after="80"/>
        <w:jc w:val="left"/>
      </w:pPr>
      <w:r>
        <w:rPr>
          <w:b w:val="0"/>
        </w:rPr>
        <w:t>Tabla 4.9. Detección agrupada por brillo digital de las fotografías.</w:t>
        <w:tab/>
      </w:r>
      <w:fldSimple w:instr=" PAGEREF report_1075 \h ">
        <w:r>
          <w:t>43</w:t>
        </w:r>
      </w:fldSimple>
    </w:p>
    <w:p>
      <w:pPr>
        <w:pStyle w:val="TDC1"/>
        <w:tabs>
          <w:tab w:pos="8755" w:val="right" w:leader="dot"/>
        </w:tabs>
        <w:spacing w:line="240" w:lineRule="auto" w:after="80"/>
        <w:jc w:val="left"/>
      </w:pPr>
      <w:r>
        <w:rPr>
          <w:b w:val="0"/>
        </w:rPr>
        <w:t>Tabla 4.10. Recall por nivel de oclusión con etiquetas asistidas por IA.</w:t>
        <w:tab/>
      </w:r>
      <w:fldSimple w:instr=" PAGEREF report_1076 \h ">
        <w:r>
          <w:t>44</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3"/>
          <w:footerReference w:type="even" r:id="rId53"/>
          <w:footerReference w:type="default" r:id="rId53"/>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widowControl/>
        <w:spacing w:line="360" w:lineRule="auto" w:after="330"/>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w:t>
      </w:r>
      <w:hyperlink w:anchor="bib_ref_1" w:history="1">
        <w:r>
          <w:t xml:space="preserve">[1]</w:t>
        </w:r>
      </w:hyperlink>
      <w:r>
        <w:t xml:space="preserve">. Frente a esta situación, los sistemas de asistencia basados en visión por computador se han consolidado como una alternativa tecnológica viable para apoyar la percepción del entorno, al convertir la información visual capturada por una cámara en descripciones auditivas, como exploran los prototipos descritos en </w:t>
      </w:r>
      <w:hyperlink w:anchor="bib_ref_2" w:history="1">
        <w:r>
          <w:t xml:space="preserve">[2]</w:t>
        </w:r>
      </w:hyperlink>
      <w:r>
        <w:t xml:space="preserve">, </w:t>
      </w:r>
      <w:hyperlink w:anchor="bib_ref_3" w:history="1">
        <w:r>
          <w:t xml:space="preserve">[3]</w:t>
        </w:r>
      </w:hyperlink>
      <w:r>
        <w:t xml:space="preserve"> y </w:t>
      </w:r>
      <w:hyperlink w:anchor="bib_ref_4" w:history="1">
        <w:r>
          <w:t xml:space="preserve">[4]</w:t>
        </w:r>
      </w:hyperlink>
      <w:r>
        <w:t xml:space="preserve">.</w:t>
      </w:r>
    </w:p>
    <w:p>
      <w:pPr>
        <w:pStyle w:val="Normal"/>
        <w:widowControl/>
        <w:spacing w:line="360" w:lineRule="auto" w:after="330"/>
        <w:jc w:val="both"/>
      </w:pPr>
      <w:r>
        <w:t xml:space="preserve">En los últimos años, la disponibilidad de modelos de detección de objetos optimizados para dispositivos móviles, junto con </w:t>
      </w:r>
      <w:r>
        <w:rPr>
          <w:i/>
        </w:rPr>
        <w:t>frameworks</w:t>
      </w:r>
      <w:r>
        <w:t xml:space="preserve"> de inferencia local como TensorFlow Lite </w:t>
      </w:r>
      <w:hyperlink w:anchor="bib_ref_5" w:history="1">
        <w:r>
          <w:t xml:space="preserve">[5]</w:t>
        </w:r>
      </w:hyperlink>
      <w:r>
        <w:t xml:space="preserve">,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widowControl/>
        <w:spacing w:line="360" w:lineRule="auto" w:after="330"/>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widowControl/>
        <w:spacing w:line="360" w:lineRule="auto" w:after="330"/>
        <w:jc w:val="both"/>
      </w:pPr>
      <w:r>
        <w:t xml:space="preserve">La detección de objetos mediante redes neuronales profundas ha evolucionado desde arquitecturas de dos etapas, como Faster R-CNN </w:t>
      </w:r>
      <w:hyperlink w:anchor="bib_ref_6" w:history="1">
        <w:r>
          <w:t xml:space="preserve">[6]</w:t>
        </w:r>
      </w:hyperlink>
      <w:r>
        <w:t xml:space="preserve">, hasta detectores de una etapa orientados al tiempo real, como YOLO </w:t>
      </w:r>
      <w:hyperlink w:anchor="bib_ref_7" w:history="1">
        <w:r>
          <w:t xml:space="preserve">[7]</w:t>
        </w:r>
      </w:hyperlink>
      <w:r>
        <w:t xml:space="preserve">, SSD </w:t>
      </w:r>
      <w:hyperlink w:anchor="bib_ref_8" w:history="1">
        <w:r>
          <w:t xml:space="preserve">[8]</w:t>
        </w:r>
      </w:hyperlink>
      <w:r>
        <w:t xml:space="preserve"> y EfficientDet </w:t>
      </w:r>
      <w:hyperlink w:anchor="bib_ref_9" w:history="1">
        <w:r>
          <w:t xml:space="preserve">[9]</w:t>
        </w:r>
      </w:hyperlink>
      <w:r>
        <w:t xml:space="preserve">,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w:t>
      </w:r>
      <w:hyperlink w:anchor="bib_ref_2" w:history="1">
        <w:r>
          <w:t xml:space="preserve">[2]</w:t>
        </w:r>
      </w:hyperlink>
      <w:r>
        <w:t xml:space="preserve">,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widowControl/>
        <w:spacing w:line="360" w:lineRule="auto" w:after="330"/>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widowControl/>
        <w:spacing w:line="360" w:lineRule="auto" w:after="330"/>
        <w:jc w:val="both"/>
      </w:pPr>
      <w:r>
        <w:t xml:space="preserve">1. Seleccionar un modelo de detección de objetos optimizado para su implementación en dispositivos móviles con plataforma Android.</w:t>
      </w:r>
    </w:p>
    <w:p>
      <w:pPr>
        <w:pStyle w:val="Normal"/>
        <w:widowControl/>
        <w:spacing w:line="360" w:lineRule="auto" w:after="330"/>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widowControl/>
        <w:spacing w:line="360" w:lineRule="auto" w:after="330"/>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widowControl/>
        <w:spacing w:line="360" w:lineRule="auto" w:after="330"/>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widowControl/>
        <w:spacing w:line="360" w:lineRule="auto" w:after="330"/>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widowControl/>
        <w:spacing w:line="360" w:lineRule="auto" w:after="330"/>
        <w:jc w:val="both"/>
      </w:pPr>
      <w:r>
        <w:t xml:space="preserve">La metodología conserva las tres fases de la propuesta de pasantía </w:t>
      </w:r>
      <w:hyperlink w:anchor="bib_ref_10" w:history="1">
        <w:r>
          <w:t xml:space="preserve">[10]</w:t>
        </w:r>
      </w:hyperlink>
      <w:r>
        <w:t xml:space="preserve">. La fase 1 comprende revisión de literatura, análisis del problema, requerimientos, selección del modelo, delimitación de objetos y diseño de descriptores. La comparación inicial de seis configuraciones sobre 80 imágenes y 257 anotaciones pertenece a esta fase y se presenta en el capítulo 2. La fase 2 corresponde al diseño integrado y al desarrollo del prototipo Android, descritos en el capítulo 3. La fase 3 evalúa el posicionamiento y el desempeño con 198 fotografías organizadas en 33 grupos; sus resultados se presentan en el capítulo 4. El </w:t>
      </w:r>
      <w:r>
        <w:rPr>
          <w:i/>
        </w:rPr>
        <w:t>benchmark</w:t>
      </w:r>
      <w:r>
        <w:t xml:space="preserve"> inicial en Redmi Note 13 y la reproducción posterior en emulador Pixel 8 tienen alcances distintos y se analizan por separado.</w:t>
      </w:r>
    </w:p>
    <w:p>
      <w:pPr>
        <w:widowControl/>
        <w:spacing w:line="360" w:lineRule="auto" w:after="330"/>
        <w:jc w:val="both"/>
      </w:pPr>
      <w:r>
        <w:t>La evaluación de la fase 3 cubre detección y procesamiento de imágenes; la iluminación se explora mediante brillo digital, sin mediciones de iluminancia, y la oclusión se explora con etiquetas suplementarias asistidas por IA, con revisión parcial del autor. La claridad auditiva, el tiempo hasta escuchar el mensaje y el efecto sobre la autonomía requieren evaluación adicional. El análisis geométrico de distancia es complementario y no sustituye estas actividades.</w:t>
      </w:r>
    </w:p>
    <w:p>
      <w:bookmarkStart w:id="1012" w:name="report_1012"/>
      <w:pPr>
        <w:pStyle w:val="Ttulo2"/>
      </w:pPr>
      <w:r>
        <w:t xml:space="preserve">Significado del trabajo</w:t>
      </w:r>
      <w:bookmarkEnd w:id="1012"/>
    </w:p>
    <w:p>
      <w:pPr>
        <w:pStyle w:val="Normal"/>
        <w:widowControl/>
        <w:spacing w:line="360" w:lineRule="auto" w:after="330"/>
        <w:jc w:val="both"/>
      </w:pPr>
      <w:r>
        <w:t xml:space="preserve">El resultado del proyecto es un prototipo funcional de bajo costo que demuestra la viabilidad de ejecutar un </w:t>
      </w:r>
      <w:r>
        <w:rPr>
          <w:i/>
        </w:rPr>
        <w:t>pipeline</w:t>
      </w:r>
      <w:r>
        <w:t xml:space="preserve"> completo de detección, localización espacial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w:t>
      </w:r>
      <w:hyperlink w:anchor="bib_ref_11" w:history="1">
        <w:r>
          <w:t xml:space="preserve">[11]</w:t>
        </w:r>
      </w:hyperlink>
      <w:r>
        <w:t xml:space="preserve"> y en el Plan de Gobierno Rectoral 2024-2028 </w:t>
      </w:r>
      <w:hyperlink w:anchor="bib_ref_12" w:history="1">
        <w:r>
          <w:t xml:space="preserve">[12]</w:t>
        </w:r>
      </w:hyperlink>
      <w:r>
        <w:t xml:space="preserve">.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widowControl/>
        <w:spacing w:line="360" w:lineRule="auto" w:after="330"/>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4"/>
          <w:footerReference w:type="even" r:id="rId54"/>
          <w:headerReference w:type="even" r:id="rId16"/>
          <w:headerReference w:type="default" r:id="rId17"/>
          <w:headerReference w:type="first" r:id="rId18"/>
          <w:footerReference w:type="default" r:id="rId54"/>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widowControl/>
        <w:spacing w:line="360" w:lineRule="auto" w:after="330"/>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widowControl/>
        <w:spacing w:line="360" w:lineRule="auto" w:after="330"/>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 </w:t>
      </w:r>
      <w:hyperlink w:anchor="bib_ref_2" w:history="1">
        <w:r>
          <w:t xml:space="preserve">[2]</w:t>
        </w:r>
      </w:hyperlink>
      <w:r>
        <w:t xml:space="preserve">, </w:t>
      </w:r>
      <w:hyperlink w:anchor="bib_ref_3" w:history="1">
        <w:r>
          <w:t xml:space="preserve">[3]</w:t>
        </w:r>
      </w:hyperlink>
      <w:r>
        <w:t xml:space="preserve">, </w:t>
      </w:r>
      <w:hyperlink w:anchor="bib_ref_4" w:history="1">
        <w:r>
          <w:t xml:space="preserve">[4]</w:t>
        </w:r>
      </w:hyperlink>
      <w:r>
        <w:t xml:space="preserve">.</w:t>
      </w:r>
    </w:p>
    <w:p>
      <w:pPr>
        <w:pStyle w:val="Normal"/>
        <w:widowControl/>
        <w:spacing w:line="360" w:lineRule="auto" w:after="330"/>
        <w:jc w:val="both"/>
      </w:pPr>
      <w:r>
        <w:t xml:space="preserve">Meenakshi et al. desarrollaron una aplicación móvil para Android orientada a apoyar la movilidad de personas con discapacidad visual mediante YOLOv3 </w:t>
      </w:r>
      <w:hyperlink w:anchor="bib_ref_3" w:history="1">
        <w:r>
          <w:t xml:space="preserve">[3]</w:t>
        </w:r>
      </w:hyperlink>
      <w:r>
        <w:t xml:space="preserve">.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widowControl/>
        <w:spacing w:line="360" w:lineRule="auto" w:after="330"/>
        <w:jc w:val="both"/>
      </w:pPr>
      <w:r>
        <w:t xml:space="preserve">Guravaiah et al. presentaron Third Eye, un sistema que utiliza YOLOv5 para reconocer objetos y convertir las etiquetas detectadas en voz mediante las bibliotecas pyttsx3 y gTTS </w:t>
      </w:r>
      <w:hyperlink w:anchor="bib_ref_4" w:history="1">
        <w:r>
          <w:t xml:space="preserve">[4]</w:t>
        </w:r>
      </w:hyperlink>
      <w:r>
        <w:t xml:space="preserve">. El conjunto combina MS COCO con quince clases adicionales de interés para el entorno cotidiano, como puertas, ventanas, casilleros y señales, para un total de noventa y cinco clases </w:t>
      </w:r>
      <w:hyperlink w:anchor="bib_ref_4" w:history="1">
        <w:r>
          <w:t xml:space="preserve">[4]</w:t>
        </w:r>
      </w:hyperlink>
      <w:r>
        <w:t xml:space="preserve">. El aporte principal es la integración explícita entre detección y síntesis de voz; no obstante, la implementación se plantea en Python y no resuelve de manera métrica la profundidad ni la localización espacial detallada.</w:t>
      </w:r>
    </w:p>
    <w:p>
      <w:pPr>
        <w:pStyle w:val="Normal"/>
        <w:widowControl/>
        <w:spacing w:line="360" w:lineRule="auto" w:after="330"/>
        <w:jc w:val="both"/>
      </w:pPr>
      <w:r>
        <w:t xml:space="preserve">En un preprint, Pawar describe una aplicación Android basada en TensorFlow Object Detection API y SSD MobileNet, ajustada mediante transferencia de aprendizaje para reconocer ochenta categorías </w:t>
      </w:r>
      <w:hyperlink w:anchor="bib_ref_13" w:history="1">
        <w:r>
          <w:t xml:space="preserve">[13]</w:t>
        </w:r>
      </w:hyperlink>
      <w:r>
        <w:t xml:space="preserve">.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propone el uso de SSD MobileNet en aplicaciones móviles, pero también resalta la necesidad de separar la exactitud reportada en un conjunto propio de la medición reproducible de mAP, precisión, </w:t>
      </w:r>
      <w:r>
        <w:rPr>
          <w:i/>
        </w:rPr>
        <w:t>recall</w:t>
      </w:r>
      <w:r>
        <w:t>, latencia y FPS.</w:t>
      </w:r>
    </w:p>
    <w:p>
      <w:pPr>
        <w:pStyle w:val="Normal"/>
        <w:widowControl/>
        <w:spacing w:line="360" w:lineRule="auto" w:after="330"/>
        <w:jc w:val="both"/>
      </w:pPr>
      <w:r>
        <w:t xml:space="preserve">Figura, Kuźmiczuk y Badurowicz compararon Faster R-CNN ResNet-101 v1, YOLOv8s, SSD MobileNetV2 y EfficientDet-Lite2 en un entorno simulado de gafas de realidad aumentada </w:t>
      </w:r>
      <w:hyperlink w:anchor="bib_ref_14" w:history="1">
        <w:r>
          <w:t xml:space="preserve">[14]</w:t>
        </w:r>
      </w:hyperlink>
      <w:r>
        <w:t xml:space="preserve">. Evaluaron velocidad, precisión, consumo de recursos y eficiencia energética. Sus resultados muestran que los detectores de una etapa son más apropiados para ejecución directa en el dispositivo; YOLOv8s obtuvo el mejor compromiso global entre las métricas consideradas, mientras EfficientDet-Lite2 y SSD MobileNetV2 presentaron ventajas de rapidez. Este estudio es especialmente cercano al problema de selección abordado en el capítulo 2 porque compara dos de los candidatos considerados en este trabajo.</w:t>
      </w:r>
    </w:p>
    <w:p>
      <w:pPr>
        <w:pStyle w:val="Normal"/>
        <w:widowControl/>
        <w:spacing w:line="360" w:lineRule="auto" w:after="330"/>
        <w:jc w:val="both"/>
      </w:pPr>
      <w:r>
        <w:t xml:space="preserve">More et al. propusieron una aplicación Android para personas con discapacidad visual que convierte YOLOv8 a TensorFlow Lite y añade retroalimentación auditiva </w:t>
      </w:r>
      <w:hyperlink w:anchor="bib_ref_2" w:history="1">
        <w:r>
          <w:t xml:space="preserve">[2]</w:t>
        </w:r>
      </w:hyperlink>
      <w:r>
        <w:t xml:space="preserve">.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widowControl/>
        <w:spacing w:line="360" w:lineRule="auto" w:after="330"/>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el estudio no incluyó validación con distancias medidas.</w:t>
      </w:r>
    </w:p>
    <w:p>
      <w:bookmarkStart w:id="1016" w:name="report_1016"/>
      <w:pPr>
        <w:pStyle w:val="Ttulo2"/>
      </w:pPr>
      <w:r>
        <w:t xml:space="preserve">1.2 Arquitecturas de detección: </w:t>
      </w:r>
      <w:r>
        <w:rPr>
          <w:i/>
        </w:rPr>
        <w:t>one-stage</w:t>
      </w:r>
      <w:r>
        <w:t xml:space="preserve"> y </w:t>
      </w:r>
      <w:r>
        <w:rPr>
          <w:i/>
        </w:rPr>
        <w:t>two-stage</w:t>
      </w:r>
      <w:bookmarkEnd w:id="1016"/>
    </w:p>
    <w:p>
      <w:pPr>
        <w:pStyle w:val="Normal"/>
        <w:widowControl/>
        <w:spacing w:line="360" w:lineRule="auto" w:after="330"/>
        <w:jc w:val="both"/>
      </w:pPr>
      <w:r>
        <w:t xml:space="preserve">Entre los detectores convolucionales revisados se distinguen enfoques de dos etapas, como Faster R-CNN </w:t>
      </w:r>
      <w:hyperlink w:anchor="bib_ref_6" w:history="1">
        <w:r>
          <w:t xml:space="preserve">[6]</w:t>
        </w:r>
      </w:hyperlink>
      <w:r>
        <w:t xml:space="preserve">, y de una etapa, como YOLO </w:t>
      </w:r>
      <w:hyperlink w:anchor="bib_ref_7" w:history="1">
        <w:r>
          <w:t xml:space="preserve">[7]</w:t>
        </w:r>
      </w:hyperlink>
      <w:r>
        <w:t xml:space="preserve"> y SSD </w:t>
      </w:r>
      <w:hyperlink w:anchor="bib_ref_8" w:history="1">
        <w:r>
          <w:t xml:space="preserve">[8]</w:t>
        </w:r>
      </w:hyperlink>
      <w:r>
        <w:t xml:space="preserve">.</w:t>
      </w:r>
    </w:p>
    <w:p>
      <w:pPr>
        <w:pStyle w:val="Normal"/>
        <w:widowControl/>
        <w:spacing w:line="360" w:lineRule="auto" w:after="330"/>
        <w:jc w:val="both"/>
      </w:pPr>
      <w:r>
        <w:t xml:space="preserve">Faster R-CNN divide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w:t>
      </w:r>
      <w:r>
        <w:rPr>
          <w:i/>
        </w:rPr>
        <w:t>bounding box</w:t>
      </w:r>
      <w:r>
        <w:t xml:space="preserve"> </w:t>
      </w:r>
      <w:hyperlink w:anchor="bib_ref_6" w:history="1">
        <w:r>
          <w:t xml:space="preserve">[6]</w:t>
        </w:r>
      </w:hyperlink>
      <w:r>
        <w:t xml:space="preserve">. Esta descripción corresponde al detector de propuestas de regiones utilizado como antecedente.</w:t>
      </w:r>
    </w:p>
    <w:p>
      <w:pPr>
        <w:pStyle w:val="Normal"/>
        <w:widowControl/>
        <w:spacing w:line="360" w:lineRule="auto" w:after="330"/>
        <w:jc w:val="both"/>
      </w:pPr>
      <w:r>
        <w:t xml:space="preserve">Los detectores de una etapa procesan la imagen completa en una sola pasada por la red neuronal, prediciendo clases y </w:t>
      </w:r>
      <w:r>
        <w:rPr>
          <w:i/>
        </w:rPr>
        <w:t>bounding boxes</w:t>
      </w:r>
      <w:r>
        <w:t xml:space="preserve"> simultáneamente como un problema de regresión directa </w:t>
      </w:r>
      <w:hyperlink w:anchor="bib_ref_7" w:history="1">
        <w:r>
          <w:t xml:space="preserve">[7]</w:t>
        </w:r>
      </w:hyperlink>
      <w:r>
        <w:t xml:space="preserve">, </w:t>
      </w:r>
      <w:hyperlink w:anchor="bib_ref_8" w:history="1">
        <w:r>
          <w:t xml:space="preserve">[8]</w:t>
        </w:r>
      </w:hyperlink>
      <w:r>
        <w:t xml:space="preserve">. Una red convolucional extrae mapas de características espaciales y semánticas, sobre los cuales el modelo predice coordenadas y probabilidades de clase. YOLO prioriza la velocidad </w:t>
      </w:r>
      <w:hyperlink w:anchor="bib_ref_7" w:history="1">
        <w:r>
          <w:t xml:space="preserve">[7]</w:t>
        </w:r>
      </w:hyperlink>
      <w:r>
        <w:t xml:space="preserve">, SSD utiliza mapas multiescala y cajas predefinidas </w:t>
      </w:r>
      <w:hyperlink w:anchor="bib_ref_8" w:history="1">
        <w:r>
          <w:t xml:space="preserve">[8]</w:t>
        </w:r>
      </w:hyperlink>
      <w:r>
        <w:t xml:space="preserve">, y EfficientDet incorpora una fusión bidireccional de características y un escalamiento compuesto </w:t>
      </w:r>
      <w:hyperlink w:anchor="bib_ref_9" w:history="1">
        <w:r>
          <w:t xml:space="preserve">[9]</w:t>
        </w:r>
      </w:hyperlink>
      <w:r>
        <w:t xml:space="preserve">.</w:t>
      </w:r>
    </w:p>
    <w:p>
      <w:bookmarkStart w:id="1017" w:name="report_1017"/>
      <w:pPr>
        <w:pStyle w:val="Ttulo2"/>
      </w:pPr>
      <w:r>
        <w:t xml:space="preserve">1.3 Modelos ligeros y eficiencia para dispositivos móviles</w:t>
      </w:r>
      <w:bookmarkEnd w:id="1017"/>
    </w:p>
    <w:p>
      <w:pPr>
        <w:pStyle w:val="Normal"/>
        <w:widowControl/>
        <w:spacing w:line="360" w:lineRule="auto" w:after="330"/>
        <w:jc w:val="both"/>
      </w:pPr>
      <w:r>
        <w:t xml:space="preserve">El despliegue en un teléfono introduce restricciones de memoria, energía, almacenamiento y tiempo de respuesta. Por esta razón, la eficiencia no depende únicamente del detector elegido: también intervienen el </w:t>
      </w:r>
      <w:r>
        <w:rPr>
          <w:i/>
        </w:rPr>
        <w:t>backbone</w:t>
      </w:r>
      <w:r>
        <w:t xml:space="preserve">, la resolución de entrada, la representación numérica y las técnicas de compresión </w:t>
      </w:r>
      <w:hyperlink w:anchor="bib_ref_15" w:history="1">
        <w:r>
          <w:t xml:space="preserve">[15]</w:t>
        </w:r>
      </w:hyperlink>
      <w:r>
        <w:t xml:space="preserve">, </w:t>
      </w:r>
      <w:hyperlink w:anchor="bib_ref_16" w:history="1">
        <w:r>
          <w:t xml:space="preserve">[16]</w:t>
        </w:r>
      </w:hyperlink>
      <w:r>
        <w:t xml:space="preserve">.</w:t>
      </w:r>
    </w:p>
    <w:p>
      <w:pPr>
        <w:pStyle w:val="Normal"/>
        <w:widowControl/>
        <w:spacing w:line="360" w:lineRule="auto" w:after="330"/>
        <w:jc w:val="both"/>
      </w:pPr>
      <w:r>
        <w:t xml:space="preserve">Howard et al. propusieron MobileNets como una familia de redes para visión móvil basada en convoluciones separables en profundidad </w:t>
      </w:r>
      <w:hyperlink w:anchor="bib_ref_15" w:history="1">
        <w:r>
          <w:t xml:space="preserve">[15]</w:t>
        </w:r>
      </w:hyperlink>
      <w:r>
        <w:t xml:space="preserve">.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w:t>
      </w:r>
      <w:r>
        <w:rPr>
          <w:i/>
        </w:rPr>
        <w:t>backbone</w:t>
      </w:r>
      <w:r>
        <w:t xml:space="preserve"> de detectores SSD móviles.</w:t>
      </w:r>
    </w:p>
    <w:p>
      <w:pPr>
        <w:pStyle w:val="Normal"/>
        <w:widowControl/>
        <w:spacing w:line="360" w:lineRule="auto" w:after="330"/>
        <w:jc w:val="both"/>
      </w:pPr>
      <w:r>
        <w:t xml:space="preserve">MobileNetV2, presentada por Sandler et al., introduce residuos invertidos y cuellos de botella lineales para mejorar la relación entre expresividad y costo </w:t>
      </w:r>
      <w:hyperlink w:anchor="bib_ref_16" w:history="1">
        <w:r>
          <w:t xml:space="preserve">[16]</w:t>
        </w:r>
      </w:hyperlink>
      <w:r>
        <w:t xml:space="preserve">.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widowControl/>
        <w:spacing w:line="360" w:lineRule="auto" w:after="330"/>
        <w:jc w:val="both"/>
      </w:pPr>
      <w:r>
        <w:t xml:space="preserve">Dai aborda la conversión de modelos Float32 a uint8 con TensorFlow Lite para reducir almacenamiento y coste de inferencia en dispositivos de borde </w:t>
      </w:r>
      <w:hyperlink w:anchor="bib_ref_17" w:history="1">
        <w:r>
          <w:t xml:space="preserve">[17]</w:t>
        </w:r>
      </w:hyperlink>
      <w:r>
        <w:t xml:space="preserve">. El artículo también reproduce una comparación entre SSD y Faster R-CNN; sus cifras no se utilizan aquí como mediciones del prototipo ni como evidencia aislada del efecto de la cuantización. Este antecedente motiva evaluar velocidad y exactitud en el dispositivo y con el protocolo propios.</w:t>
      </w:r>
    </w:p>
    <w:p>
      <w:pPr>
        <w:pStyle w:val="Normal"/>
        <w:widowControl/>
        <w:spacing w:line="360" w:lineRule="auto" w:after="330"/>
        <w:jc w:val="both"/>
      </w:pPr>
      <w:r>
        <w:t xml:space="preserve">Magdy et al. analizaron la compresión de Faster R-CNN mediante entrenamiento con precisión mixta FP16, poda no estructurada y cuantización dinámica </w:t>
      </w:r>
      <w:hyperlink w:anchor="bib_ref_18" w:history="1">
        <w:r>
          <w:t xml:space="preserve">[18]</w:t>
        </w:r>
      </w:hyperlink>
      <w:r>
        <w:t xml:space="preserve">.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widowControl/>
        <w:spacing w:line="360" w:lineRule="auto" w:after="330"/>
        <w:jc w:val="both"/>
      </w:pPr>
      <w:r>
        <w:t xml:space="preserve">Estos trabajos sustentan la elección de métricas conjuntas de exactitud y costo computacional. En una aplicación de asistencia, un modelo rápido pero con muchos falsos positivos puede producir anuncios incorrectos, mientras un modelo exacto pero lento no entrega información oportuna. Como criterio de diseño, y sin medir aquí confianza del usuario, la selección experimental del capítulo 2 no se basa en una única métrica.</w:t>
      </w:r>
    </w:p>
    <w:p>
      <w:bookmarkStart w:id="1018" w:name="report_1018"/>
      <w:pPr>
        <w:pStyle w:val="Ttulo2"/>
      </w:pPr>
      <w:r>
        <w:t xml:space="preserve">1.4 Modelos candidatos</w:t>
      </w:r>
      <w:bookmarkEnd w:id="1018"/>
    </w:p>
    <w:p>
      <w:pPr>
        <w:pStyle w:val="Normal"/>
        <w:widowControl/>
        <w:spacing w:line="360" w:lineRule="auto" w:after="330"/>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widowControl/>
        <w:spacing w:line="360" w:lineRule="auto" w:after="330"/>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w:t>
      </w:r>
      <w:hyperlink w:anchor="bib_ref_18" w:history="1">
        <w:r>
          <w:t xml:space="preserve">[18]</w:t>
        </w:r>
      </w:hyperlink>
      <w:r>
        <w:t xml:space="preserve">, aunque el prototipo de este trabajo no entrena ni comprime este modelo.</w:t>
      </w:r>
    </w:p>
    <w:p>
      <w:pPr>
        <w:pStyle w:val="Normal"/>
        <w:widowControl/>
        <w:spacing w:line="360" w:lineRule="auto" w:after="330"/>
        <w:jc w:val="both"/>
      </w:pPr>
      <w:r>
        <w:t xml:space="preserve">SSD MobileNet combina detección de una etapa con un </w:t>
      </w:r>
      <w:r>
        <w:rPr>
          <w:i/>
        </w:rPr>
        <w:t>backbone</w:t>
      </w:r>
      <w:r>
        <w:t xml:space="preserve"> ligero. SSD predice objetos en mapas de características de diferentes escalas y MobileNet reduce el costo de las convoluciones </w:t>
      </w:r>
      <w:hyperlink w:anchor="bib_ref_8" w:history="1">
        <w:r>
          <w:t xml:space="preserve">[8]</w:t>
        </w:r>
      </w:hyperlink>
      <w:r>
        <w:t xml:space="preserve">, </w:t>
      </w:r>
      <w:hyperlink w:anchor="bib_ref_15" w:history="1">
        <w:r>
          <w:t xml:space="preserve">[15]</w:t>
        </w:r>
      </w:hyperlink>
      <w:r>
        <w:t xml:space="preserve">, </w:t>
      </w:r>
      <w:hyperlink w:anchor="bib_ref_16" w:history="1">
        <w:r>
          <w:t xml:space="preserve">[16]</w:t>
        </w:r>
      </w:hyperlink>
      <w:r>
        <w:t xml:space="preserve">. Esta combinación favorece la velocidad, pero su precisión de localización debe verificarse para las clases y escenas interiores del conjunto propio.</w:t>
      </w:r>
    </w:p>
    <w:p>
      <w:pPr>
        <w:pStyle w:val="Normal"/>
        <w:widowControl/>
        <w:spacing w:line="360" w:lineRule="auto" w:after="330"/>
        <w:jc w:val="both"/>
      </w:pPr>
      <w:r>
        <w:t xml:space="preserve">EfficientDet es una familia de detectores de una etapa basada en EfficientNet, BiFPN y escalamiento compuesto </w:t>
      </w:r>
      <w:hyperlink w:anchor="bib_ref_9" w:history="1">
        <w:r>
          <w:t xml:space="preserve">[9]</w:t>
        </w:r>
      </w:hyperlink>
      <w:r>
        <w:t xml:space="preserve">. La documentación de EfficientDet-Lite describe variantes para dispositivos móviles </w:t>
      </w:r>
      <w:hyperlink w:anchor="bib_ref_19" w:history="1">
        <w:r>
          <w:t xml:space="preserve">[19]</w:t>
        </w:r>
      </w:hyperlink>
      <w:r>
        <w:rPr>
          <w:i/>
        </w:rPr>
        <w:t xml:space="preserve"/>
      </w:r>
      <w:r>
        <w:t>; por ello, EfficientDet-Lite2 se considera una opción intermedia entre precisión, tamaño y velocidad.</w:t>
      </w:r>
    </w:p>
    <w:p>
      <w:pPr>
        <w:pStyle w:val="Normal"/>
        <w:widowControl/>
        <w:spacing w:line="360" w:lineRule="auto" w:after="330"/>
        <w:jc w:val="both"/>
      </w:pPr>
      <w:r>
        <w:t xml:space="preserve">YOLO realiza la detección en una sola pasada y dispone de variantes con diferentes tamaños, desde modelos pequeños hasta modelos de mayor capacidad </w:t>
      </w:r>
      <w:hyperlink w:anchor="bib_ref_7" w:history="1">
        <w:r>
          <w:t xml:space="preserve">[7]</w:t>
        </w:r>
      </w:hyperlink>
      <w:r>
        <w:t xml:space="preserve">. Las variantes YOLOv8 y YOLO11 evaluadas se documentan por separado en Ultralytics </w:t>
      </w:r>
      <w:hyperlink w:anchor="bib_ref_20" w:history="1">
        <w:r>
          <w:t xml:space="preserve">[20]</w:t>
        </w:r>
      </w:hyperlink>
      <w:r>
        <w:t xml:space="preserve">, </w:t>
      </w:r>
      <w:hyperlink w:anchor="bib_ref_21" w:history="1">
        <w:r>
          <w:t xml:space="preserve">[21]</w:t>
        </w:r>
      </w:hyperlink>
      <w:r>
        <w:t xml:space="preserve">; mientras que el tamaño de la variante y la resolución de entrada determinan el costo real de ejecución en Android.</w:t>
      </w:r>
    </w:p>
    <w:p>
      <w:pPr>
        <w:pStyle w:val="Normal"/>
        <w:widowControl/>
        <w:spacing w:line="360" w:lineRule="auto" w:after="330"/>
        <w:jc w:val="both"/>
      </w:pPr>
      <w:r>
        <w:t xml:space="preserve">Las clases prioritarias del prototipo se relacionan con categorías disponibles en MS COCO, conjunto que contiene anotaciones para detección y segmentación en escenas cotidianas </w:t>
      </w:r>
      <w:hyperlink w:anchor="bib_ref_22" w:history="1">
        <w:r>
          <w:t xml:space="preserve">[22]</w:t>
        </w:r>
      </w:hyperlink>
      <w:r>
        <w:t xml:space="preserve">. También se revisó Open Images como fuente de categorías y anotaciones de gran escala </w:t>
      </w:r>
      <w:hyperlink w:anchor="bib_ref_23" w:history="1">
        <w:r>
          <w:t xml:space="preserve">[23]</w:t>
        </w:r>
      </w:hyperlink>
      <w:r>
        <w:t xml:space="preserve">. En la implementación final se mantuvo MS COCO porque EfficientDet-Lite2 ya dispone de pesos compatibles con sus categorías y no fue necesario entrenar un modelo propio.</w:t>
      </w:r>
    </w:p>
    <w:p>
      <w:pPr>
        <w:pStyle w:val="Normal"/>
        <w:widowControl/>
        <w:spacing w:line="360" w:lineRule="auto" w:after="330"/>
        <w:jc w:val="both"/>
      </w:pPr>
      <w:r>
        <w:t xml:space="preserve">La portabilidad de los modelos también depende del formato de inferencia. TensorFlow Lite permite ejecutar archivos .tflite en el dispositivo </w:t>
      </w:r>
      <w:hyperlink w:anchor="bib_ref_5" w:history="1">
        <w:r>
          <w:t xml:space="preserve">[5]</w:t>
        </w:r>
      </w:hyperlink>
      <w:r>
        <w:t xml:space="preserve">, mientras ONNX Runtime y ExecuTorch representan alternativas para otros ecosistemas de despliegue </w:t>
      </w:r>
      <w:hyperlink w:anchor="bib_ref_24" w:history="1">
        <w:r>
          <w:t xml:space="preserve">[24]</w:t>
        </w:r>
      </w:hyperlink>
      <w:r>
        <w:t xml:space="preserve">, </w:t>
      </w:r>
      <w:hyperlink w:anchor="bib_ref_25" w:history="1">
        <w:r>
          <w:t xml:space="preserve">[25]</w:t>
        </w:r>
      </w:hyperlink>
      <w:r>
        <w:t xml:space="preserve">.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widowControl/>
        <w:spacing w:line="360" w:lineRule="auto" w:after="330"/>
        <w:jc w:val="both"/>
      </w:pPr>
      <w:r>
        <w:t xml:space="preserve">DETR (DEtection TRansformer) introduce un paradigma basado en transformers para realizar detección de objetos de extremo a extremo </w:t>
      </w:r>
      <w:hyperlink w:anchor="bib_ref_26" w:history="1">
        <w:r>
          <w:t xml:space="preserve">[26]</w:t>
        </w:r>
      </w:hyperlink>
      <w:r>
        <w:t xml:space="preserve">. El modelo procesa la imagen completa y utiliza object queries para producir predicciones directas, sin seguir explícitamente el esquema clásico de una o dos etapas. Su formulación reduce componentes como las cajas predefinidas y la supresión no máxima, en este proyecto se mantuvo como antecedente y no se midió su desempeño en el teléfono objetivo.</w:t>
      </w:r>
    </w:p>
    <w:p>
      <w:pPr>
        <w:pStyle w:val="Normal"/>
        <w:widowControl/>
        <w:spacing w:line="360" w:lineRule="auto" w:after="330"/>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widowControl/>
        <w:spacing w:line="360" w:lineRule="auto" w:after="330"/>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widowControl/>
        <w:spacing w:line="360" w:lineRule="auto" w:after="330"/>
        <w:jc w:val="both"/>
      </w:pPr>
      <w:r>
        <w:t xml:space="preserve">Antes de comparar los modelos se establecieron tres criterios de selección. El primero es la utilidad para el reconocimiento de objetos, entendida como la capacidad de identificar y localizar varias clases en una imagen mediante </w:t>
      </w:r>
      <w:r>
        <w:rPr>
          <w:i/>
        </w:rPr>
        <w:t>bounding boxes</w:t>
      </w:r>
      <w:r>
        <w:t>.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widowControl/>
        <w:spacing w:line="360" w:lineRule="auto" w:after="330"/>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widowControl/>
        <w:spacing w:line="360" w:lineRule="auto" w:after="330"/>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w:t>
      </w:r>
      <w:r>
        <w:rPr>
          <w:i/>
        </w:rPr>
        <w:t>recall</w:t>
      </w:r>
      <w:r>
        <w:t xml:space="preserve"> y promedia las categorías evaluables. Un error de clase produce una predicción falsa y deja sin recuperar la anotación de la clase correcta </w:t>
      </w:r>
      <w:hyperlink w:anchor="bib_ref_22" w:history="1">
        <w:r>
          <w:t xml:space="preserve">[22]</w:t>
        </w:r>
      </w:hyperlink>
      <w:r>
        <w:t xml:space="preserve">, </w:t>
      </w:r>
      <w:hyperlink w:anchor="bib_ref_27" w:history="1">
        <w:r>
          <w:t xml:space="preserve">[27]</w:t>
        </w:r>
      </w:hyperlink>
      <w:r>
        <w:t xml:space="preserve">.</w:t>
      </w:r>
    </w:p>
    <w:p>
      <w:pPr>
        <w:pStyle w:val="Normal"/>
        <w:widowControl/>
        <w:spacing w:line="360" w:lineRule="auto" w:after="330"/>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w:t>
      </w:r>
      <w:r>
        <w:rPr>
          <w:i/>
        </w:rPr>
        <w:t>bounding boxes</w:t>
      </w:r>
      <w:r>
        <w:t xml:space="preserve"> no se ajustan con precisión al objeto detectado. Al igual que mAP50, la evaluación se realiza por clase, por lo que un error de clasificación afecta ambas métricas. Para el sistema propuesto, mAP50-95 incorpora exigencias de clasificación y ajuste geométrico de las detecciones </w:t>
      </w:r>
      <w:hyperlink w:anchor="bib_ref_22" w:history="1">
        <w:r>
          <w:t xml:space="preserve">[22]</w:t>
        </w:r>
      </w:hyperlink>
      <w:r>
        <w:t xml:space="preserve">, </w:t>
      </w:r>
      <w:hyperlink w:anchor="bib_ref_27" w:history="1">
        <w:r>
          <w:t xml:space="preserve">[27]</w:t>
        </w:r>
      </w:hyperlink>
      <w:r>
        <w:t xml:space="preserve">.</w:t>
      </w:r>
    </w:p>
    <w:p>
      <w:pPr>
        <w:pStyle w:val="Normal"/>
        <w:widowControl/>
        <w:spacing w:line="360" w:lineRule="auto" w:after="330"/>
        <w:jc w:val="both"/>
      </w:pPr>
      <w:r>
        <w:t xml:space="preserve">La precisión es la proporción de predicciones positivas que resultan correctas: P = TP/(TP + FP) </w:t>
      </w:r>
      <w:hyperlink w:anchor="bib_ref_28" w:history="1">
        <w:r>
          <w:t xml:space="preserve">[28]</w:t>
        </w:r>
      </w:hyperlink>
      <w:r>
        <w:t xml:space="preserve">. No equivale a la tasa de falsos positivos. En este experimento se calcula después del emparejamiento de clase y caja; una predicción sin correspondencia se contabiliza como FP. Una precisión alta reduce la proporción de anuncios incorrectos entre las selecciones, pero su efecto sobre confianza o utilidad requiere evaluación </w:t>
      </w:r>
      <w:r>
        <w:t xml:space="preserve">con usuarios</w:t>
      </w:r>
      <w:r>
        <w:t xml:space="preserve">.</w:t>
      </w:r>
    </w:p>
    <w:p>
      <w:pPr>
        <w:pStyle w:val="Normal"/>
        <w:widowControl/>
        <w:spacing w:line="360" w:lineRule="auto" w:after="330"/>
        <w:jc w:val="both"/>
      </w:pPr>
      <w:r>
        <w:rPr>
          <w:i/>
        </w:rPr>
        <w:t>Recall</w:t>
      </w:r>
      <w:r>
        <w:t xml:space="preserve">, o exhaustividad, es la proporción de instancias anotadas visibles que el detector recupera: TP/(TP+FN) </w:t>
      </w:r>
      <w:hyperlink w:anchor="bib_ref_28" w:history="1">
        <w:r>
          <w:t xml:space="preserve">[28]</w:t>
        </w:r>
      </w:hyperlink>
      <w:r>
        <w:t xml:space="preserve">. Los falsos negativos describen objetos presentes en la imagen y no detectados; un objeto fuera del encuadre no entra en el denominador. Por ello, este trabajo acompaña </w:t>
      </w:r>
      <w:r>
        <w:rPr>
          <w:i/>
        </w:rPr>
        <w:t>recall</w:t>
      </w:r>
      <w:r>
        <w:t xml:space="preserve"> con los conteos de objetos visibles y detecciones correctas. Estas métricas no miden directamente riesgo de colisión ni seguridad de navegación.</w:t>
      </w:r>
    </w:p>
    <w:p>
      <w:pPr>
        <w:pStyle w:val="Normal"/>
        <w:widowControl/>
        <w:spacing w:line="360" w:lineRule="auto" w:after="330"/>
        <w:jc w:val="both"/>
      </w:pPr>
      <w:r>
        <w:t xml:space="preserve">F1 Score. El F1 score corresponde a la media armónica entre precisión y </w:t>
      </w:r>
      <w:r>
        <w:rPr>
          <w:i/>
        </w:rPr>
        <w:t>recall</w:t>
      </w:r>
      <w:r>
        <w:t xml:space="preserve">: F1 = 2 × (Precision × </w:t>
      </w:r>
      <w:r>
        <w:rPr>
          <w:i/>
        </w:rPr>
        <w:t>Recall</w:t>
      </w:r>
      <w:r>
        <w:t xml:space="preserve">) / (Precision + </w:t>
      </w:r>
      <w:r>
        <w:rPr>
          <w:i/>
        </w:rPr>
        <w:t>Recall</w:t>
      </w:r>
      <w:r>
        <w:t xml:space="preserve">). A diferencia de la media aritmética, penaliza el desequilibrio entre ambas métricas, por lo que resulta útil como métrica única de exactitud global cuando se requiere un compromiso entre falsos positivos y falsos negativos </w:t>
      </w:r>
      <w:hyperlink w:anchor="bib_ref_28" w:history="1">
        <w:r>
          <w:t xml:space="preserve">[28]</w:t>
        </w:r>
      </w:hyperlink>
      <w:r>
        <w:t xml:space="preserve">.</w:t>
      </w:r>
    </w:p>
    <w:p>
      <w:pPr>
        <w:pStyle w:val="Normal"/>
        <w:widowControl/>
        <w:spacing w:line="360" w:lineRule="auto" w:after="330"/>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Para inferencias secuenciales aisladas, los FPS se calculan como 1000 dividido por la latencia en milisegundos; esta conversión no incluye captura, interfaz ni voz </w:t>
      </w:r>
      <w:hyperlink w:anchor="bib_ref_29" w:history="1">
        <w:r>
          <w:t xml:space="preserve">[29]</w:t>
        </w:r>
      </w:hyperlink>
      <w:r>
        <w:t xml:space="preserve">.</w:t>
      </w:r>
    </w:p>
    <w:p>
      <w:pPr>
        <w:pStyle w:val="Normal"/>
        <w:widowControl/>
        <w:spacing w:line="360" w:lineRule="auto" w:after="330"/>
        <w:jc w:val="both"/>
      </w:pPr>
      <w:r>
        <w:t xml:space="preserve">La memoria se reporta como la huella aproximada medida por la Benchmark Tool durante la inicialización y ejecución, en megabytes (MB) </w:t>
      </w:r>
      <w:hyperlink w:anchor="bib_ref_29" w:history="1">
        <w:r>
          <w:t xml:space="preserve">[29]</w:t>
        </w:r>
      </w:hyperlink>
      <w:r>
        <w:t xml:space="preserve">. Incluye efectos del proceso de medición y no representa exclusivamente el tamaño del modelo o de sus tensores. Se utiliza para comparar las </w:t>
      </w:r>
      <w:r>
        <w:rPr>
          <w:i w:val="0"/>
        </w:rPr>
        <w:t xml:space="preserve">configuraciones bajo el mismo procedimient</w:t>
      </w:r>
      <w:r>
        <w:t xml:space="preserve">o</w:t>
      </w:r>
      <w:r>
        <w:t xml:space="preserve"/>
      </w:r>
      <w:r>
        <w:t xml:space="preserve">.</w:t>
      </w:r>
    </w:p>
    <w:p>
      <w:pPr>
        <w:pStyle w:val="Normal"/>
        <w:widowControl/>
        <w:spacing w:line="360" w:lineRule="auto" w:after="330"/>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w:t>
      </w:r>
      <w:hyperlink w:anchor="bib_ref_29" w:history="1">
        <w:r>
          <w:t xml:space="preserve">[29]</w:t>
        </w:r>
      </w:hyperlink>
      <w:r>
        <w:t xml:space="preserve">.</w:t>
      </w:r>
    </w:p>
    <w:p>
      <w:pPr>
        <w:pStyle w:val="Ttulo3"/>
      </w:pPr>
      <w:r>
        <w:t xml:space="preserve">2.2.2 Cuantización de modelos: Float32 y Float16</w:t>
      </w:r>
    </w:p>
    <w:p>
      <w:pPr>
        <w:pStyle w:val="Normal"/>
        <w:widowControl/>
        <w:spacing w:line="360" w:lineRule="auto" w:after="330"/>
        <w:jc w:val="both"/>
      </w:pPr>
      <w:r>
        <w:t xml:space="preserve">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w:t>
      </w:r>
      <w:hyperlink w:anchor="bib_ref_5" w:history="1">
        <w:r>
          <w:t xml:space="preserve">[5]</w:t>
        </w:r>
      </w:hyperlink>
      <w:r>
        <w:t xml:space="preserve">.</w:t>
      </w:r>
    </w:p>
    <w:p>
      <w:pPr>
        <w:pStyle w:val="Ttulo3"/>
      </w:pPr>
      <w:r>
        <w:t xml:space="preserve">2.2.3 TensorFlow Lite y GPU Delegate</w:t>
      </w:r>
    </w:p>
    <w:p>
      <w:pPr>
        <w:pStyle w:val="Normal"/>
        <w:widowControl/>
        <w:spacing w:line="360" w:lineRule="auto" w:after="330"/>
        <w:jc w:val="both"/>
      </w:pPr>
      <w:r>
        <w:t xml:space="preserve">TensorFlow Lite (TFLite) es el </w:t>
      </w:r>
      <w:r>
        <w:rPr>
          <w:i/>
        </w:rPr>
        <w:t>framework</w:t>
      </w:r>
      <w:r>
        <w:t xml:space="preserve"> de inferencia de Google optimizado para dispositivos móviles y embebidos. Ejecuta modelos en formato .tflite directamente en el dispositivo, sin requerir conexión a internet ni servidores externos </w:t>
      </w:r>
      <w:hyperlink w:anchor="bib_ref_5" w:history="1">
        <w:r>
          <w:t xml:space="preserve">[5]</w:t>
        </w:r>
      </w:hyperlink>
      <w:r>
        <w:t xml:space="preserve">.</w:t>
      </w:r>
    </w:p>
    <w:p>
      <w:pPr>
        <w:pStyle w:val="Normal"/>
        <w:widowControl/>
        <w:spacing w:line="360" w:lineRule="auto" w:after="330"/>
        <w:jc w:val="both"/>
      </w:pPr>
      <w:r>
        <w:t xml:space="preserve">En escritorio se calculó AP mediante pycocotools y precisión, </w:t>
      </w:r>
      <w:r>
        <w:rPr>
          <w:i/>
        </w:rPr>
        <w:t>recall</w:t>
      </w:r>
      <w:r>
        <w:t xml:space="preserve"> y F1 mediante emparejamiento por clase e IoU. El protocolo COCO y el cálculo de métricas a un umbral fijo se documentan por separado para distinguir la evaluación de la curva de puntuaciones de la operación del prototipo </w:t>
      </w:r>
      <w:hyperlink w:anchor="bib_ref_22" w:history="1">
        <w:r>
          <w:t xml:space="preserve">[22]</w:t>
        </w:r>
      </w:hyperlink>
      <w:r>
        <w:t xml:space="preserve">.</w:t>
      </w:r>
    </w:p>
    <w:p>
      <w:pPr>
        <w:pStyle w:val="Normal"/>
        <w:widowControl/>
        <w:spacing w:line="360" w:lineRule="auto" w:after="330"/>
        <w:jc w:val="both"/>
      </w:pPr>
      <w:r>
        <w:t xml:space="preserve">Las pruebas en Android se realizaron con la LiteRT </w:t>
      </w:r>
      <w:r>
        <w:rPr>
          <w:i/>
        </w:rPr>
        <w:t>Benchmark</w:t>
      </w:r>
      <w:r>
        <w:t xml:space="preserve">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con un alcance limitado a la ejecución del modelo. Se ejecutaron 50 iteraciones por modelo con 4 hilos de procesamiento </w:t>
      </w:r>
      <w:hyperlink w:anchor="bib_ref_29" w:history="1">
        <w:r>
          <w:t xml:space="preserve">[29]</w:t>
        </w:r>
      </w:hyperlink>
      <w:r>
        <w:t xml:space="preserve">.</w:t>
      </w:r>
    </w:p>
    <w:p>
      <w:pPr>
        <w:pStyle w:val="Normal"/>
        <w:widowControl/>
        <w:spacing w:line="360" w:lineRule="auto" w:after="330"/>
        <w:jc w:val="both"/>
      </w:pPr>
      <w:r>
        <w:t xml:space="preserve">La ejecución remota del </w:t>
      </w:r>
      <w:r>
        <w:rPr>
          <w:i/>
        </w:rPr>
        <w:t>benchmark</w:t>
      </w:r>
      <w:r>
        <w:t xml:space="preserve">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mediante comandos automatizados </w:t>
      </w:r>
      <w:hyperlink w:anchor="bib_ref_30" w:history="1">
        <w:r>
          <w:t xml:space="preserve">[30]</w:t>
        </w:r>
      </w:hyperlink>
      <w:r>
        <w:t xml:space="preserve">.</w:t>
      </w:r>
    </w:p>
    <w:p>
      <w:pPr>
        <w:pStyle w:val="Normal"/>
        <w:widowControl/>
        <w:spacing w:line="360" w:lineRule="auto" w:after="330"/>
        <w:jc w:val="both"/>
      </w:pPr>
      <w:r>
        <w:t xml:space="preserve">El GPU Delegate permite delegar operaciones compatibles de TFLite a la GPU, con backends como OpenCL </w:t>
      </w:r>
      <w:hyperlink w:anchor="bib_ref_31" w:history="1">
        <w:r>
          <w:t xml:space="preserve">[31]</w:t>
        </w:r>
      </w:hyperlink>
      <w:r>
        <w:t xml:space="preserve">, </w:t>
      </w:r>
      <w:hyperlink w:anchor="bib_ref_32" w:history="1">
        <w:r>
          <w:t xml:space="preserve">[32]</w:t>
        </w:r>
      </w:hyperlink>
      <w:r>
        <w:t xml:space="preserve">. Las operaciones no admitidas pueden permanecer en CPU y la división del grafo puede introducir transferencias y sincronización. La documentación advierte de ese coste </w:t>
      </w:r>
      <w:hyperlink w:anchor="bib_ref_31" w:history="1">
        <w:r>
          <w:t xml:space="preserve">[31]</w:t>
        </w:r>
      </w:hyperlink>
      <w:r>
        <w:t xml:space="preserve">; estas posibilidades no identifican por sí solas la causa del rendimiento observado en el dispositivo</w:t>
      </w:r>
      <w:r>
        <w:t xml:space="preserve">.</w:t>
      </w:r>
    </w:p>
    <w:p>
      <w:bookmarkStart w:id="1023" w:name="report_1023"/>
      <w:pPr>
        <w:pStyle w:val="Ttulo2"/>
      </w:pPr>
      <w:r>
        <w:t xml:space="preserve">2.3 Entorno experimental</w:t>
      </w:r>
      <w:bookmarkEnd w:id="1023"/>
    </w:p>
    <w:p>
      <w:pPr>
        <w:pStyle w:val="Ttulo3"/>
      </w:pPr>
      <w:r>
        <w:t xml:space="preserve">2.3.1 Equipo de escritorio</w:t>
      </w:r>
    </w:p>
    <w:p>
      <w:pPr>
        <w:pStyle w:val="Normal"/>
        <w:widowControl/>
        <w:spacing w:line="360" w:lineRule="auto" w:after="330"/>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widowControl/>
        <w:spacing w:line="360" w:lineRule="auto" w:after="330"/>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widowControl/>
        <w:spacing w:line="360" w:lineRule="auto" w:after="330"/>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widowControl/>
        <w:spacing w:line="360" w:lineRule="auto" w:after="330"/>
        <w:jc w:val="both"/>
      </w:pPr>
      <w:r>
        <w:t xml:space="preserve">Se evaluaron seis configuraciones de modelos, todas en formato TensorFlow Lite y con pesos preentrenados sobre el </w:t>
      </w:r>
      <w:r>
        <w:rPr>
          <w:i/>
        </w:rPr>
        <w:t>dataset</w:t>
      </w:r>
      <w:r>
        <w:t xml:space="preserve"> MS COCO: YOLOv8s en variantes Float32 y Float16 </w:t>
      </w:r>
      <w:hyperlink w:anchor="bib_ref_20" w:history="1">
        <w:r>
          <w:t xml:space="preserve">[20]</w:t>
        </w:r>
      </w:hyperlink>
      <w:r>
        <w:t xml:space="preserve">, YOLO11n en variantes Float32 y Float16 </w:t>
      </w:r>
      <w:hyperlink w:anchor="bib_ref_21" w:history="1">
        <w:r>
          <w:t xml:space="preserve">[21]</w:t>
        </w:r>
      </w:hyperlink>
      <w:r>
        <w:t xml:space="preserve">, SSD MobileNetV1 </w:t>
      </w:r>
      <w:hyperlink w:anchor="bib_ref_8" w:history="1">
        <w:r>
          <w:t xml:space="preserve">[8]</w:t>
        </w:r>
      </w:hyperlink>
      <w:r>
        <w:t xml:space="preserve">, </w:t>
      </w:r>
      <w:hyperlink w:anchor="bib_ref_15" w:history="1">
        <w:r>
          <w:t xml:space="preserve">[15]</w:t>
        </w:r>
      </w:hyperlink>
      <w:r>
        <w:t xml:space="preserve"> y EfficientDet-Lite2 </w:t>
      </w:r>
      <w:hyperlink w:anchor="bib_ref_9" w:history="1">
        <w:r>
          <w:t xml:space="preserve">[9]</w:t>
        </w:r>
      </w:hyperlink>
      <w:r>
        <w:t xml:space="preserve">, </w:t>
      </w:r>
      <w:hyperlink w:anchor="bib_ref_19" w:history="1">
        <w:r>
          <w:t xml:space="preserve">[19]</w:t>
        </w:r>
      </w:hyperlink>
      <w:r>
        <w:t xml:space="preserve">. La selección de estas configuraciones responde a los criterios definidos en la sección 2.1.</w:t>
      </w:r>
    </w:p>
    <w:p>
      <w:pPr>
        <w:pStyle w:val="Ttulo3"/>
      </w:pPr>
      <w:r>
        <w:t xml:space="preserve">2.4.2 </w:t>
      </w:r>
      <w:r>
        <w:rPr>
          <w:i/>
        </w:rPr>
        <w:t>Dataset</w:t>
      </w:r>
      <w:r>
        <w:t xml:space="preserve"> de evaluación</w:t>
      </w:r>
    </w:p>
    <w:p>
      <w:pPr>
        <w:pStyle w:val="Normal"/>
        <w:widowControl/>
        <w:spacing w:line="360" w:lineRule="auto" w:after="330"/>
        <w:jc w:val="both"/>
      </w:pPr>
      <w:r>
        <w:t xml:space="preserve">El conjunto inicial reúne imágenes propias de interiores e imágenes externas obtenidas de Roboflow. La exportación del 5 de junio de 2026 declara licencia CC BY 4.0 y se conserva con las imágenes y anotaciones en el repositorio del proyecto. La anotación manual se realizó en Roboflow </w:t>
      </w:r>
      <w:hyperlink w:anchor="bib_ref_33" w:history="1">
        <w:r>
          <w:t xml:space="preserve">[33]</w:t>
        </w:r>
      </w:hyperlink>
      <w:r>
        <w:t xml:space="preserve">, generando un total de 80 imágenes con 257 anotaciones en formato COCO JSON </w:t>
      </w:r>
      <w:hyperlink w:anchor="bib_ref_22" w:history="1">
        <w:r>
          <w:t xml:space="preserve">[22]</w:t>
        </w:r>
      </w:hyperlink>
      <w:r>
        <w:t xml:space="preserve">.</w:t>
      </w:r>
    </w:p>
    <w:p>
      <w:pPr>
        <w:pStyle w:val="Normal"/>
        <w:widowControl/>
        <w:spacing w:line="360" w:lineRule="auto" w:after="330"/>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w:t>
      </w:r>
      <w:hyperlink w:anchor="bib_ref_22" w:history="1">
        <w:r>
          <w:t xml:space="preserve">[22]</w:t>
        </w:r>
      </w:hyperlink>
      <w:r>
        <w:t xml:space="preserve">.</w:t>
      </w:r>
    </w:p>
    <w:p>
      <w:pPr>
        <w:pStyle w:val="Normal"/>
        <w:widowControl/>
        <w:spacing w:line="360" w:lineRule="auto" w:after="330"/>
        <w:jc w:val="both"/>
      </w:pPr>
      <w:r>
        <w:t xml:space="preserve">Las métricas de precisión fueron calculadas mediante la librería pycocotools, que implementa el protocolo oficial de evaluación COCO </w:t>
      </w:r>
      <w:hyperlink w:anchor="bib_ref_22" w:history="1">
        <w:r>
          <w:t xml:space="preserve">[22]</w:t>
        </w:r>
      </w:hyperlink>
      <w:r>
        <w:t xml:space="preserve">, </w:t>
      </w:r>
      <w:hyperlink w:anchor="bib_ref_27" w:history="1">
        <w:r>
          <w:t xml:space="preserve">[27]</w:t>
        </w:r>
      </w:hyperlink>
      <w:r>
        <w:t xml:space="preserve">.</w:t>
      </w:r>
    </w:p>
    <w:p>
      <w:bookmarkStart w:id="1025" w:name="report_1025"/>
      <w:pPr>
        <w:pStyle w:val="Ttulo2"/>
      </w:pPr>
      <w:r>
        <w:t xml:space="preserve">2.5 Resultados</w:t>
      </w:r>
      <w:bookmarkEnd w:id="1025"/>
    </w:p>
    <w:p>
      <w:pPr>
        <w:pStyle w:val="Ttulo3"/>
      </w:pPr>
      <w:r>
        <w:t xml:space="preserve">2.5.1 Resultados en equipo de escritorio</w:t>
      </w:r>
    </w:p>
    <w:p>
      <w:pPr>
        <w:pStyle w:val="Normal"/>
        <w:widowControl/>
        <w:spacing w:line="360" w:lineRule="auto" w:after="330"/>
        <w:jc w:val="both"/>
      </w:pPr>
      <w:r>
        <w:t xml:space="preserve">La Tabla 2.1 presenta las métricas de exactitud obtenidas en el equipo de escritorio mediante TensorFlow Lite sobre CPU: mAP50, mAP50-95, precisión, </w:t>
      </w:r>
      <w:r>
        <w:rPr>
          <w:i/>
        </w:rPr>
        <w:t>recall</w:t>
      </w:r>
      <w:r>
        <w:t xml:space="preserve">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Precisión</w:t>
            </w:r>
          </w:p>
        </w:tc>
        <w:tc>
          <w:tcPr>
            <w:tcW w:type="dxa" w:w="1333"/>
            <w:vAlign w:val="center"/>
            <w:shd w:fill="EEEEEE"/>
          </w:tcPr>
          <w:p>
            <w:pPr>
              <w:keepNext/>
              <w:spacing w:line="240" w:lineRule="auto" w:after="60"/>
            </w:pPr>
            <w:r>
              <w:rPr>
                <w:rFonts w:ascii="Arial" w:hAnsi="Arial"/>
                <w:b/>
                <w:sz w:val="18"/>
              </w:rPr>
            </w:r>
            <w:r>
              <w:rPr>
                <w:rFonts w:ascii="Arial" w:hAnsi="Arial"/>
                <w:b/>
                <w:sz w:val="18"/>
              </w:rPr>
              <w:t>Recall</w:t>
            </w:r>
          </w:p>
        </w:tc>
        <w:tc>
          <w:tcPr>
            <w:tcW w:type="dxa" w:w="1333"/>
            <w:vAlign w:val="center"/>
            <w:shd w:fill="EEEEEE"/>
          </w:tcPr>
          <w:p>
            <w:pPr>
              <w:keepNext/>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0.723</w:t>
            </w:r>
          </w:p>
        </w:tc>
        <w:tc>
          <w:tcPr>
            <w:tcW w:type="dxa" w:w="1333"/>
            <w:vAlign w:val="center"/>
          </w:tcPr>
          <w:p>
            <w:pPr>
              <w:keepNext/>
              <w:spacing w:line="240" w:lineRule="auto" w:after="60"/>
            </w:pPr>
            <w:r>
              <w:rPr>
                <w:rFonts w:ascii="Arial" w:hAnsi="Arial"/>
                <w:b w:val="0"/>
                <w:sz w:val="18"/>
              </w:rPr>
            </w:r>
            <w:r>
              <w:rPr>
                <w:rFonts w:ascii="Arial" w:hAnsi="Arial"/>
                <w:b w:val="0"/>
                <w:sz w:val="18"/>
              </w:rPr>
              <w:t>0.619</w:t>
            </w:r>
          </w:p>
        </w:tc>
        <w:tc>
          <w:tcPr>
            <w:tcW w:type="dxa" w:w="1333"/>
            <w:vAlign w:val="center"/>
          </w:tcPr>
          <w:p>
            <w:pPr>
              <w:keepNext/>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0.718</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1333"/>
            <w:vAlign w:val="center"/>
          </w:tcPr>
          <w:p>
            <w:pPr>
              <w:keepNext/>
              <w:spacing w:line="240" w:lineRule="auto" w:after="60"/>
            </w:pPr>
            <w:r>
              <w:rPr>
                <w:rFonts w:ascii="Arial" w:hAnsi="Arial"/>
                <w:b w:val="0"/>
                <w:sz w:val="18"/>
              </w:rPr>
            </w:r>
            <w:r>
              <w:rPr>
                <w:rFonts w:ascii="Arial" w:hAnsi="Arial"/>
                <w:b w:val="0"/>
                <w:sz w:val="18"/>
              </w:rPr>
              <w:t>0.518</w:t>
            </w:r>
          </w:p>
        </w:tc>
        <w:tc>
          <w:tcPr>
            <w:tcW w:type="dxa" w:w="1333"/>
            <w:vAlign w:val="center"/>
          </w:tcPr>
          <w:p>
            <w:pPr>
              <w:keepNext/>
              <w:spacing w:line="240" w:lineRule="auto" w:after="60"/>
            </w:pPr>
            <w:r>
              <w:rPr>
                <w:rFonts w:ascii="Arial" w:hAnsi="Arial"/>
                <w:b w:val="0"/>
                <w:sz w:val="18"/>
              </w:rPr>
            </w:r>
            <w:r>
              <w:rPr>
                <w:rFonts w:ascii="Arial" w:hAnsi="Arial"/>
                <w:b w:val="0"/>
                <w:sz w:val="18"/>
              </w:rPr>
              <w:t>0.336</w:t>
            </w:r>
          </w:p>
        </w:tc>
        <w:tc>
          <w:tcPr>
            <w:tcW w:type="dxa" w:w="1333"/>
            <w:vAlign w:val="center"/>
          </w:tcPr>
          <w:p>
            <w:pPr>
              <w:keepNext/>
              <w:spacing w:line="240" w:lineRule="auto" w:after="60"/>
            </w:pPr>
            <w:r>
              <w:rPr>
                <w:rFonts w:ascii="Arial" w:hAnsi="Arial"/>
                <w:b w:val="0"/>
                <w:sz w:val="18"/>
              </w:rPr>
            </w:r>
            <w:r>
              <w:rPr>
                <w:rFonts w:ascii="Arial" w:hAnsi="Arial"/>
                <w:b w:val="0"/>
                <w:sz w:val="18"/>
              </w:rPr>
              <w:t>0.343</w:t>
            </w:r>
          </w:p>
        </w:tc>
        <w:tc>
          <w:tcPr>
            <w:tcW w:type="dxa" w:w="1333"/>
            <w:vAlign w:val="center"/>
          </w:tcPr>
          <w:p>
            <w:pPr>
              <w:keepNext/>
              <w:spacing w:line="240" w:lineRule="auto" w:after="60"/>
            </w:pPr>
            <w:r>
              <w:rPr>
                <w:rFonts w:ascii="Arial" w:hAnsi="Arial"/>
                <w:b w:val="0"/>
                <w:sz w:val="18"/>
              </w:rPr>
            </w:r>
            <w:r>
              <w:rPr>
                <w:rFonts w:ascii="Arial" w:hAnsi="Arial"/>
                <w:b w:val="0"/>
                <w:sz w:val="18"/>
              </w:rPr>
              <w:t>0.545</w:t>
            </w:r>
          </w:p>
        </w:tc>
        <w:tc>
          <w:tcPr>
            <w:tcW w:type="dxa" w:w="1333"/>
            <w:vAlign w:val="center"/>
          </w:tcPr>
          <w:p>
            <w:pPr>
              <w:keepNext/>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0.713</w:t>
            </w:r>
          </w:p>
        </w:tc>
        <w:tc>
          <w:tcPr>
            <w:tcW w:type="dxa" w:w="1333"/>
            <w:vAlign w:val="center"/>
          </w:tcPr>
          <w:p>
            <w:pPr>
              <w:keepNext w:val="0"/>
              <w:spacing w:line="240" w:lineRule="auto" w:after="60"/>
            </w:pPr>
            <w:r>
              <w:rPr>
                <w:rFonts w:ascii="Arial" w:hAnsi="Arial"/>
                <w:b w:val="0"/>
                <w:sz w:val="18"/>
              </w:rPr>
            </w:r>
            <w:r>
              <w:rPr>
                <w:rFonts w:ascii="Arial" w:hAnsi="Arial"/>
                <w:b w:val="0"/>
                <w:sz w:val="18"/>
              </w:rPr>
              <w:t>0.677</w:t>
            </w:r>
          </w:p>
        </w:tc>
        <w:tc>
          <w:tcPr>
            <w:tcW w:type="dxa" w:w="1333"/>
            <w:vAlign w:val="center"/>
          </w:tcPr>
          <w:p>
            <w:pPr>
              <w:keepNext w:val="0"/>
              <w:spacing w:line="240" w:lineRule="auto" w:after="60"/>
            </w:pPr>
            <w:r>
              <w:rPr>
                <w:rFonts w:ascii="Arial" w:hAnsi="Arial"/>
                <w:b w:val="0"/>
                <w:sz w:val="18"/>
              </w:rPr>
            </w:r>
            <w:r>
              <w:rPr>
                <w:rFonts w:ascii="Arial" w:hAnsi="Arial"/>
                <w:b w:val="0"/>
                <w:sz w:val="18"/>
              </w:rPr>
              <w:t>0.695</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YOLOv8s</w:t>
              <w:br/>
              <w:t>F32</w:t>
            </w:r>
          </w:p>
        </w:tc>
        <w:tc>
          <w:tcPr>
            <w:tcW w:type="dxa" w:w="1111"/>
            <w:vAlign w:val="center"/>
            <w:shd w:fill="EEEEEE"/>
          </w:tcPr>
          <w:p>
            <w:pPr>
              <w:keepNext/>
              <w:spacing w:line="240" w:lineRule="auto" w:after="60"/>
            </w:pPr>
            <w:r>
              <w:rPr>
                <w:rFonts w:ascii="Arial" w:hAnsi="Arial"/>
                <w:b/>
                <w:sz w:val="18"/>
              </w:rPr>
              <w:t>YOLOv8s</w:t>
              <w:br/>
              <w:t>F16</w:t>
            </w:r>
          </w:p>
        </w:tc>
        <w:tc>
          <w:tcPr>
            <w:tcW w:type="dxa" w:w="1111"/>
            <w:vAlign w:val="center"/>
            <w:shd w:fill="EEEEEE"/>
          </w:tcPr>
          <w:p>
            <w:pPr>
              <w:keepNext/>
              <w:spacing w:line="240" w:lineRule="auto" w:after="60"/>
            </w:pPr>
            <w:r>
              <w:rPr>
                <w:rFonts w:ascii="Arial" w:hAnsi="Arial"/>
                <w:b/>
                <w:sz w:val="18"/>
              </w:rPr>
              <w:t>YOLO11n</w:t>
              <w:br/>
              <w:t>F32</w:t>
            </w:r>
          </w:p>
        </w:tc>
        <w:tc>
          <w:tcPr>
            <w:tcW w:type="dxa" w:w="1111"/>
            <w:vAlign w:val="center"/>
            <w:shd w:fill="EEEEEE"/>
          </w:tcPr>
          <w:p>
            <w:pPr>
              <w:keepNext/>
              <w:spacing w:line="240" w:lineRule="auto" w:after="60"/>
            </w:pPr>
            <w:r>
              <w:rPr>
                <w:rFonts w:ascii="Arial" w:hAnsi="Arial"/>
                <w:b/>
                <w:sz w:val="18"/>
              </w:rPr>
              <w:t>YOLO11n</w:t>
              <w:br/>
              <w:t>F16</w:t>
            </w:r>
          </w:p>
        </w:tc>
        <w:tc>
          <w:tcPr>
            <w:tcW w:type="dxa" w:w="1111"/>
            <w:vAlign w:val="center"/>
            <w:shd w:fill="EEEEEE"/>
          </w:tcPr>
          <w:p>
            <w:pPr>
              <w:keepNext/>
              <w:spacing w:line="240" w:lineRule="auto" w:after="60"/>
            </w:pPr>
            <w:r>
              <w:rPr>
                <w:rFonts w:ascii="Arial" w:hAnsi="Arial"/>
                <w:b/>
                <w:sz w:val="18"/>
              </w:rPr>
              <w:t>SSD</w:t>
              <w:br/>
              <w:t>MobileNetV1</w:t>
            </w:r>
          </w:p>
        </w:tc>
        <w:tc>
          <w:tcPr>
            <w:tcW w:type="dxa" w:w="1111"/>
            <w:vAlign w:val="center"/>
            <w:shd w:fill="EEEEEE"/>
          </w:tcPr>
          <w:p>
            <w:pPr>
              <w:keepNext/>
              <w:spacing w:line="240" w:lineRule="auto" w:after="60"/>
            </w:pPr>
            <w:r>
              <w:rPr>
                <w:rFonts w:ascii="Arial" w:hAnsi="Arial"/>
                <w:b/>
                <w:sz w:val="18"/>
              </w:rPr>
              <w:t>EfficientDet</w:t>
              <w:br/>
              <w:t>Lite2</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0.534</w:t>
            </w:r>
          </w:p>
        </w:tc>
        <w:tc>
          <w:tcPr>
            <w:tcW w:type="dxa" w:w="1111"/>
            <w:vAlign w:val="center"/>
          </w:tcPr>
          <w:p>
            <w:pPr>
              <w:keepNext/>
              <w:spacing w:line="240" w:lineRule="auto" w:after="60"/>
            </w:pPr>
            <w:r>
              <w:rPr>
                <w:rFonts w:ascii="Arial" w:hAnsi="Arial"/>
                <w:b w:val="0"/>
                <w:sz w:val="18"/>
              </w:rPr>
              <w:t>0.770</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0.464</w:t>
            </w:r>
          </w:p>
        </w:tc>
        <w:tc>
          <w:tcPr>
            <w:tcW w:type="dxa" w:w="1111"/>
            <w:vAlign w:val="center"/>
          </w:tcPr>
          <w:p>
            <w:pPr>
              <w:keepNext/>
              <w:spacing w:line="240" w:lineRule="auto" w:after="60"/>
            </w:pPr>
            <w:r>
              <w:rPr>
                <w:rFonts w:ascii="Arial" w:hAnsi="Arial"/>
                <w:b w:val="0"/>
                <w:sz w:val="18"/>
              </w:rPr>
              <w:t>0.456</w:t>
            </w:r>
          </w:p>
        </w:tc>
        <w:tc>
          <w:tcPr>
            <w:tcW w:type="dxa" w:w="1111"/>
            <w:vAlign w:val="center"/>
          </w:tcPr>
          <w:p>
            <w:pPr>
              <w:keepNext/>
              <w:spacing w:line="240" w:lineRule="auto" w:after="60"/>
            </w:pPr>
            <w:r>
              <w:rPr>
                <w:rFonts w:ascii="Arial" w:hAnsi="Arial"/>
                <w:b w:val="0"/>
                <w:sz w:val="18"/>
              </w:rPr>
              <w:t>0.328</w:t>
            </w:r>
          </w:p>
        </w:tc>
        <w:tc>
          <w:tcPr>
            <w:tcW w:type="dxa" w:w="1111"/>
            <w:vAlign w:val="center"/>
          </w:tcPr>
          <w:p>
            <w:pPr>
              <w:keepNext/>
              <w:spacing w:line="240" w:lineRule="auto" w:after="60"/>
            </w:pPr>
            <w:r>
              <w:rPr>
                <w:rFonts w:ascii="Arial" w:hAnsi="Arial"/>
                <w:b w:val="0"/>
                <w:sz w:val="18"/>
              </w:rPr>
              <w:t>0.546</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0.621</w:t>
            </w:r>
          </w:p>
        </w:tc>
        <w:tc>
          <w:tcPr>
            <w:tcW w:type="dxa" w:w="1111"/>
            <w:vAlign w:val="center"/>
          </w:tcPr>
          <w:p>
            <w:pPr>
              <w:keepNext/>
              <w:spacing w:line="240" w:lineRule="auto" w:after="60"/>
            </w:pPr>
            <w:r>
              <w:rPr>
                <w:rFonts w:ascii="Arial" w:hAnsi="Arial"/>
                <w:b w:val="0"/>
                <w:sz w:val="18"/>
              </w:rPr>
              <w:t>0.799</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0.632</w:t>
            </w:r>
          </w:p>
        </w:tc>
        <w:tc>
          <w:tcPr>
            <w:tcW w:type="dxa" w:w="1111"/>
            <w:vAlign w:val="center"/>
          </w:tcPr>
          <w:p>
            <w:pPr>
              <w:keepNext/>
              <w:spacing w:line="240" w:lineRule="auto" w:after="60"/>
            </w:pPr>
            <w:r>
              <w:rPr>
                <w:rFonts w:ascii="Arial" w:hAnsi="Arial"/>
                <w:b w:val="0"/>
                <w:sz w:val="18"/>
              </w:rPr>
              <w:t>0.812</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0.362</w:t>
            </w:r>
          </w:p>
        </w:tc>
        <w:tc>
          <w:tcPr>
            <w:tcW w:type="dxa" w:w="1111"/>
            <w:vAlign w:val="center"/>
          </w:tcPr>
          <w:p>
            <w:pPr>
              <w:keepNext/>
              <w:spacing w:line="240" w:lineRule="auto" w:after="60"/>
            </w:pPr>
            <w:r>
              <w:rPr>
                <w:rFonts w:ascii="Arial" w:hAnsi="Arial"/>
                <w:b w:val="0"/>
                <w:sz w:val="18"/>
              </w:rPr>
              <w:t>0.366</w:t>
            </w:r>
          </w:p>
        </w:tc>
        <w:tc>
          <w:tcPr>
            <w:tcW w:type="dxa" w:w="1111"/>
            <w:vAlign w:val="center"/>
          </w:tcPr>
          <w:p>
            <w:pPr>
              <w:keepNext/>
              <w:spacing w:line="240" w:lineRule="auto" w:after="60"/>
            </w:pPr>
            <w:r>
              <w:rPr>
                <w:rFonts w:ascii="Arial" w:hAnsi="Arial"/>
                <w:b w:val="0"/>
                <w:sz w:val="18"/>
              </w:rPr>
              <w:t>0.343</w:t>
            </w:r>
          </w:p>
        </w:tc>
        <w:tc>
          <w:tcPr>
            <w:tcW w:type="dxa" w:w="1111"/>
            <w:vAlign w:val="center"/>
          </w:tcPr>
          <w:p>
            <w:pPr>
              <w:keepNext/>
              <w:spacing w:line="240" w:lineRule="auto" w:after="60"/>
            </w:pPr>
            <w:r>
              <w:rPr>
                <w:rFonts w:ascii="Arial" w:hAnsi="Arial"/>
                <w:b w:val="0"/>
                <w:sz w:val="18"/>
              </w:rPr>
              <w:t>0.339</w:t>
            </w:r>
          </w:p>
        </w:tc>
        <w:tc>
          <w:tcPr>
            <w:tcW w:type="dxa" w:w="1111"/>
            <w:vAlign w:val="center"/>
          </w:tcPr>
          <w:p>
            <w:pPr>
              <w:keepNext/>
              <w:spacing w:line="240" w:lineRule="auto" w:after="60"/>
            </w:pPr>
            <w:r>
              <w:rPr>
                <w:rFonts w:ascii="Arial" w:hAnsi="Arial"/>
                <w:b w:val="0"/>
                <w:sz w:val="18"/>
              </w:rPr>
              <w:t>0.247</w:t>
            </w:r>
          </w:p>
        </w:tc>
        <w:tc>
          <w:tcPr>
            <w:tcW w:type="dxa" w:w="1111"/>
            <w:vAlign w:val="center"/>
          </w:tcPr>
          <w:p>
            <w:pPr>
              <w:keepNext/>
              <w:spacing w:line="240" w:lineRule="auto" w:after="60"/>
            </w:pPr>
            <w:r>
              <w:rPr>
                <w:rFonts w:ascii="Arial" w:hAnsi="Arial"/>
                <w:b w:val="0"/>
                <w:sz w:val="18"/>
              </w:rPr>
              <w:t>0.316</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0.798</w:t>
            </w:r>
          </w:p>
        </w:tc>
        <w:tc>
          <w:tcPr>
            <w:tcW w:type="dxa" w:w="1111"/>
            <w:vAlign w:val="center"/>
          </w:tcPr>
          <w:p>
            <w:pPr>
              <w:keepNext/>
              <w:spacing w:line="240" w:lineRule="auto" w:after="60"/>
            </w:pPr>
            <w:r>
              <w:rPr>
                <w:rFonts w:ascii="Arial" w:hAnsi="Arial"/>
                <w:b w:val="0"/>
                <w:sz w:val="18"/>
              </w:rPr>
              <w:t>0.915</w:t>
            </w:r>
          </w:p>
        </w:tc>
      </w:tr>
      <w:tr>
        <w:trPr>
          <w:cantSplit/>
        </w:trPr>
        <w:tc>
          <w:tcPr>
            <w:tcW w:type="dxa" w:w="2088"/>
            <w:vAlign w:val="center"/>
          </w:tcPr>
          <w:p>
            <w:pPr>
              <w:keepNext/>
              <w:spacing w:line="240" w:lineRule="auto" w:after="60"/>
            </w:pPr>
            <w:r>
              <w:rPr>
                <w:rFonts w:ascii="Arial" w:hAnsi="Arial"/>
                <w:b w:val="0"/>
                <w:sz w:val="18"/>
              </w:rPr>
              <w:t>tv</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0.596</w:t>
            </w:r>
          </w:p>
        </w:tc>
        <w:tc>
          <w:tcPr>
            <w:tcW w:type="dxa" w:w="1111"/>
            <w:vAlign w:val="center"/>
          </w:tcPr>
          <w:p>
            <w:pPr>
              <w:keepNext/>
              <w:spacing w:line="240" w:lineRule="auto" w:after="60"/>
            </w:pPr>
            <w:r>
              <w:rPr>
                <w:rFonts w:ascii="Arial" w:hAnsi="Arial"/>
                <w:b w:val="0"/>
                <w:sz w:val="18"/>
              </w:rPr>
              <w:t>0.592</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0.153</w:t>
            </w:r>
          </w:p>
        </w:tc>
        <w:tc>
          <w:tcPr>
            <w:tcW w:type="dxa" w:w="1111"/>
            <w:vAlign w:val="center"/>
          </w:tcPr>
          <w:p>
            <w:pPr>
              <w:keepNext/>
              <w:spacing w:line="240" w:lineRule="auto" w:after="60"/>
            </w:pPr>
            <w:r>
              <w:rPr>
                <w:rFonts w:ascii="Arial" w:hAnsi="Arial"/>
                <w:b w:val="0"/>
                <w:sz w:val="18"/>
              </w:rPr>
              <w:t>0.284</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0.463</w:t>
            </w:r>
          </w:p>
        </w:tc>
        <w:tc>
          <w:tcPr>
            <w:tcW w:type="dxa" w:w="1111"/>
            <w:vAlign w:val="center"/>
          </w:tcPr>
          <w:p>
            <w:pPr>
              <w:keepNext/>
              <w:spacing w:line="240" w:lineRule="auto" w:after="60"/>
            </w:pPr>
            <w:r>
              <w:rPr>
                <w:rFonts w:ascii="Arial" w:hAnsi="Arial"/>
                <w:b w:val="0"/>
                <w:sz w:val="18"/>
              </w:rPr>
              <w:t>0.631</w:t>
            </w:r>
          </w:p>
        </w:tc>
      </w:tr>
      <w:tr>
        <w:trPr>
          <w:cantSplit/>
        </w:trPr>
        <w:tc>
          <w:tcPr>
            <w:tcW w:type="dxa" w:w="2088"/>
            <w:vAlign w:val="center"/>
          </w:tcPr>
          <w:p>
            <w:pPr>
              <w:keepNext w:val="0"/>
              <w:spacing w:line="240" w:lineRule="auto" w:after="60"/>
            </w:pPr>
            <w:r>
              <w:rPr>
                <w:rFonts w:ascii="Arial" w:hAnsi="Arial"/>
                <w:b w:val="0"/>
                <w:sz w:val="18"/>
              </w:rPr>
              <w:t>refrigerator</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2.5.2 Resultados en Android — CPU</w:t>
      </w:r>
    </w:p>
    <w:p>
      <w:pPr>
        <w:pStyle w:val="Normal"/>
        <w:widowControl/>
        <w:spacing w:line="360" w:lineRule="auto" w:after="330"/>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w:t>
      </w:r>
      <w:r>
        <w:rPr>
          <w:i/>
          <w:sz w:val="20"/>
        </w:rPr>
        <w:t>benchmark</w:t>
      </w:r>
      <w:r>
        <w:rPr>
          <w:sz w:val="20"/>
        </w:rPr>
        <w:t xml:space="preserve">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952"/>
            <w:vAlign w:val="center"/>
            <w:shd w:fill="EEEEEE"/>
          </w:tcPr>
          <w:p>
            <w:pPr>
              <w:keepNext/>
              <w:spacing w:line="240" w:lineRule="auto" w:after="60"/>
            </w:pPr>
            <w:r>
              <w:rPr>
                <w:rFonts w:ascii="Arial" w:hAnsi="Arial"/>
                <w:b/>
                <w:sz w:val="18"/>
              </w:rPr>
            </w:r>
            <w:r>
              <w:rPr>
                <w:rFonts w:ascii="Arial" w:hAnsi="Arial"/>
                <w:b/>
                <w:sz w:val="18"/>
              </w:rPr>
              <w:t>FPS</w:t>
            </w:r>
          </w:p>
        </w:tc>
        <w:tc>
          <w:tcPr>
            <w:tcW w:type="dxa" w:w="952"/>
            <w:vAlign w:val="center"/>
            <w:shd w:fill="EEEEEE"/>
          </w:tcPr>
          <w:p>
            <w:pPr>
              <w:keepNext/>
              <w:spacing w:line="240" w:lineRule="auto" w:after="60"/>
            </w:pPr>
            <w:r>
              <w:rPr>
                <w:rFonts w:ascii="Arial" w:hAnsi="Arial"/>
                <w:b/>
                <w:sz w:val="18"/>
              </w:rPr>
            </w:r>
            <w:r>
              <w:rPr>
                <w:rFonts w:ascii="Arial" w:hAnsi="Arial"/>
                <w:b/>
                <w:sz w:val="18"/>
              </w:rPr>
              <w:t>Init (ms)</w:t>
            </w:r>
          </w:p>
        </w:tc>
        <w:tc>
          <w:tcPr>
            <w:tcW w:type="dxa" w:w="952"/>
            <w:vAlign w:val="center"/>
            <w:shd w:fill="EEEEEE"/>
          </w:tcPr>
          <w:p>
            <w:pPr>
              <w:keepNext/>
              <w:spacing w:line="240" w:lineRule="auto" w:after="60"/>
            </w:pPr>
            <w:r>
              <w:rPr>
                <w:rFonts w:ascii="Arial" w:hAnsi="Arial"/>
                <w:b/>
                <w:sz w:val="18"/>
              </w:rPr>
            </w:r>
            <w:r>
              <w:rPr>
                <w:rFonts w:ascii="Arial" w:hAnsi="Arial"/>
                <w:b/>
                <w:sz w:val="18"/>
              </w:rPr>
              <w:t>RAM (MB)</w:t>
            </w:r>
          </w:p>
        </w:tc>
        <w:tc>
          <w:tcPr>
            <w:tcW w:type="dxa" w:w="952"/>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952"/>
            <w:vAlign w:val="center"/>
            <w:shd w:fill="EEEEEE"/>
          </w:tcPr>
          <w:p>
            <w:pPr>
              <w:keepNext/>
              <w:spacing w:line="240" w:lineRule="auto" w:after="60"/>
            </w:pPr>
            <w:r>
              <w:rPr>
                <w:rFonts w:ascii="Arial" w:hAnsi="Arial"/>
                <w:b/>
                <w:sz w:val="18"/>
              </w:rPr>
            </w:r>
            <w:r>
              <w:rPr>
                <w:rFonts w:ascii="Arial" w:hAnsi="Arial"/>
                <w:b/>
                <w:sz w:val="18"/>
              </w:rPr>
              <w:t>Lat. mediana</w:t>
            </w:r>
          </w:p>
        </w:tc>
        <w:tc>
          <w:tcPr>
            <w:tcW w:type="dxa" w:w="952"/>
            <w:vAlign w:val="center"/>
            <w:shd w:fill="EEEEEE"/>
          </w:tcPr>
          <w:p>
            <w:pPr>
              <w:keepNext/>
              <w:spacing w:line="240" w:lineRule="auto" w:after="60"/>
            </w:pPr>
            <w:r>
              <w:rPr>
                <w:rFonts w:ascii="Arial" w:hAnsi="Arial"/>
                <w:b/>
                <w:sz w:val="18"/>
              </w:rPr>
            </w:r>
            <w:r>
              <w:rPr>
                <w:rFonts w:ascii="Arial" w:hAnsi="Arial"/>
                <w:b/>
                <w:sz w:val="18"/>
              </w:rPr>
              <w:t>Lat. mín</w:t>
            </w:r>
          </w:p>
        </w:tc>
        <w:tc>
          <w:tcPr>
            <w:tcW w:type="dxa" w:w="952"/>
            <w:vAlign w:val="center"/>
            <w:shd w:fill="EEEEEE"/>
          </w:tcPr>
          <w:p>
            <w:pPr>
              <w:keepNext/>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393.2</w:t>
            </w:r>
          </w:p>
        </w:tc>
        <w:tc>
          <w:tcPr>
            <w:tcW w:type="dxa" w:w="952"/>
            <w:vAlign w:val="center"/>
          </w:tcPr>
          <w:p>
            <w:pPr>
              <w:keepNext/>
              <w:spacing w:line="240" w:lineRule="auto" w:after="60"/>
            </w:pPr>
            <w:r>
              <w:rPr>
                <w:rFonts w:ascii="Arial" w:hAnsi="Arial"/>
                <w:b w:val="0"/>
                <w:sz w:val="18"/>
              </w:rPr>
            </w:r>
            <w:r>
              <w:rPr>
                <w:rFonts w:ascii="Arial" w:hAnsi="Arial"/>
                <w:b w:val="0"/>
                <w:sz w:val="18"/>
              </w:rPr>
              <w:t>164.1</w:t>
            </w:r>
          </w:p>
        </w:tc>
        <w:tc>
          <w:tcPr>
            <w:tcW w:type="dxa" w:w="952"/>
            <w:vAlign w:val="center"/>
          </w:tcPr>
          <w:p>
            <w:pPr>
              <w:keepNext/>
              <w:spacing w:line="240" w:lineRule="auto" w:after="60"/>
            </w:pPr>
            <w:r>
              <w:rPr>
                <w:rFonts w:ascii="Arial" w:hAnsi="Arial"/>
                <w:b w:val="0"/>
                <w:sz w:val="18"/>
              </w:rPr>
            </w:r>
            <w:r>
              <w:rPr>
                <w:rFonts w:ascii="Arial" w:hAnsi="Arial"/>
                <w:b w:val="0"/>
                <w:sz w:val="18"/>
              </w:rPr>
              <w:t>620.8 ms</w:t>
            </w:r>
          </w:p>
        </w:tc>
        <w:tc>
          <w:tcPr>
            <w:tcW w:type="dxa" w:w="952"/>
            <w:vAlign w:val="center"/>
          </w:tcPr>
          <w:p>
            <w:pPr>
              <w:keepNext/>
              <w:spacing w:line="240" w:lineRule="auto" w:after="60"/>
            </w:pPr>
            <w:r>
              <w:rPr>
                <w:rFonts w:ascii="Arial" w:hAnsi="Arial"/>
                <w:b w:val="0"/>
                <w:sz w:val="18"/>
              </w:rPr>
            </w:r>
            <w:r>
              <w:rPr>
                <w:rFonts w:ascii="Arial" w:hAnsi="Arial"/>
                <w:b w:val="0"/>
                <w:sz w:val="18"/>
              </w:rPr>
              <w:t>621.0 ms</w:t>
            </w:r>
          </w:p>
        </w:tc>
        <w:tc>
          <w:tcPr>
            <w:tcW w:type="dxa" w:w="952"/>
            <w:vAlign w:val="center"/>
          </w:tcPr>
          <w:p>
            <w:pPr>
              <w:keepNext/>
              <w:spacing w:line="240" w:lineRule="auto" w:after="60"/>
            </w:pPr>
            <w:r>
              <w:rPr>
                <w:rFonts w:ascii="Arial" w:hAnsi="Arial"/>
                <w:b w:val="0"/>
                <w:sz w:val="18"/>
              </w:rPr>
            </w:r>
            <w:r>
              <w:rPr>
                <w:rFonts w:ascii="Arial" w:hAnsi="Arial"/>
                <w:b w:val="0"/>
                <w:sz w:val="18"/>
              </w:rPr>
              <w:t>612.0 ms</w:t>
            </w:r>
          </w:p>
        </w:tc>
        <w:tc>
          <w:tcPr>
            <w:tcW w:type="dxa" w:w="952"/>
            <w:vAlign w:val="center"/>
          </w:tcPr>
          <w:p>
            <w:pPr>
              <w:keepNext/>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364.9</w:t>
            </w:r>
          </w:p>
        </w:tc>
        <w:tc>
          <w:tcPr>
            <w:tcW w:type="dxa" w:w="952"/>
            <w:vAlign w:val="center"/>
          </w:tcPr>
          <w:p>
            <w:pPr>
              <w:keepNext/>
              <w:spacing w:line="240" w:lineRule="auto" w:after="60"/>
            </w:pPr>
            <w:r>
              <w:rPr>
                <w:rFonts w:ascii="Arial" w:hAnsi="Arial"/>
                <w:b w:val="0"/>
                <w:sz w:val="18"/>
              </w:rPr>
            </w:r>
            <w:r>
              <w:rPr>
                <w:rFonts w:ascii="Arial" w:hAnsi="Arial"/>
                <w:b w:val="0"/>
                <w:sz w:val="18"/>
              </w:rPr>
              <w:t>150.8</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620.3 ms</w:t>
            </w:r>
          </w:p>
        </w:tc>
        <w:tc>
          <w:tcPr>
            <w:tcW w:type="dxa" w:w="952"/>
            <w:vAlign w:val="center"/>
          </w:tcPr>
          <w:p>
            <w:pPr>
              <w:keepNext/>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952"/>
            <w:vAlign w:val="center"/>
          </w:tcPr>
          <w:p>
            <w:pPr>
              <w:keepNext/>
              <w:spacing w:line="240" w:lineRule="auto" w:after="60"/>
            </w:pPr>
            <w:r>
              <w:rPr>
                <w:rFonts w:ascii="Arial" w:hAnsi="Arial"/>
                <w:b w:val="0"/>
                <w:sz w:val="18"/>
              </w:rPr>
            </w:r>
            <w:r>
              <w:rPr>
                <w:rFonts w:ascii="Arial" w:hAnsi="Arial"/>
                <w:b w:val="0"/>
                <w:sz w:val="18"/>
              </w:rPr>
              <w:t>5.30</w:t>
            </w:r>
          </w:p>
        </w:tc>
        <w:tc>
          <w:tcPr>
            <w:tcW w:type="dxa" w:w="952"/>
            <w:vAlign w:val="center"/>
          </w:tcPr>
          <w:p>
            <w:pPr>
              <w:keepNext/>
              <w:spacing w:line="240" w:lineRule="auto" w:after="60"/>
            </w:pPr>
            <w:r>
              <w:rPr>
                <w:rFonts w:ascii="Arial" w:hAnsi="Arial"/>
                <w:b w:val="0"/>
                <w:sz w:val="18"/>
              </w:rPr>
            </w:r>
            <w:r>
              <w:rPr>
                <w:rFonts w:ascii="Arial" w:hAnsi="Arial"/>
                <w:b w:val="0"/>
                <w:sz w:val="18"/>
              </w:rPr>
              <w:t>220.7</w:t>
            </w:r>
          </w:p>
        </w:tc>
        <w:tc>
          <w:tcPr>
            <w:tcW w:type="dxa" w:w="952"/>
            <w:vAlign w:val="center"/>
          </w:tcPr>
          <w:p>
            <w:pPr>
              <w:keepNext/>
              <w:spacing w:line="240" w:lineRule="auto" w:after="60"/>
            </w:pPr>
            <w:r>
              <w:rPr>
                <w:rFonts w:ascii="Arial" w:hAnsi="Arial"/>
                <w:b w:val="0"/>
                <w:sz w:val="18"/>
              </w:rPr>
            </w:r>
            <w:r>
              <w:rPr>
                <w:rFonts w:ascii="Arial" w:hAnsi="Arial"/>
                <w:b w:val="0"/>
                <w:sz w:val="18"/>
              </w:rPr>
              <w:t>80.5</w:t>
            </w:r>
          </w:p>
        </w:tc>
        <w:tc>
          <w:tcPr>
            <w:tcW w:type="dxa" w:w="952"/>
            <w:vAlign w:val="center"/>
          </w:tcPr>
          <w:p>
            <w:pPr>
              <w:keepNext/>
              <w:spacing w:line="240" w:lineRule="auto" w:after="60"/>
            </w:pPr>
            <w:r>
              <w:rPr>
                <w:rFonts w:ascii="Arial" w:hAnsi="Arial"/>
                <w:b w:val="0"/>
                <w:sz w:val="18"/>
              </w:rPr>
            </w:r>
            <w:r>
              <w:rPr>
                <w:rFonts w:ascii="Arial" w:hAnsi="Arial"/>
                <w:b w:val="0"/>
                <w:sz w:val="18"/>
              </w:rPr>
              <w:t>188.6 ms</w:t>
            </w:r>
          </w:p>
        </w:tc>
        <w:tc>
          <w:tcPr>
            <w:tcW w:type="dxa" w:w="952"/>
            <w:vAlign w:val="center"/>
          </w:tcPr>
          <w:p>
            <w:pPr>
              <w:keepNext/>
              <w:spacing w:line="240" w:lineRule="auto" w:after="60"/>
            </w:pPr>
            <w:r>
              <w:rPr>
                <w:rFonts w:ascii="Arial" w:hAnsi="Arial"/>
                <w:b w:val="0"/>
                <w:sz w:val="18"/>
              </w:rPr>
            </w:r>
            <w:r>
              <w:rPr>
                <w:rFonts w:ascii="Arial" w:hAnsi="Arial"/>
                <w:b w:val="0"/>
                <w:sz w:val="18"/>
              </w:rPr>
              <w:t>188.5 ms</w:t>
            </w:r>
          </w:p>
        </w:tc>
        <w:tc>
          <w:tcPr>
            <w:tcW w:type="dxa" w:w="952"/>
            <w:vAlign w:val="center"/>
          </w:tcPr>
          <w:p>
            <w:pPr>
              <w:keepNext/>
              <w:spacing w:line="240" w:lineRule="auto" w:after="60"/>
            </w:pPr>
            <w:r>
              <w:rPr>
                <w:rFonts w:ascii="Arial" w:hAnsi="Arial"/>
                <w:b w:val="0"/>
                <w:sz w:val="18"/>
              </w:rPr>
            </w:r>
            <w:r>
              <w:rPr>
                <w:rFonts w:ascii="Arial" w:hAnsi="Arial"/>
                <w:b w:val="0"/>
                <w:sz w:val="18"/>
              </w:rPr>
              <w:t>187.0 ms</w:t>
            </w:r>
          </w:p>
        </w:tc>
        <w:tc>
          <w:tcPr>
            <w:tcW w:type="dxa" w:w="952"/>
            <w:vAlign w:val="center"/>
          </w:tcPr>
          <w:p>
            <w:pPr>
              <w:keepNext/>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952"/>
            <w:vAlign w:val="center"/>
          </w:tcPr>
          <w:p>
            <w:pPr>
              <w:keepNext/>
              <w:spacing w:line="240" w:lineRule="auto" w:after="60"/>
            </w:pPr>
            <w:r>
              <w:rPr>
                <w:rFonts w:ascii="Arial" w:hAnsi="Arial"/>
                <w:b w:val="0"/>
                <w:sz w:val="18"/>
              </w:rPr>
            </w:r>
            <w:r>
              <w:rPr>
                <w:rFonts w:ascii="Arial" w:hAnsi="Arial"/>
                <w:b w:val="0"/>
                <w:sz w:val="18"/>
              </w:rPr>
              <w:t>5.05</w:t>
            </w:r>
          </w:p>
        </w:tc>
        <w:tc>
          <w:tcPr>
            <w:tcW w:type="dxa" w:w="952"/>
            <w:vAlign w:val="center"/>
          </w:tcPr>
          <w:p>
            <w:pPr>
              <w:keepNext/>
              <w:spacing w:line="240" w:lineRule="auto" w:after="60"/>
            </w:pPr>
            <w:r>
              <w:rPr>
                <w:rFonts w:ascii="Arial" w:hAnsi="Arial"/>
                <w:b w:val="0"/>
                <w:sz w:val="18"/>
              </w:rPr>
            </w:r>
            <w:r>
              <w:rPr>
                <w:rFonts w:ascii="Arial" w:hAnsi="Arial"/>
                <w:b w:val="0"/>
                <w:sz w:val="18"/>
              </w:rPr>
              <w:t>144.0</w:t>
            </w:r>
          </w:p>
        </w:tc>
        <w:tc>
          <w:tcPr>
            <w:tcW w:type="dxa" w:w="952"/>
            <w:vAlign w:val="center"/>
          </w:tcPr>
          <w:p>
            <w:pPr>
              <w:keepNext/>
              <w:spacing w:line="240" w:lineRule="auto" w:after="60"/>
            </w:pPr>
            <w:r>
              <w:rPr>
                <w:rFonts w:ascii="Arial" w:hAnsi="Arial"/>
                <w:b w:val="0"/>
                <w:sz w:val="18"/>
              </w:rPr>
            </w:r>
            <w:r>
              <w:rPr>
                <w:rFonts w:ascii="Arial" w:hAnsi="Arial"/>
                <w:b w:val="0"/>
                <w:sz w:val="18"/>
              </w:rPr>
              <w:t>79.8</w:t>
            </w:r>
          </w:p>
        </w:tc>
        <w:tc>
          <w:tcPr>
            <w:tcW w:type="dxa" w:w="952"/>
            <w:vAlign w:val="center"/>
          </w:tcPr>
          <w:p>
            <w:pPr>
              <w:keepNext/>
              <w:spacing w:line="240" w:lineRule="auto" w:after="60"/>
            </w:pPr>
            <w:r>
              <w:rPr>
                <w:rFonts w:ascii="Arial" w:hAnsi="Arial"/>
                <w:b w:val="0"/>
                <w:sz w:val="18"/>
              </w:rPr>
            </w:r>
            <w:r>
              <w:rPr>
                <w:rFonts w:ascii="Arial" w:hAnsi="Arial"/>
                <w:b w:val="0"/>
                <w:sz w:val="18"/>
              </w:rPr>
              <w:t>198.1 ms</w:t>
            </w:r>
          </w:p>
        </w:tc>
        <w:tc>
          <w:tcPr>
            <w:tcW w:type="dxa" w:w="952"/>
            <w:vAlign w:val="center"/>
          </w:tcPr>
          <w:p>
            <w:pPr>
              <w:keepNext/>
              <w:spacing w:line="240" w:lineRule="auto" w:after="60"/>
            </w:pPr>
            <w:r>
              <w:rPr>
                <w:rFonts w:ascii="Arial" w:hAnsi="Arial"/>
                <w:b w:val="0"/>
                <w:sz w:val="18"/>
              </w:rPr>
            </w:r>
            <w:r>
              <w:rPr>
                <w:rFonts w:ascii="Arial" w:hAnsi="Arial"/>
                <w:b w:val="0"/>
                <w:sz w:val="18"/>
              </w:rPr>
              <w:t>197.3 ms</w:t>
            </w:r>
          </w:p>
        </w:tc>
        <w:tc>
          <w:tcPr>
            <w:tcW w:type="dxa" w:w="952"/>
            <w:vAlign w:val="center"/>
          </w:tcPr>
          <w:p>
            <w:pPr>
              <w:keepNext/>
              <w:spacing w:line="240" w:lineRule="auto" w:after="60"/>
            </w:pPr>
            <w:r>
              <w:rPr>
                <w:rFonts w:ascii="Arial" w:hAnsi="Arial"/>
                <w:b w:val="0"/>
                <w:sz w:val="18"/>
              </w:rPr>
            </w:r>
            <w:r>
              <w:rPr>
                <w:rFonts w:ascii="Arial" w:hAnsi="Arial"/>
                <w:b w:val="0"/>
                <w:sz w:val="18"/>
              </w:rPr>
              <w:t>188.7 ms</w:t>
            </w:r>
          </w:p>
        </w:tc>
        <w:tc>
          <w:tcPr>
            <w:tcW w:type="dxa" w:w="952"/>
            <w:vAlign w:val="center"/>
          </w:tcPr>
          <w:p>
            <w:pPr>
              <w:keepNext/>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952"/>
            <w:vAlign w:val="center"/>
          </w:tcPr>
          <w:p>
            <w:pPr>
              <w:keepNext/>
              <w:spacing w:line="240" w:lineRule="auto" w:after="60"/>
            </w:pPr>
            <w:r>
              <w:rPr>
                <w:rFonts w:ascii="Arial" w:hAnsi="Arial"/>
                <w:b w:val="0"/>
                <w:sz w:val="18"/>
              </w:rPr>
            </w:r>
            <w:r>
              <w:rPr>
                <w:rFonts w:ascii="Arial" w:hAnsi="Arial"/>
                <w:b w:val="0"/>
                <w:sz w:val="18"/>
              </w:rPr>
              <w:t>42.75</w:t>
            </w:r>
          </w:p>
        </w:tc>
        <w:tc>
          <w:tcPr>
            <w:tcW w:type="dxa" w:w="952"/>
            <w:vAlign w:val="center"/>
          </w:tcPr>
          <w:p>
            <w:pPr>
              <w:keepNext/>
              <w:spacing w:line="240" w:lineRule="auto" w:after="60"/>
            </w:pPr>
            <w:r>
              <w:rPr>
                <w:rFonts w:ascii="Arial" w:hAnsi="Arial"/>
                <w:b w:val="0"/>
                <w:sz w:val="18"/>
              </w:rPr>
            </w:r>
            <w:r>
              <w:rPr>
                <w:rFonts w:ascii="Arial" w:hAnsi="Arial"/>
                <w:b w:val="0"/>
                <w:sz w:val="18"/>
              </w:rPr>
              <w:t>57.7</w:t>
            </w:r>
          </w:p>
        </w:tc>
        <w:tc>
          <w:tcPr>
            <w:tcW w:type="dxa" w:w="952"/>
            <w:vAlign w:val="center"/>
          </w:tcPr>
          <w:p>
            <w:pPr>
              <w:keepNext/>
              <w:spacing w:line="240" w:lineRule="auto" w:after="60"/>
            </w:pPr>
            <w:r>
              <w:rPr>
                <w:rFonts w:ascii="Arial" w:hAnsi="Arial"/>
                <w:b w:val="0"/>
                <w:sz w:val="18"/>
              </w:rPr>
            </w:r>
            <w:r>
              <w:rPr>
                <w:rFonts w:ascii="Arial" w:hAnsi="Arial"/>
                <w:b w:val="0"/>
                <w:sz w:val="18"/>
              </w:rPr>
              <w:t>18.5</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23.3 ms</w:t>
            </w:r>
          </w:p>
        </w:tc>
        <w:tc>
          <w:tcPr>
            <w:tcW w:type="dxa" w:w="952"/>
            <w:vAlign w:val="center"/>
          </w:tcPr>
          <w:p>
            <w:pPr>
              <w:keepNext/>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952"/>
            <w:vAlign w:val="center"/>
          </w:tcPr>
          <w:p>
            <w:pPr>
              <w:keepNext w:val="0"/>
              <w:spacing w:line="240" w:lineRule="auto" w:after="60"/>
            </w:pPr>
            <w:r>
              <w:rPr>
                <w:rFonts w:ascii="Arial" w:hAnsi="Arial"/>
                <w:b w:val="0"/>
                <w:sz w:val="18"/>
              </w:rPr>
            </w:r>
            <w:r>
              <w:rPr>
                <w:rFonts w:ascii="Arial" w:hAnsi="Arial"/>
                <w:b w:val="0"/>
                <w:sz w:val="18"/>
              </w:rPr>
              <w:t>8.00</w:t>
            </w:r>
          </w:p>
        </w:tc>
        <w:tc>
          <w:tcPr>
            <w:tcW w:type="dxa" w:w="952"/>
            <w:vAlign w:val="center"/>
          </w:tcPr>
          <w:p>
            <w:pPr>
              <w:keepNext w:val="0"/>
              <w:spacing w:line="240" w:lineRule="auto" w:after="60"/>
            </w:pPr>
            <w:r>
              <w:rPr>
                <w:rFonts w:ascii="Arial" w:hAnsi="Arial"/>
                <w:b w:val="0"/>
                <w:sz w:val="18"/>
              </w:rPr>
            </w:r>
            <w:r>
              <w:rPr>
                <w:rFonts w:ascii="Arial" w:hAnsi="Arial"/>
                <w:b w:val="0"/>
                <w:sz w:val="18"/>
              </w:rPr>
              <w:t>122.7</w:t>
            </w:r>
          </w:p>
        </w:tc>
        <w:tc>
          <w:tcPr>
            <w:tcW w:type="dxa" w:w="952"/>
            <w:vAlign w:val="center"/>
          </w:tcPr>
          <w:p>
            <w:pPr>
              <w:keepNext w:val="0"/>
              <w:spacing w:line="240" w:lineRule="auto" w:after="60"/>
            </w:pPr>
            <w:r>
              <w:rPr>
                <w:rFonts w:ascii="Arial" w:hAnsi="Arial"/>
                <w:b w:val="0"/>
                <w:sz w:val="18"/>
              </w:rPr>
            </w:r>
            <w:r>
              <w:rPr>
                <w:rFonts w:ascii="Arial" w:hAnsi="Arial"/>
                <w:b w:val="0"/>
                <w:sz w:val="18"/>
              </w:rPr>
              <w:t>65.8</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124.5 ms</w:t>
            </w:r>
          </w:p>
        </w:tc>
        <w:tc>
          <w:tcPr>
            <w:tcW w:type="dxa" w:w="952"/>
            <w:vAlign w:val="center"/>
          </w:tcPr>
          <w:p>
            <w:pPr>
              <w:keepNext w:val="0"/>
              <w:spacing w:line="240" w:lineRule="auto" w:after="60"/>
            </w:pPr>
            <w:r>
              <w:rPr>
                <w:rFonts w:ascii="Arial" w:hAnsi="Arial"/>
                <w:b w:val="0"/>
                <w:sz w:val="18"/>
              </w:rPr>
            </w:r>
            <w:r>
              <w:rPr>
                <w:rFonts w:ascii="Arial" w:hAnsi="Arial"/>
                <w:b w:val="0"/>
                <w:sz w:val="18"/>
              </w:rPr>
              <w:t>125.5 ms</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2.5.3 Resultados en Android — GPU Delegate</w:t>
      </w:r>
    </w:p>
    <w:p>
      <w:pPr>
        <w:pStyle w:val="Normal"/>
        <w:widowControl/>
        <w:spacing w:line="360" w:lineRule="auto" w:after="330"/>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w:t>
      </w:r>
      <w:r>
        <w:rPr>
          <w:i/>
          <w:sz w:val="20"/>
        </w:rPr>
        <w:t>benchmark</w:t>
      </w:r>
      <w:r>
        <w:rPr>
          <w:sz w:val="20"/>
        </w:rPr>
        <w:t xml:space="preserve">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FPS</w:t>
            </w:r>
          </w:p>
        </w:tc>
        <w:tc>
          <w:tcPr>
            <w:tcW w:type="dxa" w:w="1333"/>
            <w:vAlign w:val="center"/>
            <w:shd w:fill="EEEEEE"/>
          </w:tcPr>
          <w:p>
            <w:pPr>
              <w:keepNext/>
              <w:spacing w:line="240" w:lineRule="auto" w:after="60"/>
            </w:pPr>
            <w:r>
              <w:rPr>
                <w:rFonts w:ascii="Arial" w:hAnsi="Arial"/>
                <w:b/>
                <w:sz w:val="18"/>
              </w:rPr>
            </w:r>
            <w:r>
              <w:rPr>
                <w:rFonts w:ascii="Arial" w:hAnsi="Arial"/>
                <w:b/>
                <w:sz w:val="18"/>
              </w:rPr>
              <w:t>Init (ms)</w:t>
            </w:r>
          </w:p>
        </w:tc>
        <w:tc>
          <w:tcPr>
            <w:tcW w:type="dxa" w:w="1333"/>
            <w:vAlign w:val="center"/>
            <w:shd w:fill="EEEEEE"/>
          </w:tcPr>
          <w:p>
            <w:pPr>
              <w:keepNext/>
              <w:spacing w:line="240" w:lineRule="auto" w:after="60"/>
            </w:pPr>
            <w:r>
              <w:rPr>
                <w:rFonts w:ascii="Arial" w:hAnsi="Arial"/>
                <w:b/>
                <w:sz w:val="18"/>
              </w:rPr>
            </w:r>
            <w:r>
              <w:rPr>
                <w:rFonts w:ascii="Arial" w:hAnsi="Arial"/>
                <w:b/>
                <w:sz w:val="18"/>
              </w:rPr>
              <w:t>RAM (MB)</w:t>
            </w:r>
          </w:p>
        </w:tc>
        <w:tc>
          <w:tcPr>
            <w:tcW w:type="dxa" w:w="1333"/>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1333"/>
            <w:vAlign w:val="center"/>
            <w:shd w:fill="EEEEEE"/>
          </w:tcPr>
          <w:p>
            <w:pPr>
              <w:keepNext/>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1.34</w:t>
            </w:r>
          </w:p>
        </w:tc>
        <w:tc>
          <w:tcPr>
            <w:tcW w:type="dxa" w:w="1333"/>
            <w:vAlign w:val="center"/>
          </w:tcPr>
          <w:p>
            <w:pPr>
              <w:keepNext/>
              <w:spacing w:line="240" w:lineRule="auto" w:after="60"/>
            </w:pPr>
            <w:r>
              <w:rPr>
                <w:rFonts w:ascii="Arial" w:hAnsi="Arial"/>
                <w:b w:val="0"/>
                <w:sz w:val="18"/>
              </w:rPr>
            </w:r>
            <w:r>
              <w:rPr>
                <w:rFonts w:ascii="Arial" w:hAnsi="Arial"/>
                <w:b w:val="0"/>
                <w:sz w:val="18"/>
              </w:rPr>
              <w:t>4018.4</w:t>
            </w:r>
          </w:p>
        </w:tc>
        <w:tc>
          <w:tcPr>
            <w:tcW w:type="dxa" w:w="1333"/>
            <w:vAlign w:val="center"/>
          </w:tcPr>
          <w:p>
            <w:pPr>
              <w:keepNext/>
              <w:spacing w:line="240" w:lineRule="auto" w:after="60"/>
            </w:pPr>
            <w:r>
              <w:rPr>
                <w:rFonts w:ascii="Arial" w:hAnsi="Arial"/>
                <w:b w:val="0"/>
                <w:sz w:val="18"/>
              </w:rPr>
            </w:r>
            <w:r>
              <w:rPr>
                <w:rFonts w:ascii="Arial" w:hAnsi="Arial"/>
                <w:b w:val="0"/>
                <w:sz w:val="18"/>
              </w:rPr>
              <w:t>188.3</w:t>
            </w:r>
          </w:p>
        </w:tc>
        <w:tc>
          <w:tcPr>
            <w:tcW w:type="dxa" w:w="1333"/>
            <w:vAlign w:val="center"/>
          </w:tcPr>
          <w:p>
            <w:pPr>
              <w:keepNext/>
              <w:spacing w:line="240" w:lineRule="auto" w:after="60"/>
            </w:pPr>
            <w:r>
              <w:rPr>
                <w:rFonts w:ascii="Arial" w:hAnsi="Arial"/>
                <w:b w:val="0"/>
                <w:sz w:val="18"/>
              </w:rPr>
            </w:r>
            <w:r>
              <w:rPr>
                <w:rFonts w:ascii="Arial" w:hAnsi="Arial"/>
                <w:b w:val="0"/>
                <w:sz w:val="18"/>
              </w:rPr>
              <w:t>743.8 ms</w:t>
            </w:r>
          </w:p>
        </w:tc>
        <w:tc>
          <w:tcPr>
            <w:tcW w:type="dxa" w:w="1333"/>
            <w:vAlign w:val="center"/>
          </w:tcPr>
          <w:p>
            <w:pPr>
              <w:keepNext/>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1.35</w:t>
            </w:r>
          </w:p>
        </w:tc>
        <w:tc>
          <w:tcPr>
            <w:tcW w:type="dxa" w:w="1333"/>
            <w:vAlign w:val="center"/>
          </w:tcPr>
          <w:p>
            <w:pPr>
              <w:keepNext/>
              <w:spacing w:line="240" w:lineRule="auto" w:after="60"/>
            </w:pPr>
            <w:r>
              <w:rPr>
                <w:rFonts w:ascii="Arial" w:hAnsi="Arial"/>
                <w:b w:val="0"/>
                <w:sz w:val="18"/>
              </w:rPr>
            </w:r>
            <w:r>
              <w:rPr>
                <w:rFonts w:ascii="Arial" w:hAnsi="Arial"/>
                <w:b w:val="0"/>
                <w:sz w:val="18"/>
              </w:rPr>
              <w:t>3001.7</w:t>
            </w:r>
          </w:p>
        </w:tc>
        <w:tc>
          <w:tcPr>
            <w:tcW w:type="dxa" w:w="1333"/>
            <w:vAlign w:val="center"/>
          </w:tcPr>
          <w:p>
            <w:pPr>
              <w:keepNext/>
              <w:spacing w:line="240" w:lineRule="auto" w:after="60"/>
            </w:pPr>
            <w:r>
              <w:rPr>
                <w:rFonts w:ascii="Arial" w:hAnsi="Arial"/>
                <w:b w:val="0"/>
                <w:sz w:val="18"/>
              </w:rPr>
            </w:r>
            <w:r>
              <w:rPr>
                <w:rFonts w:ascii="Arial" w:hAnsi="Arial"/>
                <w:b w:val="0"/>
                <w:sz w:val="18"/>
              </w:rPr>
              <w:t>167.9</w:t>
            </w:r>
          </w:p>
        </w:tc>
        <w:tc>
          <w:tcPr>
            <w:tcW w:type="dxa" w:w="1333"/>
            <w:vAlign w:val="center"/>
          </w:tcPr>
          <w:p>
            <w:pPr>
              <w:keepNext/>
              <w:spacing w:line="240" w:lineRule="auto" w:after="60"/>
            </w:pPr>
            <w:r>
              <w:rPr>
                <w:rFonts w:ascii="Arial" w:hAnsi="Arial"/>
                <w:b w:val="0"/>
                <w:sz w:val="18"/>
              </w:rPr>
            </w:r>
            <w:r>
              <w:rPr>
                <w:rFonts w:ascii="Arial" w:hAnsi="Arial"/>
                <w:b w:val="0"/>
                <w:sz w:val="18"/>
              </w:rPr>
              <w:t>741.1 ms</w:t>
            </w:r>
          </w:p>
        </w:tc>
        <w:tc>
          <w:tcPr>
            <w:tcW w:type="dxa" w:w="1333"/>
            <w:vAlign w:val="center"/>
          </w:tcPr>
          <w:p>
            <w:pPr>
              <w:keepNext/>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3.85</w:t>
            </w:r>
          </w:p>
        </w:tc>
        <w:tc>
          <w:tcPr>
            <w:tcW w:type="dxa" w:w="1333"/>
            <w:vAlign w:val="center"/>
          </w:tcPr>
          <w:p>
            <w:pPr>
              <w:keepNext/>
              <w:spacing w:line="240" w:lineRule="auto" w:after="60"/>
            </w:pPr>
            <w:r>
              <w:rPr>
                <w:rFonts w:ascii="Arial" w:hAnsi="Arial"/>
                <w:b w:val="0"/>
                <w:sz w:val="18"/>
              </w:rPr>
            </w:r>
            <w:r>
              <w:rPr>
                <w:rFonts w:ascii="Arial" w:hAnsi="Arial"/>
                <w:b w:val="0"/>
                <w:sz w:val="18"/>
              </w:rPr>
              <w:t>4351.4</w:t>
            </w:r>
          </w:p>
        </w:tc>
        <w:tc>
          <w:tcPr>
            <w:tcW w:type="dxa" w:w="1333"/>
            <w:vAlign w:val="center"/>
          </w:tcPr>
          <w:p>
            <w:pPr>
              <w:keepNext/>
              <w:spacing w:line="240" w:lineRule="auto" w:after="60"/>
            </w:pPr>
            <w:r>
              <w:rPr>
                <w:rFonts w:ascii="Arial" w:hAnsi="Arial"/>
                <w:b w:val="0"/>
                <w:sz w:val="18"/>
              </w:rPr>
            </w:r>
            <w:r>
              <w:rPr>
                <w:rFonts w:ascii="Arial" w:hAnsi="Arial"/>
                <w:b w:val="0"/>
                <w:sz w:val="18"/>
              </w:rPr>
              <w:t>96.8</w:t>
            </w:r>
          </w:p>
        </w:tc>
        <w:tc>
          <w:tcPr>
            <w:tcW w:type="dxa" w:w="1333"/>
            <w:vAlign w:val="center"/>
          </w:tcPr>
          <w:p>
            <w:pPr>
              <w:keepNext/>
              <w:spacing w:line="240" w:lineRule="auto" w:after="60"/>
            </w:pPr>
            <w:r>
              <w:rPr>
                <w:rFonts w:ascii="Arial" w:hAnsi="Arial"/>
                <w:b w:val="0"/>
                <w:sz w:val="18"/>
              </w:rPr>
            </w:r>
            <w:r>
              <w:rPr>
                <w:rFonts w:ascii="Arial" w:hAnsi="Arial"/>
                <w:b w:val="0"/>
                <w:sz w:val="18"/>
              </w:rPr>
              <w:t>259.6 ms</w:t>
            </w:r>
          </w:p>
        </w:tc>
        <w:tc>
          <w:tcPr>
            <w:tcW w:type="dxa" w:w="1333"/>
            <w:vAlign w:val="center"/>
          </w:tcPr>
          <w:p>
            <w:pPr>
              <w:keepNext/>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3.90</w:t>
            </w:r>
          </w:p>
        </w:tc>
        <w:tc>
          <w:tcPr>
            <w:tcW w:type="dxa" w:w="1333"/>
            <w:vAlign w:val="center"/>
          </w:tcPr>
          <w:p>
            <w:pPr>
              <w:keepNext/>
              <w:spacing w:line="240" w:lineRule="auto" w:after="60"/>
            </w:pPr>
            <w:r>
              <w:rPr>
                <w:rFonts w:ascii="Arial" w:hAnsi="Arial"/>
                <w:b w:val="0"/>
                <w:sz w:val="18"/>
              </w:rPr>
            </w:r>
            <w:r>
              <w:rPr>
                <w:rFonts w:ascii="Arial" w:hAnsi="Arial"/>
                <w:b w:val="0"/>
                <w:sz w:val="18"/>
              </w:rPr>
              <w:t>3618.7</w:t>
            </w:r>
          </w:p>
        </w:tc>
        <w:tc>
          <w:tcPr>
            <w:tcW w:type="dxa" w:w="1333"/>
            <w:vAlign w:val="center"/>
          </w:tcPr>
          <w:p>
            <w:pPr>
              <w:keepNext/>
              <w:spacing w:line="240" w:lineRule="auto" w:after="60"/>
            </w:pPr>
            <w:r>
              <w:rPr>
                <w:rFonts w:ascii="Arial" w:hAnsi="Arial"/>
                <w:b w:val="0"/>
                <w:sz w:val="18"/>
              </w:rPr>
            </w:r>
            <w:r>
              <w:rPr>
                <w:rFonts w:ascii="Arial" w:hAnsi="Arial"/>
                <w:b w:val="0"/>
                <w:sz w:val="18"/>
              </w:rPr>
              <w:t>92.6</w:t>
            </w:r>
          </w:p>
        </w:tc>
        <w:tc>
          <w:tcPr>
            <w:tcW w:type="dxa" w:w="1333"/>
            <w:vAlign w:val="center"/>
          </w:tcPr>
          <w:p>
            <w:pPr>
              <w:keepNext/>
              <w:spacing w:line="240" w:lineRule="auto" w:after="60"/>
            </w:pPr>
            <w:r>
              <w:rPr>
                <w:rFonts w:ascii="Arial" w:hAnsi="Arial"/>
                <w:b w:val="0"/>
                <w:sz w:val="18"/>
              </w:rPr>
            </w:r>
            <w:r>
              <w:rPr>
                <w:rFonts w:ascii="Arial" w:hAnsi="Arial"/>
                <w:b w:val="0"/>
                <w:sz w:val="18"/>
              </w:rPr>
              <w:t>256.6 ms</w:t>
            </w:r>
          </w:p>
        </w:tc>
        <w:tc>
          <w:tcPr>
            <w:tcW w:type="dxa" w:w="1333"/>
            <w:vAlign w:val="center"/>
          </w:tcPr>
          <w:p>
            <w:pPr>
              <w:keepNext/>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2.79</w:t>
            </w:r>
          </w:p>
        </w:tc>
        <w:tc>
          <w:tcPr>
            <w:tcW w:type="dxa" w:w="1333"/>
            <w:vAlign w:val="center"/>
          </w:tcPr>
          <w:p>
            <w:pPr>
              <w:keepNext w:val="0"/>
              <w:spacing w:line="240" w:lineRule="auto" w:after="60"/>
            </w:pPr>
            <w:r>
              <w:rPr>
                <w:rFonts w:ascii="Arial" w:hAnsi="Arial"/>
                <w:b w:val="0"/>
                <w:sz w:val="18"/>
              </w:rPr>
            </w:r>
            <w:r>
              <w:rPr>
                <w:rFonts w:ascii="Arial" w:hAnsi="Arial"/>
                <w:b w:val="0"/>
                <w:sz w:val="18"/>
              </w:rPr>
              <w:t>3019.0</w:t>
            </w:r>
          </w:p>
        </w:tc>
        <w:tc>
          <w:tcPr>
            <w:tcW w:type="dxa" w:w="1333"/>
            <w:vAlign w:val="center"/>
          </w:tcPr>
          <w:p>
            <w:pPr>
              <w:keepNext w:val="0"/>
              <w:spacing w:line="240" w:lineRule="auto" w:after="60"/>
            </w:pPr>
            <w:r>
              <w:rPr>
                <w:rFonts w:ascii="Arial" w:hAnsi="Arial"/>
                <w:b w:val="0"/>
                <w:sz w:val="18"/>
              </w:rPr>
            </w:r>
            <w:r>
              <w:rPr>
                <w:rFonts w:ascii="Arial" w:hAnsi="Arial"/>
                <w:b w:val="0"/>
                <w:sz w:val="18"/>
              </w:rPr>
              <w:t>147.1</w:t>
            </w:r>
          </w:p>
        </w:tc>
        <w:tc>
          <w:tcPr>
            <w:tcW w:type="dxa" w:w="1333"/>
            <w:vAlign w:val="center"/>
          </w:tcPr>
          <w:p>
            <w:pPr>
              <w:keepNext w:val="0"/>
              <w:spacing w:line="240" w:lineRule="auto" w:after="60"/>
            </w:pPr>
            <w:r>
              <w:rPr>
                <w:rFonts w:ascii="Arial" w:hAnsi="Arial"/>
                <w:b w:val="0"/>
                <w:sz w:val="18"/>
              </w:rPr>
            </w:r>
            <w:r>
              <w:rPr>
                <w:rFonts w:ascii="Arial" w:hAnsi="Arial"/>
                <w:b w:val="0"/>
                <w:sz w:val="18"/>
              </w:rPr>
              <w:t>357.9 ms</w:t>
            </w:r>
          </w:p>
        </w:tc>
        <w:tc>
          <w:tcPr>
            <w:tcW w:type="dxa" w:w="1333"/>
            <w:vAlign w:val="center"/>
          </w:tcPr>
          <w:p>
            <w:pPr>
              <w:keepNext w:val="0"/>
              <w:spacing w:line="240" w:lineRule="auto" w:after="60"/>
            </w:pPr>
            <w:r>
              <w:rPr>
                <w:rFonts w:ascii="Arial" w:hAnsi="Arial"/>
                <w:b w:val="0"/>
                <w:sz w:val="18"/>
              </w:rPr>
            </w:r>
            <w:r>
              <w:rPr>
                <w:rFonts w:ascii="Arial" w:hAnsi="Arial"/>
                <w:b w:val="0"/>
                <w:sz w:val="18"/>
              </w:rPr>
              <w:t>186.5% más lento</w:t>
            </w:r>
          </w:p>
        </w:tc>
      </w:tr>
    </w:tbl>
    <w:p>
      <w:pPr>
        <w:spacing w:line="240" w:lineRule="auto" w:after="160"/>
        <w:jc w:val="center"/>
      </w:pPr>
      <w:r>
        <w:rPr>
          <w:rFonts w:ascii="Arial" w:hAnsi="Arial"/>
          <w:sz w:val="20"/>
        </w:rPr>
        <w:t>Fuente: elaboración propia con datos y especificaciones del proyecto.</w:t>
      </w:r>
    </w:p>
    <w:p>
      <w:bookmarkStart w:id="1030" w:name="report_1030"/>
      <w:pPr>
        <w:pStyle w:val="Ttulo2"/>
      </w:pPr>
      <w:r>
        <w:t xml:space="preserve">2.6 Análisis de resultados</w:t>
      </w:r>
      <w:bookmarkEnd w:id="1030"/>
    </w:p>
    <w:p>
      <w:pPr>
        <w:pStyle w:val="Ttulo3"/>
      </w:pPr>
      <w:r>
        <w:t xml:space="preserve">2.6.1 Precisión vs. costo computacional</w:t>
      </w:r>
    </w:p>
    <w:p>
      <w:pPr>
        <w:pStyle w:val="Normal"/>
        <w:widowControl/>
        <w:spacing w:line="360" w:lineRule="auto" w:after="330"/>
        <w:jc w:val="both"/>
      </w:pPr>
      <w:r>
        <w:t xml:space="preserve">YOLOv8s obtuvo el mayor mAP50-95 (0.514) del conjunto evaluado, representando la mejor localización espacial. Sin embargo, su latencia en Android CPU supera los 620 ms en todas sus variantes, equivalente a menos de 2 FPS, lo que lo hace inviable para tiempo real en el hardware objetivo.</w:t>
      </w:r>
    </w:p>
    <w:p>
      <w:pPr>
        <w:pStyle w:val="Normal"/>
        <w:widowControl/>
        <w:spacing w:line="360" w:lineRule="auto" w:after="330"/>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widowControl/>
        <w:spacing w:line="360" w:lineRule="auto" w:after="330"/>
        <w:jc w:val="both"/>
      </w:pPr>
      <w:r>
        <w:t xml:space="preserve">EfficientDet-Lite2 presentó el mayor mAP50 del conjunto (0.648) y una latencia de 124.9 ms en Android CPU (8.00 FPS), posicionándose como el modelo más preciso en detección general dentro del umbral de rendimiento funcional.</w:t>
      </w:r>
    </w:p>
    <w:p>
      <w:pPr>
        <w:pStyle w:val="Normal"/>
        <w:widowControl/>
        <w:spacing w:line="360" w:lineRule="auto" w:after="330"/>
        <w:jc w:val="both"/>
      </w:pPr>
      <w:r>
        <w:t xml:space="preserve">YOLO11n alcanzó 5.05–5.30 FPS en Android CPU con latencias entre 188.6 y 198.1 ms, con un mAP50-95 de 0.498.</w:t>
      </w:r>
    </w:p>
    <w:p>
      <w:pPr>
        <w:pStyle w:val="Normal"/>
        <w:widowControl/>
        <w:spacing w:line="360" w:lineRule="auto" w:after="330"/>
        <w:jc w:val="both"/>
      </w:pPr>
      <w:r>
        <w:t xml:space="preserve">En el conjunto inicial, YOLOv8s y EfficientDet-Lite2 alcanzaron F1 de 0,702 y 0,695. SSD MobileNetV1 obtuvo precisión de 0,343 y </w:t>
      </w:r>
      <w:r>
        <w:rPr>
          <w:i/>
        </w:rPr>
        <w:t>recall</w:t>
      </w:r>
      <w:r>
        <w:t xml:space="preserve"> de 0,545, lo que implica abundantes predicciones falsas y objetos sin recuperar a ese umbral. YOLO11n Float32 obtuvo precisión de 0,723 y </w:t>
      </w:r>
      <w:r>
        <w:rPr>
          <w:i/>
        </w:rPr>
        <w:t>recall</w:t>
      </w:r>
      <w:r>
        <w:t xml:space="preserve">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widowControl/>
        <w:spacing w:line="360" w:lineRule="auto" w:after="330"/>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widowControl/>
        <w:spacing w:line="360" w:lineRule="auto" w:after="330"/>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widowControl/>
        <w:spacing w:line="360" w:lineRule="auto" w:after="330"/>
        <w:jc w:val="both"/>
      </w:pPr>
      <w:r>
        <w:t xml:space="preserve">El análisis de los logs del </w:t>
      </w:r>
      <w:r>
        <w:rPr>
          <w:i/>
        </w:rPr>
        <w:t>benchmark</w:t>
      </w:r>
      <w:r>
        <w:t xml:space="preserve"> tool muestra diferencias de inicialización y memoria entre CPU y GPU. La primera es el tiempo de inicialización: todos los modelos requieren entre 3002 ms y 4351 ms para inicializar la sesión con GPU Delegate, frente a tiempos significativamente menores en CPU. Aunque este </w:t>
      </w:r>
      <w:r>
        <w:rPr>
          <w:i/>
        </w:rPr>
        <w:t>overhead</w:t>
      </w:r>
      <w:r>
        <w:t xml:space="preserve"> no afecta la latencia de inferencia por frame una vez inicializado, es compatible con los costes de preparación del delegado descritos en la documentación </w:t>
      </w:r>
      <w:hyperlink w:anchor="bib_ref_31" w:history="1">
        <w:r>
          <w:t xml:space="preserve">[31]</w:t>
        </w:r>
      </w:hyperlink>
      <w:r>
        <w:t xml:space="preserve">; no se midieron por separado compilación, transf</w:t>
      </w:r>
      <w:r>
        <w:rPr>
          <w:i/>
        </w:rPr>
        <w:t xml:space="preserve">e</w:t>
      </w:r>
      <w:r>
        <w:t xml:space="preserve"/>
      </w:r>
      <w:r>
        <w:t xml:space="preserve"/>
      </w:r>
      <w:r>
        <w:t xml:space="preserve">rencias o sincronización</w:t>
      </w:r>
      <w:r>
        <w:t xml:space="preserve"/>
      </w:r>
      <w:r>
        <w:t xml:space="preserve">.</w:t>
      </w:r>
    </w:p>
    <w:p>
      <w:pPr>
        <w:pStyle w:val="Normal"/>
        <w:widowControl/>
        <w:spacing w:line="360" w:lineRule="auto" w:after="330"/>
        <w:jc w:val="both"/>
      </w:pPr>
      <w:r>
        <w:t xml:space="preserve">El consumo de memoria RAM refuerza esta conclusión: las variantes con GPU Delegate requirieron entre 12 MB y 81 MB adicionales respecto a CPU para el mismo modelo (por ejemplo, YOLOv8s Float32 pasó de 164.1 MB en CPU a 188.3 MB en GPU), sin que esta medición permita identificar qué asignaciones explican la diferencia.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widowControl/>
        <w:spacing w:line="360" w:lineRule="auto" w:after="330"/>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FPS Android</w:t>
            </w:r>
          </w:p>
        </w:tc>
        <w:tc>
          <w:tcPr>
            <w:tcW w:type="dxa" w:w="1333"/>
            <w:vAlign w:val="center"/>
            <w:shd w:fill="EEEEEE"/>
          </w:tcPr>
          <w:p>
            <w:pPr>
              <w:keepNext/>
              <w:spacing w:line="240" w:lineRule="auto" w:after="60"/>
            </w:pPr>
            <w:r>
              <w:rPr>
                <w:rFonts w:ascii="Arial" w:hAnsi="Arial"/>
                <w:b/>
                <w:sz w:val="18"/>
              </w:rPr>
            </w:r>
            <w:r>
              <w:rPr>
                <w:rFonts w:ascii="Arial" w:hAnsi="Arial"/>
                <w:b/>
                <w:sz w:val="18"/>
              </w:rPr>
              <w:t>Tamaño</w:t>
            </w:r>
          </w:p>
        </w:tc>
        <w:tc>
          <w:tcPr>
            <w:tcW w:type="dxa" w:w="1333"/>
            <w:vAlign w:val="center"/>
            <w:shd w:fill="EEEEEE"/>
          </w:tcPr>
          <w:p>
            <w:pPr>
              <w:keepNext/>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5.30</w:t>
            </w:r>
          </w:p>
        </w:tc>
        <w:tc>
          <w:tcPr>
            <w:tcW w:type="dxa" w:w="1333"/>
            <w:vAlign w:val="center"/>
          </w:tcPr>
          <w:p>
            <w:pPr>
              <w:keepNext/>
              <w:spacing w:line="240" w:lineRule="auto" w:after="60"/>
            </w:pPr>
            <w:r>
              <w:rPr>
                <w:rFonts w:ascii="Arial" w:hAnsi="Arial"/>
                <w:b w:val="0"/>
                <w:sz w:val="18"/>
              </w:rPr>
            </w:r>
            <w:r>
              <w:rPr>
                <w:rFonts w:ascii="Arial" w:hAnsi="Arial"/>
                <w:b w:val="0"/>
                <w:sz w:val="18"/>
              </w:rPr>
              <w:t>10 MB</w:t>
            </w:r>
          </w:p>
        </w:tc>
        <w:tc>
          <w:tcPr>
            <w:tcW w:type="dxa" w:w="1333"/>
            <w:vAlign w:val="center"/>
          </w:tcPr>
          <w:p>
            <w:pPr>
              <w:keepNext/>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5.05</w:t>
            </w:r>
          </w:p>
        </w:tc>
        <w:tc>
          <w:tcPr>
            <w:tcW w:type="dxa" w:w="1333"/>
            <w:vAlign w:val="center"/>
          </w:tcPr>
          <w:p>
            <w:pPr>
              <w:keepNext/>
              <w:spacing w:line="240" w:lineRule="auto" w:after="60"/>
            </w:pPr>
            <w:r>
              <w:rPr>
                <w:rFonts w:ascii="Arial" w:hAnsi="Arial"/>
                <w:b w:val="0"/>
                <w:sz w:val="18"/>
              </w:rPr>
            </w:r>
            <w:r>
              <w:rPr>
                <w:rFonts w:ascii="Arial" w:hAnsi="Arial"/>
                <w:b w:val="0"/>
                <w:sz w:val="18"/>
              </w:rPr>
              <w:t>5.2 MB</w:t>
            </w:r>
          </w:p>
        </w:tc>
        <w:tc>
          <w:tcPr>
            <w:tcW w:type="dxa" w:w="1333"/>
            <w:vAlign w:val="center"/>
          </w:tcPr>
          <w:p>
            <w:pPr>
              <w:keepNext/>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8.00</w:t>
            </w:r>
          </w:p>
        </w:tc>
        <w:tc>
          <w:tcPr>
            <w:tcW w:type="dxa" w:w="1333"/>
            <w:vAlign w:val="center"/>
          </w:tcPr>
          <w:p>
            <w:pPr>
              <w:keepNext w:val="0"/>
              <w:spacing w:line="240" w:lineRule="auto" w:after="60"/>
            </w:pPr>
            <w:r>
              <w:rPr>
                <w:rFonts w:ascii="Arial" w:hAnsi="Arial"/>
                <w:b w:val="0"/>
                <w:sz w:val="18"/>
              </w:rPr>
            </w:r>
            <w:r>
              <w:rPr>
                <w:rFonts w:ascii="Arial" w:hAnsi="Arial"/>
                <w:b w:val="0"/>
                <w:sz w:val="18"/>
              </w:rPr>
              <w:t>7.2 MB</w:t>
            </w:r>
          </w:p>
        </w:tc>
        <w:tc>
          <w:tcPr>
            <w:tcW w:type="dxa" w:w="1333"/>
            <w:vAlign w:val="center"/>
          </w:tcPr>
          <w:p>
            <w:pPr>
              <w:keepNext w:val="0"/>
              <w:spacing w:line="240" w:lineRule="auto" w:after="60"/>
            </w:pPr>
            <w:r>
              <w:rPr>
                <w:rFonts w:ascii="Arial" w:hAnsi="Arial"/>
                <w:b w:val="0"/>
                <w:sz w:val="18"/>
              </w:rPr>
            </w:r>
            <w:r>
              <w:rPr>
                <w:rFonts w:ascii="Arial" w:hAnsi="Arial"/>
                <w:b w:val="0"/>
                <w:sz w:val="18"/>
              </w:rPr>
              <w:t>Mayor FPS y mAP50</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widowControl/>
        <w:spacing w:line="360" w:lineRule="auto" w:after="330"/>
        <w:jc w:val="both"/>
      </w:pPr>
      <w:r>
        <w:t xml:space="preserve">EfficientDet-Lite2 en CPU fue seleccionado por su AP50 de 0,648, </w:t>
      </w:r>
      <w:r>
        <w:rPr>
          <w:i/>
        </w:rPr>
        <w:t>recall</w:t>
      </w:r>
      <w:r>
        <w:t xml:space="preserve">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widowControl/>
        <w:spacing w:line="360" w:lineRule="auto" w:after="330"/>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widowControl/>
        <w:spacing w:line="360" w:lineRule="auto" w:after="330"/>
        <w:jc w:val="both"/>
      </w:pPr>
      <w:r>
        <w:t xml:space="preserve">El flujo actual comprende captura, preprocesamiento, detección, selección por confianza y número máximo de objetos, localización en la imagen y generación de voz. La Figura 3.1 representa el orden ejecutado por MainViewModel. La inversión del </w:t>
      </w:r>
      <w:r>
        <w:rPr>
          <w:i/>
        </w:rPr>
        <w:t>letterbox</w:t>
      </w:r>
      <w:r>
        <w:t xml:space="preserve"> devuelve las cajas al fotograma original antes de asignar las zonas. Los módulos de inferencia y audio se inicializan una vez y se liberan al finalizar su ciclo de vida. La implementación de estos módulos se conserva en la revisión del código fuente citada en </w:t>
      </w:r>
      <w:hyperlink w:anchor="bib_ref_34" w:history="1">
        <w:r>
          <w:t xml:space="preserve">[34]</w:t>
        </w:r>
      </w:hyperlink>
      <w:r>
        <w:t xml:space="preserve">.</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keepNext/>
        <w:spacing w:line="240" w:lineRule="auto" w:before="160" w:after="160"/>
        <w:jc w:val="center"/>
      </w:pPr>
      <w:r>
        <w:rPr>
          <w:sz w:val="20"/>
        </w:rPr>
        <w:t>Figura 3.1. Flujo de procesamiento de la implementación actual.</w:t>
      </w:r>
      <w:bookmarkEnd w:id="1035"/>
    </w:p>
    <w:p>
      <w:pPr>
        <w:spacing w:line="240" w:lineRule="auto" w:after="160"/>
        <w:jc w:val="center"/>
      </w:pPr>
      <w:r>
        <w:rPr>
          <w:rFonts w:ascii="Arial" w:hAnsi="Arial"/>
          <w:sz w:val="20"/>
        </w:rPr>
        <w:t>Fuente: elaboración propia a partir del diseño y los resultados del proyecto.</w:t>
      </w:r>
    </w:p>
    <w:p>
      <w:bookmarkStart w:id="1036" w:name="report_1036"/>
      <w:pPr>
        <w:pStyle w:val="Ttulo2"/>
      </w:pPr>
      <w:r>
        <w:t xml:space="preserve">3.2 Posicionamiento del dispositivo</w:t>
      </w:r>
      <w:bookmarkEnd w:id="1036"/>
    </w:p>
    <w:p>
      <w:pPr>
        <w:pStyle w:val="Normal"/>
        <w:widowControl/>
        <w:spacing w:line="360" w:lineRule="auto" w:after="330"/>
        <w:jc w:val="both"/>
      </w:pPr>
      <w:r>
        <w:t>Se compararon arnés de cabeza, arnés de pecho y soporte flexible Gorillapod. Este soporte permite al usuario orientar libremente el celular y elegir qué parte de la escena explorar. En las capturas de este estudio se apuntó la cámara hacia los objetos de interés.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widowControl/>
        <w:spacing w:line="360" w:lineRule="auto" w:after="330"/>
        <w:jc w:val="both"/>
      </w:pPr>
      <w:r>
        <w:t xml:space="preserve">CameraX 1.6.1 gestiona la cámara y su ciclo de vida </w:t>
      </w:r>
      <w:hyperlink w:anchor="bib_ref_35" w:history="1">
        <w:r>
          <w:t xml:space="preserve">[35]</w:t>
        </w:r>
      </w:hyperlink>
      <w:r>
        <w:t xml:space="preserve">.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widowControl/>
        <w:spacing w:line="360" w:lineRule="auto" w:after="330"/>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widowControl/>
        <w:spacing w:line="360" w:lineRule="auto" w:after="330"/>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w:t>
      </w:r>
      <w:r>
        <w:rPr>
          <w:i/>
        </w:rPr>
        <w:t>letterbox</w:t>
      </w:r>
      <w:r>
        <w:t xml:space="preserve">,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 </w:t>
      </w:r>
      <w:hyperlink w:anchor="bib_ref_34" w:history="1">
        <w:r>
          <w:t xml:space="preserve">[34]</w:t>
        </w:r>
      </w:hyperlink>
      <w:r>
        <w:t xml:space="preserve">.</w:t>
      </w:r>
    </w:p>
    <w:p>
      <w:bookmarkStart w:id="1039" w:name="report_1039"/>
      <w:pPr>
        <w:pStyle w:val="Ttulo2"/>
      </w:pPr>
      <w:r>
        <w:t xml:space="preserve">3.5 Módulo de detección</w:t>
      </w:r>
      <w:bookmarkEnd w:id="1039"/>
    </w:p>
    <w:p>
      <w:pPr>
        <w:pStyle w:val="Normal"/>
        <w:widowControl/>
        <w:spacing w:line="360" w:lineRule="auto" w:after="330"/>
        <w:jc w:val="both"/>
      </w:pPr>
      <w:r>
        <w:t xml:space="preserve">DetectionModule utiliza la API Interpreter del paquete LiteRT 1.4.2 y el archivo efficientdet-lite2-detection-metadata.tflite, cargado mediante un MappedByteBuffer </w:t>
      </w:r>
      <w:hyperlink w:anchor="bib_ref_36" w:history="1">
        <w:r>
          <w:t xml:space="preserve">[36]</w:t>
        </w:r>
      </w:hyperlink>
      <w:r>
        <w:t xml:space="preserve">. La inferencia se ejecuta en CPU. Se leen cajas normalizadas, clases, puntuaciones y número de detecciones; el intérprete valida la forma del tensor de cajas al inicializarse.</w:t>
      </w:r>
    </w:p>
    <w:p>
      <w:pPr>
        <w:pStyle w:val="Normal"/>
        <w:widowControl/>
        <w:spacing w:line="360" w:lineRule="auto" w:after="330"/>
        <w:jc w:val="both"/>
      </w:pPr>
      <w:r>
        <w:t xml:space="preserve">Los índices de clase emitidos por el modelo se desplazan en una unidad para obtener los identificadores del </w:t>
      </w:r>
      <w:r>
        <w:rPr>
          <w:i/>
        </w:rPr>
        <w:t>dataset</w:t>
      </w:r>
      <w:r>
        <w:t xml:space="preserve">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keepNext/>
              <w:spacing w:line="240" w:lineRule="auto" w:after="60"/>
            </w:pPr>
            <w:r>
              <w:rPr>
                <w:rFonts w:ascii="Arial" w:hAnsi="Arial"/>
                <w:b/>
                <w:sz w:val="20"/>
              </w:rPr>
            </w:r>
            <w:r>
              <w:rPr>
                <w:rFonts w:ascii="Arial" w:hAnsi="Arial"/>
                <w:b/>
                <w:sz w:val="20"/>
              </w:rPr>
              <w:t>Clase (inglés)</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1</w:t>
            </w:r>
          </w:p>
        </w:tc>
        <w:tc>
          <w:tcPr>
            <w:tcW w:type="dxa" w:w="3528"/>
            <w:vAlign w:val="center"/>
          </w:tcPr>
          <w:p>
            <w:pPr>
              <w:keepNext/>
              <w:spacing w:line="240" w:lineRule="auto" w:after="60"/>
            </w:pPr>
            <w:r>
              <w:rPr>
                <w:rFonts w:ascii="Arial" w:hAnsi="Arial"/>
                <w:b w:val="0"/>
                <w:sz w:val="20"/>
              </w:rPr>
            </w:r>
            <w:r>
              <w:rPr>
                <w:rFonts w:ascii="Arial" w:hAnsi="Arial"/>
                <w:b w:val="0"/>
                <w:sz w:val="20"/>
              </w:rPr>
              <w:t>person</w:t>
            </w:r>
          </w:p>
        </w:tc>
        <w:tc>
          <w:tcPr>
            <w:tcW w:type="dxa" w:w="2203"/>
            <w:vAlign w:val="center"/>
          </w:tcPr>
          <w:p>
            <w:pPr>
              <w:keepNext/>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62</w:t>
            </w:r>
          </w:p>
        </w:tc>
        <w:tc>
          <w:tcPr>
            <w:tcW w:type="dxa" w:w="3528"/>
            <w:vAlign w:val="center"/>
          </w:tcPr>
          <w:p>
            <w:pPr>
              <w:keepNext/>
              <w:spacing w:line="240" w:lineRule="auto" w:after="60"/>
            </w:pPr>
            <w:r>
              <w:rPr>
                <w:rFonts w:ascii="Arial" w:hAnsi="Arial"/>
                <w:b w:val="0"/>
                <w:sz w:val="20"/>
              </w:rPr>
            </w:r>
            <w:r>
              <w:rPr>
                <w:rFonts w:ascii="Arial" w:hAnsi="Arial"/>
                <w:b w:val="0"/>
                <w:sz w:val="20"/>
              </w:rPr>
              <w:t>chair</w:t>
            </w:r>
          </w:p>
        </w:tc>
        <w:tc>
          <w:tcPr>
            <w:tcW w:type="dxa" w:w="2203"/>
            <w:vAlign w:val="center"/>
          </w:tcPr>
          <w:p>
            <w:pPr>
              <w:keepNext/>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63</w:t>
            </w:r>
          </w:p>
        </w:tc>
        <w:tc>
          <w:tcPr>
            <w:tcW w:type="dxa" w:w="3528"/>
            <w:vAlign w:val="center"/>
          </w:tcPr>
          <w:p>
            <w:pPr>
              <w:keepNext/>
              <w:spacing w:line="240" w:lineRule="auto" w:after="60"/>
            </w:pPr>
            <w:r>
              <w:rPr>
                <w:rFonts w:ascii="Arial" w:hAnsi="Arial"/>
                <w:b w:val="0"/>
                <w:sz w:val="20"/>
              </w:rPr>
            </w:r>
            <w:r>
              <w:rPr>
                <w:rFonts w:ascii="Arial" w:hAnsi="Arial"/>
                <w:b w:val="0"/>
                <w:sz w:val="20"/>
              </w:rPr>
              <w:t>couch</w:t>
            </w:r>
          </w:p>
        </w:tc>
        <w:tc>
          <w:tcPr>
            <w:tcW w:type="dxa" w:w="2203"/>
            <w:vAlign w:val="center"/>
          </w:tcPr>
          <w:p>
            <w:pPr>
              <w:keepNext/>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65</w:t>
            </w:r>
          </w:p>
        </w:tc>
        <w:tc>
          <w:tcPr>
            <w:tcW w:type="dxa" w:w="3528"/>
            <w:vAlign w:val="center"/>
          </w:tcPr>
          <w:p>
            <w:pPr>
              <w:keepNext/>
              <w:spacing w:line="240" w:lineRule="auto" w:after="60"/>
            </w:pPr>
            <w:r>
              <w:rPr>
                <w:rFonts w:ascii="Arial" w:hAnsi="Arial"/>
                <w:b w:val="0"/>
                <w:sz w:val="20"/>
              </w:rPr>
            </w:r>
            <w:r>
              <w:rPr>
                <w:rFonts w:ascii="Arial" w:hAnsi="Arial"/>
                <w:b w:val="0"/>
                <w:sz w:val="20"/>
              </w:rPr>
              <w:t>bed</w:t>
            </w:r>
          </w:p>
        </w:tc>
        <w:tc>
          <w:tcPr>
            <w:tcW w:type="dxa" w:w="2203"/>
            <w:vAlign w:val="center"/>
          </w:tcPr>
          <w:p>
            <w:pPr>
              <w:keepNext/>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67</w:t>
            </w:r>
          </w:p>
        </w:tc>
        <w:tc>
          <w:tcPr>
            <w:tcW w:type="dxa" w:w="3528"/>
            <w:vAlign w:val="center"/>
          </w:tcPr>
          <w:p>
            <w:pPr>
              <w:keepNext/>
              <w:spacing w:line="240" w:lineRule="auto" w:after="60"/>
            </w:pPr>
            <w:r>
              <w:rPr>
                <w:rFonts w:ascii="Arial" w:hAnsi="Arial"/>
                <w:b w:val="0"/>
                <w:sz w:val="20"/>
              </w:rPr>
            </w:r>
            <w:r>
              <w:rPr>
                <w:rFonts w:ascii="Arial" w:hAnsi="Arial"/>
                <w:b w:val="0"/>
                <w:sz w:val="20"/>
              </w:rPr>
              <w:t>dining table</w:t>
            </w:r>
          </w:p>
        </w:tc>
        <w:tc>
          <w:tcPr>
            <w:tcW w:type="dxa" w:w="2203"/>
            <w:vAlign w:val="center"/>
          </w:tcPr>
          <w:p>
            <w:pPr>
              <w:keepNext/>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70</w:t>
            </w:r>
          </w:p>
        </w:tc>
        <w:tc>
          <w:tcPr>
            <w:tcW w:type="dxa" w:w="3528"/>
            <w:vAlign w:val="center"/>
          </w:tcPr>
          <w:p>
            <w:pPr>
              <w:keepNext/>
              <w:spacing w:line="240" w:lineRule="auto" w:after="60"/>
            </w:pPr>
            <w:r>
              <w:rPr>
                <w:rFonts w:ascii="Arial" w:hAnsi="Arial"/>
                <w:b w:val="0"/>
                <w:sz w:val="20"/>
              </w:rPr>
            </w:r>
            <w:r>
              <w:rPr>
                <w:rFonts w:ascii="Arial" w:hAnsi="Arial"/>
                <w:b w:val="0"/>
                <w:sz w:val="20"/>
              </w:rPr>
              <w:t>toilet</w:t>
            </w:r>
          </w:p>
        </w:tc>
        <w:tc>
          <w:tcPr>
            <w:tcW w:type="dxa" w:w="2203"/>
            <w:vAlign w:val="center"/>
          </w:tcPr>
          <w:p>
            <w:pPr>
              <w:keepNext/>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72</w:t>
            </w:r>
          </w:p>
        </w:tc>
        <w:tc>
          <w:tcPr>
            <w:tcW w:type="dxa" w:w="3528"/>
            <w:vAlign w:val="center"/>
          </w:tcPr>
          <w:p>
            <w:pPr>
              <w:keepNext/>
              <w:spacing w:line="240" w:lineRule="auto" w:after="60"/>
            </w:pPr>
            <w:r>
              <w:rPr>
                <w:rFonts w:ascii="Arial" w:hAnsi="Arial"/>
                <w:b w:val="0"/>
                <w:sz w:val="20"/>
              </w:rPr>
            </w:r>
            <w:r>
              <w:rPr>
                <w:rFonts w:ascii="Arial" w:hAnsi="Arial"/>
                <w:b w:val="0"/>
                <w:sz w:val="20"/>
              </w:rPr>
              <w:t>tv</w:t>
            </w:r>
          </w:p>
        </w:tc>
        <w:tc>
          <w:tcPr>
            <w:tcW w:type="dxa" w:w="2203"/>
            <w:vAlign w:val="center"/>
          </w:tcPr>
          <w:p>
            <w:pPr>
              <w:keepNext/>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73</w:t>
            </w:r>
          </w:p>
        </w:tc>
        <w:tc>
          <w:tcPr>
            <w:tcW w:type="dxa" w:w="3528"/>
            <w:vAlign w:val="center"/>
          </w:tcPr>
          <w:p>
            <w:pPr>
              <w:keepNext/>
              <w:spacing w:line="240" w:lineRule="auto" w:after="60"/>
            </w:pPr>
            <w:r>
              <w:rPr>
                <w:rFonts w:ascii="Arial" w:hAnsi="Arial"/>
                <w:b w:val="0"/>
                <w:sz w:val="20"/>
              </w:rPr>
            </w:r>
            <w:r>
              <w:rPr>
                <w:rFonts w:ascii="Arial" w:hAnsi="Arial"/>
                <w:b w:val="0"/>
                <w:sz w:val="20"/>
              </w:rPr>
              <w:t>laptop</w:t>
            </w:r>
          </w:p>
        </w:tc>
        <w:tc>
          <w:tcPr>
            <w:tcW w:type="dxa" w:w="2203"/>
            <w:vAlign w:val="center"/>
          </w:tcPr>
          <w:p>
            <w:pPr>
              <w:keepNext/>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81</w:t>
            </w:r>
          </w:p>
        </w:tc>
        <w:tc>
          <w:tcPr>
            <w:tcW w:type="dxa" w:w="3528"/>
            <w:vAlign w:val="center"/>
          </w:tcPr>
          <w:p>
            <w:pPr>
              <w:keepNext/>
              <w:spacing w:line="240" w:lineRule="auto" w:after="60"/>
            </w:pPr>
            <w:r>
              <w:rPr>
                <w:rFonts w:ascii="Arial" w:hAnsi="Arial"/>
                <w:b w:val="0"/>
                <w:sz w:val="20"/>
              </w:rPr>
            </w:r>
            <w:r>
              <w:rPr>
                <w:rFonts w:ascii="Arial" w:hAnsi="Arial"/>
                <w:b w:val="0"/>
                <w:sz w:val="20"/>
              </w:rPr>
              <w:t>sink</w:t>
            </w:r>
          </w:p>
        </w:tc>
        <w:tc>
          <w:tcPr>
            <w:tcW w:type="dxa" w:w="2203"/>
            <w:vAlign w:val="center"/>
          </w:tcPr>
          <w:p>
            <w:pPr>
              <w:keepNext/>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82</w:t>
            </w:r>
          </w:p>
        </w:tc>
        <w:tc>
          <w:tcPr>
            <w:tcW w:type="dxa" w:w="3528"/>
            <w:vAlign w:val="center"/>
          </w:tcPr>
          <w:p>
            <w:pPr>
              <w:keepNext w:val="0"/>
              <w:spacing w:line="240" w:lineRule="auto" w:after="60"/>
            </w:pPr>
            <w:r>
              <w:rPr>
                <w:rFonts w:ascii="Arial" w:hAnsi="Arial"/>
                <w:b w:val="0"/>
                <w:sz w:val="20"/>
              </w:rPr>
            </w:r>
            <w:r>
              <w:rPr>
                <w:rFonts w:ascii="Arial" w:hAnsi="Arial"/>
                <w:b w:val="0"/>
                <w:sz w:val="20"/>
              </w:rPr>
              <w:t>refrigerator</w:t>
            </w:r>
          </w:p>
        </w:tc>
        <w:tc>
          <w:tcPr>
            <w:tcW w:type="dxa" w:w="2203"/>
            <w:vAlign w:val="center"/>
          </w:tcPr>
          <w:p>
            <w:pPr>
              <w:keepNext w:val="0"/>
              <w:spacing w:line="240" w:lineRule="auto" w:after="60"/>
            </w:pPr>
            <w:r>
              <w:rPr>
                <w:rFonts w:ascii="Arial" w:hAnsi="Arial"/>
                <w:b w:val="0"/>
                <w:sz w:val="20"/>
              </w:rPr>
            </w:r>
            <w:r>
              <w:rPr>
                <w:rFonts w:ascii="Arial" w:hAnsi="Arial"/>
                <w:b w:val="0"/>
                <w:sz w:val="20"/>
              </w:rPr>
              <w:t>refrigerador</w:t>
            </w:r>
          </w:p>
        </w:tc>
      </w:tr>
    </w:tbl>
    <w:p>
      <w:pPr>
        <w:spacing w:line="240" w:lineRule="auto" w:after="160"/>
        <w:jc w:val="center"/>
      </w:pPr>
      <w:r>
        <w:rPr>
          <w:rFonts w:ascii="Arial" w:hAnsi="Arial"/>
          <w:sz w:val="20"/>
        </w:rPr>
        <w:t>Fuente: elaboración propia con datos y especificaciones del proyecto.</w:t>
      </w:r>
    </w:p>
    <w:p>
      <w:bookmarkStart w:id="1041" w:name="report_1041"/>
      <w:pPr>
        <w:pStyle w:val="Ttulo2"/>
      </w:pPr>
      <w:r>
        <w:t xml:space="preserve">3.6 Módulo de localización espacial</w:t>
      </w:r>
      <w:bookmarkEnd w:id="1041"/>
    </w:p>
    <w:p>
      <w:pPr>
        <w:pStyle w:val="Normal"/>
        <w:widowControl/>
        <w:spacing w:line="360" w:lineRule="auto" w:after="330"/>
        <w:jc w:val="both"/>
      </w:pPr>
      <w:r>
        <w:t xml:space="preserve">LocalizationModule asigna seis zonas según el centro de la caja: cortes en 0,35 y 0,65 del ancho y a media altura. Son regiones de imagen, no distancias ni tercios exactos (Tabla 3.2 y Figura 3.2).</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Zona</w:t>
            </w:r>
          </w:p>
        </w:tc>
        <w:tc>
          <w:tcPr>
            <w:tcW w:type="dxa" w:w="3528"/>
            <w:vAlign w:val="center"/>
            <w:shd w:fill="EEEEEE"/>
          </w:tcPr>
          <w:p>
            <w:pPr>
              <w:keepNext/>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frente a ti</w:t>
            </w:r>
          </w:p>
        </w:tc>
        <w:tc>
          <w:tcPr>
            <w:tcW w:type="dxa" w:w="2203"/>
            <w:vAlign w:val="center"/>
          </w:tcPr>
          <w:p>
            <w:pPr>
              <w:keepNext/>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derecha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derecha</w:t>
            </w:r>
          </w:p>
        </w:tc>
        <w:tc>
          <w:tcPr>
            <w:tcW w:type="dxa" w:w="2203"/>
            <w:vAlign w:val="center"/>
          </w:tcPr>
          <w:p>
            <w:pPr>
              <w:keepNext/>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arriba al centro</w:t>
            </w:r>
          </w:p>
        </w:tc>
        <w:tc>
          <w:tcPr>
            <w:tcW w:type="dxa" w:w="2203"/>
            <w:vAlign w:val="center"/>
          </w:tcPr>
          <w:p>
            <w:pPr>
              <w:keepNext/>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keepNext w:val="1"/>
              <w:spacing w:line="240" w:lineRule="auto" w:after="60"/>
            </w:pPr>
            <w:r>
              <w:rPr>
                <w:rFonts w:ascii="Arial" w:hAnsi="Arial"/>
                <w:b w:val="0"/>
                <w:sz w:val="20"/>
              </w:rPr>
            </w:r>
            <w:r>
              <w:rPr>
                <w:rFonts w:ascii="Arial" w:hAnsi="Arial"/>
                <w:b w:val="0"/>
                <w:sz w:val="20"/>
              </w:rPr>
              <w:t>Superior derecha</w:t>
            </w:r>
          </w:p>
        </w:tc>
        <w:tc>
          <w:tcPr>
            <w:tcW w:type="dxa" w:w="3528"/>
            <w:vAlign w:val="center"/>
          </w:tcPr>
          <w:p>
            <w:pPr>
              <w:keepNext w:val="1"/>
              <w:spacing w:line="240" w:lineRule="auto" w:after="60"/>
            </w:pPr>
            <w:r>
              <w:rPr>
                <w:rFonts w:ascii="Arial" w:hAnsi="Arial"/>
                <w:b w:val="0"/>
                <w:sz w:val="20"/>
              </w:rPr>
            </w:r>
            <w:r>
              <w:rPr>
                <w:rFonts w:ascii="Arial" w:hAnsi="Arial"/>
                <w:b w:val="0"/>
                <w:sz w:val="20"/>
              </w:rPr>
              <w:t>arriba a la derecha</w:t>
            </w:r>
          </w:p>
        </w:tc>
        <w:tc>
          <w:tcPr>
            <w:tcW w:type="dxa" w:w="2203"/>
            <w:vAlign w:val="center"/>
          </w:tcPr>
          <w:p>
            <w:pPr>
              <w:keepNext w:val="1"/>
              <w:spacing w:line="240" w:lineRule="auto" w:after="60"/>
            </w:pPr>
            <w:r>
              <w:rPr>
                <w:rFonts w:ascii="Arial" w:hAnsi="Arial"/>
                <w:b w:val="0"/>
                <w:sz w:val="20"/>
              </w:rPr>
            </w:r>
            <w:r>
              <w:rPr>
                <w:rFonts w:ascii="Arial" w:hAnsi="Arial"/>
                <w:b w:val="0"/>
                <w:sz w:val="20"/>
              </w:rPr>
              <w:t>upper right</w:t>
            </w:r>
          </w:p>
        </w:tc>
      </w:tr>
    </w:tbl>
    <w:p>
      <w:pPr>
        <w:spacing w:line="240" w:lineRule="auto" w:after="160"/>
        <w:jc w:val="center"/>
      </w:pPr>
      <w:r>
        <w:rPr>
          <w:rFonts w:ascii="Arial" w:hAnsi="Arial"/>
          <w:sz w:val="20"/>
        </w:rPr>
        <w:t>Fuente: elaboración propia con datos y especificaciones del proyecto.</w:t>
      </w:r>
    </w:p>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keepNext/>
        <w:spacing w:line="240" w:lineRule="auto" w:before="160" w:after="160"/>
        <w:jc w:val="center"/>
      </w:pPr>
      <w:r>
        <w:rPr>
          <w:sz w:val="20"/>
        </w:rPr>
        <w:t>Figura 3.2. Partición del campo visual para la localización relativa.</w:t>
      </w:r>
      <w:bookmarkEnd w:id="1043"/>
    </w:p>
    <w:p>
      <w:pPr>
        <w:spacing w:line="240" w:lineRule="auto" w:after="160"/>
        <w:jc w:val="center"/>
      </w:pPr>
      <w:r>
        <w:rPr>
          <w:rFonts w:ascii="Arial" w:hAnsi="Arial"/>
          <w:sz w:val="20"/>
        </w:rPr>
        <w:t>Fuente: elaboración propia a partir del diseño y los resultados del proyecto.</w:t>
      </w:r>
    </w:p>
    <w:p>
      <w:bookmarkStart w:id="1044" w:name="report_1044"/>
      <w:pPr>
        <w:pStyle w:val="Ttulo2"/>
      </w:pPr>
      <w:r>
        <w:t xml:space="preserve">3.7 Módulo de filtrado y priorización</w:t>
      </w:r>
      <w:bookmarkEnd w:id="1044"/>
    </w:p>
    <w:p>
      <w:pPr>
        <w:pStyle w:val="Normal"/>
        <w:widowControl/>
        <w:spacing w:line="360" w:lineRule="auto" w:after="330"/>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pPr>
        <w:widowControl/>
        <w:spacing w:line="360" w:lineRule="auto" w:after="330"/>
        <w:jc w:val="both"/>
      </w:pPr>
      <w:r>
        <w:t xml:space="preserve">La prioridad de las diez clases de la Tabla 3.1 responde a una delimitación técnica para explorar mobiliario, equipamiento doméstico y presencia de personas, junto con la disponibilidad de etiquetas COCO </w:t>
      </w:r>
      <w:hyperlink w:anchor="bib_ref_22" w:history="1">
        <w:r>
          <w:t xml:space="preserve">[22]</w:t>
        </w:r>
      </w:hyperlink>
      <w:r>
        <w:t xml:space="preserve">. No procede de un estudio de necesidades con usuarios ni establece una jerarquía clínica o de riesgo. La propuesta menciona puertas, sillas y escritorios como ejemplos </w:t>
      </w:r>
      <w:hyperlink w:anchor="bib_ref_10" w:history="1">
        <w:r>
          <w:t xml:space="preserve">[10]</w:t>
        </w:r>
      </w:hyperlink>
      <w:r>
        <w:t xml:space="preserve">; la clase silla está incluida, pero el vocabulario COCO empleado no contiene una clase puerta ni una clase independiente escritorio. La etiqueta </w:t>
      </w:r>
      <w:r>
        <w:rPr>
          <w:i/>
        </w:rPr>
        <w:t>dining table</w:t>
      </w:r>
      <w:r>
        <w:t xml:space="preserve"> corresponde a mesa de comedor y no permite afirmar detección general de escritorios. Open Images se consideró como alternativa de vocabulario </w:t>
      </w:r>
      <w:hyperlink w:anchor="bib_ref_23" w:history="1">
        <w:r>
          <w:t xml:space="preserve">[23]</w:t>
        </w:r>
      </w:hyperlink>
      <w:r>
        <w:t xml:space="preserve">, pero no se entrenó ni evaluó aquí un detector con ese conjunto. Incorporar puertas exige seleccionar o adaptar un modelo compatible, anotar ejemplos y evaluar su desempeño.</w:t>
      </w:r>
    </w:p>
    <w:p>
      <w:bookmarkStart w:id="1045" w:name="report_1045"/>
      <w:pPr>
        <w:pStyle w:val="Ttulo2"/>
      </w:pPr>
      <w:r>
        <w:t xml:space="preserve">3.8 Módulo de audio y descriptores de voz</w:t>
      </w:r>
      <w:bookmarkEnd w:id="1045"/>
    </w:p>
    <w:p>
      <w:pPr>
        <w:pStyle w:val="Normal"/>
        <w:widowControl/>
        <w:spacing w:line="360" w:lineRule="auto" w:after="330"/>
        <w:jc w:val="both"/>
      </w:pPr>
      <w:r>
        <w:t xml:space="preserve">AudioModule utiliza sherpa-onnx v1.13.6 para sintetizar voz local a partir de modelos VITS/Piper empaquetados con la aplicación </w:t>
      </w:r>
      <w:hyperlink w:anchor="bib_ref_37" w:history="1">
        <w:r>
          <w:t xml:space="preserve">[37]</w:t>
        </w:r>
      </w:hyperlink>
      <w:r>
        <w:t xml:space="preserve">, </w:t>
      </w:r>
      <w:hyperlink w:anchor="bib_ref_38" w:history="1">
        <w:r>
          <w:t xml:space="preserve">[38]</w:t>
        </w:r>
      </w:hyperlink>
      <w:r>
        <w:t xml:space="preserve">, </w:t>
      </w:r>
      <w:hyperlink w:anchor="bib_ref_39" w:history="1">
        <w:r>
          <w:t xml:space="preserve">[39]</w:t>
        </w:r>
      </w:hyperlink>
      <w:r>
        <w:t xml:space="preserve">.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widowControl/>
        <w:spacing w:line="360" w:lineRule="auto" w:after="330"/>
        <w:jc w:val="both"/>
      </w:pPr>
      <w:r>
        <w:t xml:space="preserve">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w:t>
      </w:r>
      <w:hyperlink w:anchor="bib_ref_40" w:history="1">
        <w:r>
          <w:t xml:space="preserve">[40]</w:t>
        </w:r>
      </w:hyperlink>
      <w:r>
        <w:t xml:space="preserve">; la terminación y los errores se comunican al flujo de captura para liberar el fotograma congelado. El experimento de detección no mide inteligibilidad, naturalidad ni tiempo total de síntesis.</w:t>
      </w:r>
    </w:p>
    <w:p>
      <w:pPr>
        <w:widowControl/>
        <w:spacing w:line="360" w:lineRule="auto" w:after="330"/>
        <w:jc w:val="both"/>
      </w:pPr>
      <w:r>
        <w:t>El diseño de los descriptores combina presencia, nombre del objeto y región relativa al punto de orientación de la cámara. La redacción localizada y el límite de dos objetos por defecto buscan evitar mensajes excesivamente extensos; esa intención de diseño no demuestra una reducción de carga cognitiva. Las pruebas de SpeechFormatter verifican la composición textual, mientras la evaluación de hasta dos objetos cuantifica la selección disponible para el módulo de voz. La comprensión de izquierda, centro, derecha y de las regiones verticales debe comprobarse con oyentes; no se anuncian distancias métricas ni instrucciones de ruta libre.</w:t>
      </w:r>
    </w:p>
    <w:p>
      <w:bookmarkStart w:id="1046" w:name="report_1046"/>
      <w:pPr>
        <w:pStyle w:val="Ttulo2"/>
      </w:pPr>
      <w:r>
        <w:t xml:space="preserve">3.9 Modos de operación</w:t>
      </w:r>
      <w:bookmarkEnd w:id="1046"/>
    </w:p>
    <w:p>
      <w:pPr>
        <w:pStyle w:val="Normal"/>
        <w:widowControl/>
        <w:spacing w:line="360" w:lineRule="auto" w:after="330"/>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widowControl/>
        <w:spacing w:line="360" w:lineRule="auto" w:after="330"/>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widowControl/>
        <w:spacing w:line="360" w:lineRule="auto" w:after="330"/>
        <w:jc w:val="both"/>
      </w:pPr>
      <w:r>
        <w:t xml:space="preserve">La aplicación incluye una pantalla de configuración que permite ajustar el comportamiento del sistema sin necesidad de reiniciarla, almacenando las preferencias con Jetpack DataStore </w:t>
      </w:r>
      <w:hyperlink w:anchor="bib_ref_41" w:history="1">
        <w:r>
          <w:t xml:space="preserve">[41]</w:t>
        </w:r>
      </w:hyperlink>
      <w:r>
        <w:t xml:space="preserv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Parámetro</w:t>
            </w:r>
          </w:p>
        </w:tc>
        <w:tc>
          <w:tcPr>
            <w:tcW w:type="dxa" w:w="3528"/>
            <w:vAlign w:val="center"/>
            <w:shd w:fill="EEEEEE"/>
          </w:tcPr>
          <w:p>
            <w:pPr>
              <w:keepNext/>
              <w:spacing w:line="240" w:lineRule="auto" w:after="60"/>
            </w:pPr>
            <w:r>
              <w:rPr>
                <w:rFonts w:ascii="Arial" w:hAnsi="Arial"/>
                <w:b/>
                <w:sz w:val="20"/>
              </w:rPr>
            </w:r>
            <w:r>
              <w:rPr>
                <w:rFonts w:ascii="Arial" w:hAnsi="Arial"/>
                <w:b/>
                <w:sz w:val="20"/>
              </w:rPr>
              <w:t>Rango</w:t>
            </w:r>
          </w:p>
        </w:tc>
        <w:tc>
          <w:tcPr>
            <w:tcW w:type="dxa" w:w="2203"/>
            <w:vAlign w:val="center"/>
            <w:shd w:fill="EEEEEE"/>
          </w:tcPr>
          <w:p>
            <w:pPr>
              <w:keepNext/>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keepNext/>
              <w:spacing w:line="240" w:lineRule="auto" w:after="60"/>
            </w:pPr>
            <w:r>
              <w:rPr>
                <w:rFonts w:ascii="Arial" w:hAnsi="Arial"/>
                <w:b w:val="0"/>
                <w:sz w:val="20"/>
              </w:rPr>
            </w:r>
            <w:r>
              <w:rPr>
                <w:rFonts w:ascii="Arial" w:hAnsi="Arial"/>
                <w:b w:val="0"/>
                <w:sz w:val="20"/>
              </w:rPr>
              <w:t>español / inglés</w:t>
            </w:r>
          </w:p>
        </w:tc>
        <w:tc>
          <w:tcPr>
            <w:tcW w:type="dxa" w:w="2203"/>
            <w:vAlign w:val="center"/>
          </w:tcPr>
          <w:p>
            <w:pPr>
              <w:keepNext/>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Velocidad de habla</w:t>
            </w:r>
          </w:p>
        </w:tc>
        <w:tc>
          <w:tcPr>
            <w:tcW w:type="dxa" w:w="3528"/>
            <w:vAlign w:val="center"/>
          </w:tcPr>
          <w:p>
            <w:pPr>
              <w:keepNext/>
              <w:spacing w:line="240" w:lineRule="auto" w:after="60"/>
            </w:pPr>
            <w:r>
              <w:rPr>
                <w:rFonts w:ascii="Arial" w:hAnsi="Arial"/>
                <w:b w:val="0"/>
                <w:sz w:val="20"/>
              </w:rPr>
            </w:r>
            <w:r>
              <w:rPr>
                <w:rFonts w:ascii="Arial" w:hAnsi="Arial"/>
                <w:b w:val="0"/>
                <w:sz w:val="20"/>
              </w:rPr>
              <w:t>0.5× – 2.5×</w:t>
            </w:r>
          </w:p>
        </w:tc>
        <w:tc>
          <w:tcPr>
            <w:tcW w:type="dxa" w:w="2203"/>
            <w:vAlign w:val="center"/>
          </w:tcPr>
          <w:p>
            <w:pPr>
              <w:keepNext/>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Umbral de confianza</w:t>
            </w:r>
          </w:p>
        </w:tc>
        <w:tc>
          <w:tcPr>
            <w:tcW w:type="dxa" w:w="3528"/>
            <w:vAlign w:val="center"/>
          </w:tcPr>
          <w:p>
            <w:pPr>
              <w:keepNext/>
              <w:spacing w:line="240" w:lineRule="auto" w:after="60"/>
            </w:pPr>
            <w:r>
              <w:rPr>
                <w:rFonts w:ascii="Arial" w:hAnsi="Arial"/>
                <w:b w:val="0"/>
                <w:sz w:val="20"/>
              </w:rPr>
            </w:r>
            <w:r>
              <w:rPr>
                <w:rFonts w:ascii="Arial" w:hAnsi="Arial"/>
                <w:b w:val="0"/>
                <w:sz w:val="20"/>
              </w:rPr>
              <w:t>0.10 – 0.90</w:t>
            </w:r>
          </w:p>
        </w:tc>
        <w:tc>
          <w:tcPr>
            <w:tcW w:type="dxa" w:w="2203"/>
            <w:vAlign w:val="center"/>
          </w:tcPr>
          <w:p>
            <w:pPr>
              <w:keepNext/>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keepNext/>
              <w:spacing w:line="240" w:lineRule="auto" w:after="60"/>
            </w:pPr>
            <w:r>
              <w:rPr>
                <w:rFonts w:ascii="Arial" w:hAnsi="Arial"/>
                <w:b w:val="0"/>
                <w:sz w:val="20"/>
              </w:rPr>
              <w:t>1, 2 o 3</w:t>
            </w:r>
          </w:p>
        </w:tc>
        <w:tc>
          <w:tcPr>
            <w:tcW w:type="dxa" w:w="2203"/>
            <w:vAlign w:val="center"/>
          </w:tcPr>
          <w:p>
            <w:pPr>
              <w:keepNext/>
              <w:spacing w:line="240" w:lineRule="auto" w:after="60"/>
            </w:pPr>
            <w:r>
              <w:rPr>
                <w:rFonts w:ascii="Arial" w:hAnsi="Arial"/>
                <w:b w:val="0"/>
                <w:sz w:val="20"/>
              </w:rPr>
              <w:t>2</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keepNext w:val="0"/>
              <w:spacing w:line="240" w:lineRule="auto" w:after="60"/>
            </w:pPr>
            <w:r>
              <w:rPr>
                <w:rFonts w:ascii="Arial" w:hAnsi="Arial"/>
                <w:b w:val="0"/>
                <w:sz w:val="20"/>
              </w:rPr>
            </w:r>
            <w:r>
              <w:rPr>
                <w:rFonts w:ascii="Arial" w:hAnsi="Arial"/>
                <w:b w:val="0"/>
                <w:sz w:val="20"/>
              </w:rPr>
              <w:t>sí / no</w:t>
            </w:r>
          </w:p>
        </w:tc>
        <w:tc>
          <w:tcPr>
            <w:tcW w:type="dxa" w:w="2203"/>
            <w:vAlign w:val="center"/>
          </w:tcPr>
          <w:p>
            <w:pPr>
              <w:keepNext w:val="0"/>
              <w:spacing w:line="240" w:lineRule="auto" w:after="60"/>
            </w:pPr>
            <w:r>
              <w:rPr>
                <w:rFonts w:ascii="Arial" w:hAnsi="Arial"/>
                <w:b w:val="0"/>
                <w:sz w:val="20"/>
              </w:rPr>
            </w:r>
            <w:r>
              <w:rPr>
                <w:rFonts w:ascii="Arial" w:hAnsi="Arial"/>
                <w:b w:val="0"/>
                <w:sz w:val="20"/>
              </w:rPr>
              <w:t>sí</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widowControl/>
        <w:spacing w:line="360" w:lineRule="auto" w:after="330"/>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keepNext/>
        <w:spacing w:line="240" w:lineRule="auto" w:before="160" w:after="160"/>
        <w:jc w:val="center"/>
      </w:pPr>
      <w:r>
        <w:rPr>
          <w:sz w:val="20"/>
        </w:rPr>
        <w:t>Figura 3.3. Secuencia de interacción manual y liberación de la captura.</w:t>
      </w:r>
      <w:bookmarkEnd w:id="1050"/>
    </w:p>
    <w:p>
      <w:pPr>
        <w:spacing w:line="240" w:lineRule="auto" w:after="160"/>
        <w:jc w:val="center"/>
      </w:pPr>
      <w:r>
        <w:rPr>
          <w:rFonts w:ascii="Arial" w:hAnsi="Arial"/>
          <w:sz w:val="20"/>
        </w:rPr>
        <w:t>Fuente: elaboración propia a partir del diseño y los resultados del proyecto.</w:t>
      </w:r>
    </w:p>
    <w:p>
      <w:bookmarkStart w:id="1051" w:name="report_1051"/>
      <w:pPr>
        <w:pStyle w:val="Ttulo2"/>
      </w:pPr>
      <w:r>
        <w:t xml:space="preserve">3.12 Verificación y rendimiento del prototipo</w:t>
      </w:r>
      <w:bookmarkEnd w:id="1051"/>
    </w:p>
    <w:p>
      <w:pPr>
        <w:pStyle w:val="Normal"/>
        <w:widowControl/>
        <w:spacing w:line="360" w:lineRule="auto" w:after="330"/>
        <w:jc w:val="both"/>
      </w:pPr>
      <w:r>
        <w:t xml:space="preserve">La revisión actual se verificó mediante 34 pruebas JVM sin fallos: localización (6), geometría </w:t>
      </w:r>
      <w:r>
        <w:rPr>
          <w:i/>
        </w:rPr>
        <w:t>letterbox</w:t>
      </w:r>
      <w:r>
        <w:t xml:space="preserve">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w:t>
      </w:r>
      <w:r>
        <w:rPr>
          <w:i/>
        </w:rPr>
        <w:t>bootstrap</w:t>
      </w:r>
      <w:r>
        <w:t xml:space="preserve"> y cálculo de p-valores.</w:t>
      </w:r>
    </w:p>
    <w:p>
      <w:pPr>
        <w:pStyle w:val="Normal"/>
        <w:widowControl/>
        <w:spacing w:line="360" w:lineRule="auto" w:after="330"/>
        <w:jc w:val="both"/>
      </w:pPr>
      <w:r>
        <w:t xml:space="preserve">El </w:t>
      </w:r>
      <w:r>
        <w:rPr>
          <w:i/>
        </w:rPr>
        <w:t>benchmark</w:t>
      </w:r>
      <w:r>
        <w:t xml:space="preserve">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bookmarkStart w:id="1052" w:name="report_1052"/>
      <w:pPr>
        <w:pStyle w:val="Ttulo2"/>
      </w:pPr>
      <w:r>
        <w:t>3.13 Requerimientos y criterios de verificación</w:t>
      </w:r>
      <w:bookmarkEnd w:id="1052"/>
    </w:p>
    <w:p>
      <w:pPr>
        <w:widowControl/>
        <w:spacing w:line="360" w:lineRule="auto" w:after="330"/>
        <w:jc w:val="both"/>
      </w:pPr>
      <w:r>
        <w:t>La Tabla 3.4 explicita los requerimientos operativos que se desprenden de la propuesta y de las decisiones implementadas. Es una sistematización de la especificación actual; no representa una sesión de levantamiento de necesidades con usuarios. Se distingue la verificación técnica disponible de los criterios de aceptación que aún requieren ensayos.</w:t>
      </w:r>
    </w:p>
    <w:p>
      <w:bookmarkStart w:id="1053" w:name="report_1053"/>
      <w:pPr>
        <w:pStyle w:val="Descripcin"/>
        <w:keepNext/>
        <w:spacing w:line="240" w:lineRule="auto" w:before="160" w:after="160"/>
        <w:jc w:val="center"/>
      </w:pPr>
      <w:r>
        <w:rPr>
          <w:sz w:val="20"/>
        </w:rPr>
        <w:t>Tabla 3.4. Requerimientos operativos y evidencia de verificación.</w:t>
      </w:r>
      <w:bookmarkEnd w:id="105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952"/>
        <w:gridCol w:w="3787"/>
      </w:tblGrid>
      <w:tr>
        <w:trPr>
          <w:cantSplit/>
          <w:tblHeader/>
        </w:trPr>
        <w:tc>
          <w:tcPr>
            <w:tcW w:type="dxa" w:w="2016"/>
            <w:vAlign w:val="center"/>
            <w:shd w:fill="EEEEEE"/>
          </w:tcPr>
          <w:p>
            <w:pPr>
              <w:keepNext/>
              <w:spacing w:line="240" w:lineRule="auto" w:after="60"/>
            </w:pPr>
            <w:r>
              <w:rPr>
                <w:rFonts w:ascii="Arial" w:hAnsi="Arial"/>
                <w:b/>
                <w:sz w:val="20"/>
              </w:rPr>
              <w:t>Requerimiento</w:t>
            </w:r>
          </w:p>
        </w:tc>
        <w:tc>
          <w:tcPr>
            <w:tcW w:type="dxa" w:w="2952"/>
            <w:vAlign w:val="center"/>
            <w:shd w:fill="EEEEEE"/>
          </w:tcPr>
          <w:p>
            <w:pPr>
              <w:keepNext/>
              <w:spacing w:line="240" w:lineRule="auto" w:after="60"/>
            </w:pPr>
            <w:r>
              <w:rPr>
                <w:rFonts w:ascii="Arial" w:hAnsi="Arial"/>
                <w:b/>
                <w:sz w:val="20"/>
              </w:rPr>
              <w:t>Criterio verificable</w:t>
            </w:r>
          </w:p>
        </w:tc>
        <w:tc>
          <w:tcPr>
            <w:tcW w:type="dxa" w:w="3787"/>
            <w:vAlign w:val="center"/>
            <w:shd w:fill="EEEEEE"/>
          </w:tcPr>
          <w:p>
            <w:pPr>
              <w:keepNext/>
              <w:spacing w:line="240" w:lineRule="auto" w:after="60"/>
            </w:pPr>
            <w:r>
              <w:rPr>
                <w:rFonts w:ascii="Arial" w:hAnsi="Arial"/>
                <w:b/>
                <w:sz w:val="20"/>
              </w:rPr>
              <w:t>Evidencia y alcance</w:t>
            </w:r>
          </w:p>
        </w:tc>
      </w:tr>
      <w:tr>
        <w:trPr>
          <w:cantSplit/>
        </w:trPr>
        <w:tc>
          <w:tcPr>
            <w:tcW w:type="dxa" w:w="2016"/>
            <w:vAlign w:val="center"/>
          </w:tcPr>
          <w:p>
            <w:pPr>
              <w:keepNext/>
              <w:spacing w:line="240" w:lineRule="auto" w:after="60"/>
            </w:pPr>
            <w:r>
              <w:rPr>
                <w:rFonts w:ascii="Arial" w:hAnsi="Arial"/>
                <w:b w:val="0"/>
                <w:sz w:val="20"/>
              </w:rPr>
              <w:t>Captura bajo demanda</w:t>
            </w:r>
          </w:p>
        </w:tc>
        <w:tc>
          <w:tcPr>
            <w:tcW w:type="dxa" w:w="2952"/>
            <w:vAlign w:val="center"/>
          </w:tcPr>
          <w:p>
            <w:pPr>
              <w:keepNext/>
              <w:spacing w:line="240" w:lineRule="auto" w:after="60"/>
            </w:pPr>
            <w:r>
              <w:rPr>
                <w:rFonts w:ascii="Arial" w:hAnsi="Arial"/>
                <w:b w:val="0"/>
                <w:sz w:val="20"/>
              </w:rPr>
              <w:t>Procesar una captura y liberar la vista al terminar o fallar</w:t>
            </w:r>
          </w:p>
        </w:tc>
        <w:tc>
          <w:tcPr>
            <w:tcW w:type="dxa" w:w="3787"/>
            <w:vAlign w:val="center"/>
          </w:tcPr>
          <w:p>
            <w:pPr>
              <w:keepNext/>
              <w:spacing w:line="240" w:lineRule="auto" w:after="60"/>
            </w:pPr>
            <w:r>
              <w:rPr>
                <w:rFonts w:ascii="Arial" w:hAnsi="Arial"/>
                <w:b w:val="0"/>
                <w:sz w:val="20"/>
              </w:rPr>
              <w:t>CameraX y flujo manual, secciones 3.3 y 3.11; falta prueba de interacción con usuarios.</w:t>
            </w:r>
          </w:p>
        </w:tc>
      </w:tr>
      <w:tr>
        <w:trPr>
          <w:cantSplit/>
        </w:trPr>
        <w:tc>
          <w:tcPr>
            <w:tcW w:type="dxa" w:w="2016"/>
            <w:vAlign w:val="center"/>
          </w:tcPr>
          <w:p>
            <w:pPr>
              <w:keepNext/>
              <w:spacing w:line="240" w:lineRule="auto" w:after="60"/>
            </w:pPr>
            <w:r>
              <w:rPr>
                <w:rFonts w:ascii="Arial" w:hAnsi="Arial"/>
                <w:b w:val="0"/>
                <w:sz w:val="20"/>
              </w:rPr>
              <w:t>Detección local</w:t>
            </w:r>
          </w:p>
        </w:tc>
        <w:tc>
          <w:tcPr>
            <w:tcW w:type="dxa" w:w="2952"/>
            <w:vAlign w:val="center"/>
          </w:tcPr>
          <w:p>
            <w:pPr>
              <w:keepNext/>
              <w:spacing w:line="240" w:lineRule="auto" w:after="60"/>
            </w:pPr>
            <w:r>
              <w:rPr>
                <w:rFonts w:ascii="Arial" w:hAnsi="Arial"/>
                <w:b w:val="0"/>
                <w:sz w:val="20"/>
              </w:rPr>
              <w:t>Ejecutar el modelo seleccionado y conservar cajas, clases y puntuaciones</w:t>
            </w:r>
          </w:p>
        </w:tc>
        <w:tc>
          <w:tcPr>
            <w:tcW w:type="dxa" w:w="3787"/>
            <w:vAlign w:val="center"/>
          </w:tcPr>
          <w:p>
            <w:pPr>
              <w:keepNext/>
              <w:spacing w:line="240" w:lineRule="auto" w:after="60"/>
            </w:pPr>
            <w:r>
              <w:rPr>
                <w:rFonts w:ascii="Arial" w:hAnsi="Arial"/>
                <w:b w:val="0"/>
                <w:sz w:val="20"/>
              </w:rPr>
              <w:t>EfficientDet-Lite2 y reproducción de 198 imágenes, sección 3.5 y capítulo 4.</w:t>
            </w:r>
          </w:p>
        </w:tc>
      </w:tr>
      <w:tr>
        <w:trPr>
          <w:cantSplit/>
        </w:trPr>
        <w:tc>
          <w:tcPr>
            <w:tcW w:type="dxa" w:w="2016"/>
            <w:vAlign w:val="center"/>
          </w:tcPr>
          <w:p>
            <w:pPr>
              <w:keepNext/>
              <w:spacing w:line="240" w:lineRule="auto" w:after="60"/>
            </w:pPr>
            <w:r>
              <w:rPr>
                <w:rFonts w:ascii="Arial" w:hAnsi="Arial"/>
                <w:b w:val="0"/>
                <w:sz w:val="20"/>
              </w:rPr>
              <w:t>Ubicación relativa</w:t>
            </w:r>
          </w:p>
        </w:tc>
        <w:tc>
          <w:tcPr>
            <w:tcW w:type="dxa" w:w="2952"/>
            <w:vAlign w:val="center"/>
          </w:tcPr>
          <w:p>
            <w:pPr>
              <w:keepNext/>
              <w:spacing w:line="240" w:lineRule="auto" w:after="60"/>
            </w:pPr>
            <w:r>
              <w:rPr>
                <w:rFonts w:ascii="Arial" w:hAnsi="Arial"/>
                <w:b w:val="0"/>
                <w:sz w:val="20"/>
              </w:rPr>
              <w:t>Asignar una de seis zonas al centro de la caja</w:t>
            </w:r>
          </w:p>
        </w:tc>
        <w:tc>
          <w:tcPr>
            <w:tcW w:type="dxa" w:w="3787"/>
            <w:vAlign w:val="center"/>
          </w:tcPr>
          <w:p>
            <w:pPr>
              <w:keepNext/>
              <w:spacing w:line="240" w:lineRule="auto" w:after="60"/>
            </w:pPr>
            <w:r>
              <w:rPr>
                <w:rFonts w:ascii="Arial" w:hAnsi="Arial"/>
                <w:b w:val="0"/>
                <w:sz w:val="20"/>
              </w:rPr>
              <w:t>LocalizationModule y seis pruebas JVM; no demuestra precisión de ubicación física.</w:t>
            </w:r>
          </w:p>
        </w:tc>
      </w:tr>
      <w:tr>
        <w:trPr>
          <w:cantSplit/>
        </w:trPr>
        <w:tc>
          <w:tcPr>
            <w:tcW w:type="dxa" w:w="2016"/>
            <w:vAlign w:val="center"/>
          </w:tcPr>
          <w:p>
            <w:pPr>
              <w:keepNext/>
              <w:spacing w:line="240" w:lineRule="auto" w:after="60"/>
            </w:pPr>
            <w:r>
              <w:rPr>
                <w:rFonts w:ascii="Arial" w:hAnsi="Arial"/>
                <w:b w:val="0"/>
                <w:sz w:val="20"/>
              </w:rPr>
              <w:t>Descripción auditiva</w:t>
            </w:r>
          </w:p>
        </w:tc>
        <w:tc>
          <w:tcPr>
            <w:tcW w:type="dxa" w:w="2952"/>
            <w:vAlign w:val="center"/>
          </w:tcPr>
          <w:p>
            <w:pPr>
              <w:keepNext/>
              <w:spacing w:line="240" w:lineRule="auto" w:after="60"/>
            </w:pPr>
            <w:r>
              <w:rPr>
                <w:rFonts w:ascii="Arial" w:hAnsi="Arial"/>
                <w:b w:val="0"/>
                <w:sz w:val="20"/>
              </w:rPr>
              <w:t>Construir mensajes localizados y sintetizar voz en el dispositivo</w:t>
            </w:r>
          </w:p>
        </w:tc>
        <w:tc>
          <w:tcPr>
            <w:tcW w:type="dxa" w:w="3787"/>
            <w:vAlign w:val="center"/>
          </w:tcPr>
          <w:p>
            <w:pPr>
              <w:keepNext/>
              <w:spacing w:line="240" w:lineRule="auto" w:after="60"/>
            </w:pPr>
            <w:r>
              <w:rPr>
                <w:rFonts w:ascii="Arial" w:hAnsi="Arial"/>
                <w:b w:val="0"/>
                <w:sz w:val="20"/>
              </w:rPr>
              <w:t>SpeechFormatter, AudioModule y catálogo de voces; claridad auditiva no evaluada.</w:t>
            </w:r>
          </w:p>
        </w:tc>
      </w:tr>
      <w:tr>
        <w:trPr>
          <w:cantSplit/>
        </w:trPr>
        <w:tc>
          <w:tcPr>
            <w:tcW w:type="dxa" w:w="2016"/>
            <w:vAlign w:val="center"/>
          </w:tcPr>
          <w:p>
            <w:pPr>
              <w:keepNext/>
              <w:spacing w:line="240" w:lineRule="auto" w:after="60"/>
            </w:pPr>
            <w:r>
              <w:rPr>
                <w:rFonts w:ascii="Arial" w:hAnsi="Arial"/>
                <w:b w:val="0"/>
                <w:sz w:val="20"/>
              </w:rPr>
              <w:t>Salida configurable</w:t>
            </w:r>
          </w:p>
        </w:tc>
        <w:tc>
          <w:tcPr>
            <w:tcW w:type="dxa" w:w="2952"/>
            <w:vAlign w:val="center"/>
          </w:tcPr>
          <w:p>
            <w:pPr>
              <w:keepNext/>
              <w:spacing w:line="240" w:lineRule="auto" w:after="60"/>
            </w:pPr>
            <w:r>
              <w:rPr>
                <w:rFonts w:ascii="Arial" w:hAnsi="Arial"/>
                <w:b w:val="0"/>
                <w:sz w:val="20"/>
              </w:rPr>
              <w:t>Aplicar confianza y máximo de objetos elegidos</w:t>
            </w:r>
          </w:p>
        </w:tc>
        <w:tc>
          <w:tcPr>
            <w:tcW w:type="dxa" w:w="3787"/>
            <w:vAlign w:val="center"/>
          </w:tcPr>
          <w:p>
            <w:pPr>
              <w:keepNext/>
              <w:spacing w:line="240" w:lineRule="auto" w:after="60"/>
            </w:pPr>
            <w:r>
              <w:rPr>
                <w:rFonts w:ascii="Arial" w:hAnsi="Arial"/>
                <w:b w:val="0"/>
                <w:sz w:val="20"/>
              </w:rPr>
              <w:t>Lista de uno a tres objetos, dos por defecto; análisis de selección en sección 4.5.</w:t>
            </w:r>
          </w:p>
        </w:tc>
      </w:tr>
      <w:tr>
        <w:trPr>
          <w:cantSplit/>
        </w:trPr>
        <w:tc>
          <w:tcPr>
            <w:tcW w:type="dxa" w:w="2016"/>
            <w:vAlign w:val="center"/>
          </w:tcPr>
          <w:p>
            <w:pPr>
              <w:keepNext w:val="0"/>
              <w:spacing w:line="240" w:lineRule="auto" w:after="60"/>
            </w:pPr>
            <w:r>
              <w:rPr>
                <w:rFonts w:ascii="Arial" w:hAnsi="Arial"/>
                <w:b w:val="0"/>
                <w:sz w:val="20"/>
              </w:rPr>
              <w:t>Rendimiento y montaje</w:t>
            </w:r>
          </w:p>
        </w:tc>
        <w:tc>
          <w:tcPr>
            <w:tcW w:type="dxa" w:w="2952"/>
            <w:vAlign w:val="center"/>
          </w:tcPr>
          <w:p>
            <w:pPr>
              <w:keepNext w:val="0"/>
              <w:spacing w:line="240" w:lineRule="auto" w:after="60"/>
            </w:pPr>
            <w:r>
              <w:rPr>
                <w:rFonts w:ascii="Arial" w:hAnsi="Arial"/>
                <w:b w:val="0"/>
                <w:sz w:val="20"/>
              </w:rPr>
              <w:t>Medir tiempos con alcance explícito y comparar seis configuraciones</w:t>
            </w:r>
          </w:p>
        </w:tc>
        <w:tc>
          <w:tcPr>
            <w:tcW w:type="dxa" w:w="3787"/>
            <w:vAlign w:val="center"/>
          </w:tcPr>
          <w:p>
            <w:pPr>
              <w:keepNext w:val="0"/>
              <w:spacing w:line="240" w:lineRule="auto" w:after="60"/>
            </w:pPr>
            <w:r>
              <w:rPr>
                <w:rFonts w:ascii="Arial" w:hAnsi="Arial"/>
                <w:b w:val="0"/>
                <w:sz w:val="20"/>
              </w:rPr>
              <w:t>Capítulos 2 y 4; faltan latencia completa, ergonomía y estabilidad en uso.</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objetivos no establecieron un umbral numérico de aceptación para claridad auditiva o tiempo total de respuesta. No se introduce uno después de observar los resultados. El siguiente ensayo debe fijar el umbral, el dispositivo, las condiciones de captura y el protocolo de usuarios antes de evaluar el cumplimiento.</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4" w:name="report_1054"/>
      <w:pPr>
        <w:pStyle w:val="Ttulo1"/>
      </w:pPr>
      <w:bookmarkStart w:id="73" w:name="_Ref256694028"/>
      <w:bookmarkStart w:id="74" w:name="_Toc492993338"/>
      <w:r>
        <w:t>4. Evaluación del prototipo en escenarios controlados</w:t>
      </w:r>
      <w:bookmarkEnd w:id="73"/>
      <w:bookmarkEnd w:id="74"/>
      <w:bookmarkEnd w:id="1054"/>
    </w:p>
    <w:p>
      <w:bookmarkStart w:id="1055" w:name="report_1055"/>
      <w:pPr>
        <w:pStyle w:val="Ttulo2"/>
      </w:pPr>
      <w:r>
        <w:t>4.1 Diseño experimental</w:t>
      </w:r>
      <w:bookmarkEnd w:id="1055"/>
    </w:p>
    <w:p>
      <w:pPr>
        <w:widowControl/>
        <w:spacing w:line="360" w:lineRule="auto" w:after="330"/>
        <w:jc w:val="both"/>
      </w:pPr>
      <w:r>
        <w:t xml:space="preserve">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w:t>
      </w:r>
      <w:r>
        <w:rPr>
          <w:i/>
        </w:rPr>
        <w:t>recall</w:t>
      </w:r>
      <w:r>
        <w:t xml:space="preserve">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widowControl/>
        <w:spacing w:line="360" w:lineRule="auto" w:after="330"/>
        <w:jc w:val="both"/>
      </w:pPr>
      <w:r>
        <w:t xml:space="preserve">El escenario 1 manipula la posición de montaje del dispositivo con tres niveles: arnés de cabeza, arnés de pecho y soporte Gorillapod. En este último se orientó libremente la cámara hacia los objetos de interés; la altura y la inclinación no se midieron.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recall por banda.</w:t>
      </w:r>
      <w:r>
        <w:rPr>
          <w:i/>
        </w:rPr>
        <w:t/>
      </w:r>
      <w:r>
        <w:t xml:space="preserve"/>
      </w:r>
    </w:p>
    <w:p>
      <w:pPr>
        <w:pStyle w:val="Ttulo3"/>
      </w:pPr>
      <w:r>
        <w:t>Unidades experimentales y variables</w:t>
      </w:r>
    </w:p>
    <w:p>
      <w:pPr>
        <w:widowControl/>
        <w:spacing w:line="360" w:lineRule="auto" w:after="330"/>
        <w:jc w:val="both"/>
      </w:pPr>
      <w:r>
        <w:t xml:space="preserve">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w:t>
      </w:r>
      <w:r>
        <w:rPr>
          <w:i/>
        </w:rPr>
        <w:t>recall</w:t>
      </w:r>
      <w:r>
        <w:t>,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widowControl/>
        <w:spacing w:line="360" w:lineRule="auto" w:after="330"/>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widowControl/>
        <w:spacing w:line="360" w:lineRule="auto" w:after="330"/>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widowControl/>
        <w:spacing w:line="360" w:lineRule="auto" w:after="330"/>
        <w:jc w:val="both"/>
      </w:pPr>
      <w:r>
        <w:t xml:space="preserve">Sobre los mismos datos de predicción se aplican dos comparaciones complementarias: una prueba t de Student pareada por escena (33 pares, gl = 32) </w:t>
      </w:r>
      <w:hyperlink w:anchor="bib_ref_42" w:history="1">
        <w:r>
          <w:t xml:space="preserve">[42]</w:t>
        </w:r>
      </w:hyperlink>
      <w:r>
        <w:t xml:space="preserve"> sobre el número de objetos detectados correctamente por escena, y un </w:t>
      </w:r>
      <w:r>
        <w:rPr>
          <w:i/>
        </w:rPr>
        <w:t>bootstrap</w:t>
      </w:r>
      <w:r>
        <w:t xml:space="preserve"> pareado de 10 000 remuestreos por grupo de captura (semilla 20261013) sobre razones como F1 y </w:t>
      </w:r>
      <w:r>
        <w:rPr>
          <w:i/>
        </w:rPr>
        <w:t>recall</w:t>
      </w:r>
      <w:r>
        <w:t xml:space="preserve"> por banda, remuestreando grupos completos para preservar el emparejamiento </w:t>
      </w:r>
      <w:hyperlink w:anchor="bib_ref_43" w:history="1">
        <w:r>
          <w:t xml:space="preserve">[43]</w:t>
        </w:r>
      </w:hyperlink>
      <w:r>
        <w:t xml:space="preserve">, </w:t>
      </w:r>
      <w:hyperlink w:anchor="bib_ref_44" w:history="1">
        <w:r>
          <w:t xml:space="preserve">[44]</w:t>
        </w:r>
      </w:hyperlink>
      <w:r>
        <w:t xml:space="preserve">. Todas las comparaciones son exploratorias, sin corrección por comparaciones múltiples; los supuestos y sus limitaciones se enumeran en la sección 4.6.</w:t>
      </w:r>
    </w:p>
    <w:p>
      <w:bookmarkStart w:id="1056" w:name="report_1056"/>
      <w:pPr>
        <w:pStyle w:val="Descripcin"/>
        <w:keepNext/>
        <w:spacing w:line="240" w:lineRule="auto" w:before="160" w:after="160"/>
        <w:jc w:val="center"/>
      </w:pPr>
      <w:r>
        <w:rPr>
          <w:sz w:val="20"/>
        </w:rPr>
        <w:t>Tabla 4.1. Diseño y unidades de análisis.</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20"/>
              </w:rPr>
              <w:t>Escenario</w:t>
            </w:r>
          </w:p>
        </w:tc>
        <w:tc>
          <w:tcPr>
            <w:tcW w:type="dxa" w:w="2222"/>
            <w:vAlign w:val="center"/>
            <w:shd w:fill="EEEEEE"/>
          </w:tcPr>
          <w:p>
            <w:pPr>
              <w:keepNext/>
              <w:spacing w:after="60" w:line="240" w:lineRule="auto"/>
              <w:jc w:val="center"/>
            </w:pPr>
            <w:r>
              <w:rPr>
                <w:rFonts w:ascii="Arial" w:hAnsi="Arial"/>
                <w:b/>
                <w:color w:val="000000"/>
                <w:sz w:val="20"/>
              </w:rPr>
              <w:t>Factor manipulado</w:t>
            </w:r>
          </w:p>
        </w:tc>
        <w:tc>
          <w:tcPr>
            <w:tcW w:type="dxa" w:w="2222"/>
            <w:vAlign w:val="center"/>
            <w:shd w:fill="EEEEEE"/>
          </w:tcPr>
          <w:p>
            <w:pPr>
              <w:keepNext/>
              <w:spacing w:after="60" w:line="240" w:lineRule="auto"/>
              <w:jc w:val="center"/>
            </w:pPr>
            <w:r>
              <w:rPr>
                <w:rFonts w:ascii="Arial" w:hAnsi="Arial"/>
                <w:b/>
                <w:color w:val="000000"/>
                <w:sz w:val="20"/>
              </w:rPr>
              <w:t>Datos</w:t>
            </w:r>
          </w:p>
        </w:tc>
        <w:tc>
          <w:tcPr>
            <w:tcW w:type="dxa" w:w="2222"/>
            <w:vAlign w:val="center"/>
            <w:shd w:fill="EEEEEE"/>
          </w:tcPr>
          <w:p>
            <w:pPr>
              <w:keepNext/>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keepNext/>
              <w:spacing w:after="60" w:line="240" w:lineRule="auto"/>
              <w:jc w:val="center"/>
            </w:pPr>
            <w:r>
              <w:rPr>
                <w:rFonts w:ascii="Arial" w:hAnsi="Arial"/>
                <w:b w:val="0"/>
                <w:color w:val="000000"/>
                <w:sz w:val="20"/>
              </w:rPr>
              <w:t>4.2 Posiciones del arnés</w:t>
            </w:r>
          </w:p>
        </w:tc>
        <w:tc>
          <w:tcPr>
            <w:tcW w:type="dxa" w:w="2222"/>
            <w:vAlign w:val="center"/>
          </w:tcPr>
          <w:p>
            <w:pPr>
              <w:keepNext/>
              <w:spacing w:after="60" w:line="240" w:lineRule="auto"/>
              <w:jc w:val="center"/>
            </w:pPr>
            <w:r>
              <w:rPr>
                <w:rFonts w:ascii="Arial" w:hAnsi="Arial"/>
                <w:b w:val="0"/>
                <w:color w:val="000000"/>
                <w:sz w:val="20"/>
              </w:rPr>
              <w:t>Posición de montaje (3 niveles, lentes agrupadas)</w:t>
            </w:r>
          </w:p>
        </w:tc>
        <w:tc>
          <w:tcPr>
            <w:tcW w:type="dxa" w:w="2222"/>
            <w:vAlign w:val="center"/>
          </w:tcPr>
          <w:p>
            <w:pPr>
              <w:keepNext/>
              <w:spacing w:after="60" w:line="240" w:lineRule="auto"/>
              <w:jc w:val="center"/>
            </w:pPr>
            <w:r>
              <w:rPr>
                <w:rFonts w:ascii="Arial" w:hAnsi="Arial"/>
                <w:b w:val="0"/>
                <w:color w:val="000000"/>
                <w:sz w:val="20"/>
              </w:rPr>
              <w:t>66 fotos por posición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spacing w:after="60" w:line="240" w:lineRule="auto"/>
              <w:jc w:val="center"/>
            </w:pPr>
            <w:r>
              <w:rPr>
                <w:rFonts w:ascii="Arial" w:hAnsi="Arial"/>
                <w:b w:val="0"/>
                <w:color w:val="000000"/>
                <w:sz w:val="20"/>
              </w:rPr>
              <w:t>4.3 Arnés y lente</w:t>
            </w:r>
          </w:p>
        </w:tc>
        <w:tc>
          <w:tcPr>
            <w:tcW w:type="dxa" w:w="2222"/>
            <w:vAlign w:val="center"/>
          </w:tcPr>
          <w:p>
            <w:pPr>
              <w:keepNext/>
              <w:spacing w:after="60" w:line="240" w:lineRule="auto"/>
              <w:jc w:val="center"/>
            </w:pPr>
            <w:r>
              <w:rPr>
                <w:rFonts w:ascii="Arial" w:hAnsi="Arial"/>
                <w:b w:val="0"/>
                <w:color w:val="000000"/>
                <w:sz w:val="20"/>
              </w:rPr>
              <w:t>Posición × lente (6 combinaciones)</w:t>
            </w:r>
          </w:p>
        </w:tc>
        <w:tc>
          <w:tcPr>
            <w:tcW w:type="dxa" w:w="2222"/>
            <w:vAlign w:val="center"/>
          </w:tcPr>
          <w:p>
            <w:pPr>
              <w:keepNext/>
              <w:spacing w:after="60" w:line="240" w:lineRule="auto"/>
              <w:jc w:val="center"/>
            </w:pPr>
            <w:r>
              <w:rPr>
                <w:rFonts w:ascii="Arial" w:hAnsi="Arial"/>
                <w:b w:val="0"/>
                <w:color w:val="000000"/>
                <w:sz w:val="20"/>
              </w:rPr>
              <w:t>33 fotos por combinación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val="0"/>
              <w:spacing w:after="60" w:line="240" w:lineRule="auto"/>
              <w:jc w:val="center"/>
            </w:pPr>
            <w:r>
              <w:rPr>
                <w:rFonts w:ascii="Arial" w:hAnsi="Arial"/>
                <w:b w:val="0"/>
                <w:color w:val="000000"/>
                <w:sz w:val="20"/>
              </w:rPr>
              <w:t>4.4 Profundidad de detección</w:t>
            </w:r>
          </w:p>
        </w:tc>
        <w:tc>
          <w:tcPr>
            <w:tcW w:type="dxa" w:w="2222"/>
            <w:vAlign w:val="center"/>
          </w:tcPr>
          <w:p>
            <w:pPr>
              <w:keepNext w:val="0"/>
              <w:spacing w:after="60" w:line="240" w:lineRule="auto"/>
              <w:jc w:val="center"/>
            </w:pPr>
            <w:r>
              <w:rPr>
                <w:rFonts w:ascii="Arial" w:hAnsi="Arial"/>
                <w:b w:val="0"/>
                <w:color w:val="000000"/>
                <w:sz w:val="20"/>
              </w:rPr>
              <w:t>Distancia objeto-cámara (estimada, 6 bandas)</w:t>
            </w:r>
          </w:p>
        </w:tc>
        <w:tc>
          <w:tcPr>
            <w:tcW w:type="dxa" w:w="2222"/>
            <w:vAlign w:val="center"/>
          </w:tcPr>
          <w:p>
            <w:pPr>
              <w:keepNext w:val="0"/>
              <w:spacing w:after="60" w:line="240" w:lineRule="auto"/>
              <w:jc w:val="center"/>
            </w:pPr>
            <w:r>
              <w:rPr>
                <w:rFonts w:ascii="Arial" w:hAnsi="Arial"/>
                <w:b w:val="0"/>
                <w:color w:val="000000"/>
                <w:sz w:val="20"/>
              </w:rPr>
              <w:t>889 instancias en 198 fotos</w:t>
            </w:r>
          </w:p>
        </w:tc>
        <w:tc>
          <w:tcPr>
            <w:tcW w:type="dxa" w:w="2222"/>
            <w:vAlign w:val="center"/>
          </w:tcPr>
          <w:p>
            <w:pPr>
              <w:keepNext w:val="0"/>
              <w:spacing w:after="60" w:line="240" w:lineRule="auto"/>
              <w:jc w:val="center"/>
            </w:pPr>
            <w:r>
              <w:rPr>
                <w:rFonts w:ascii="Arial" w:hAnsi="Arial"/>
                <w:b w:val="0"/>
                <w:color w:val="000000"/>
                <w:sz w:val="20"/>
              </w:rPr>
              <w:t>Recall por banda con IC bootstrap</w:t>
            </w:r>
          </w:p>
        </w:tc>
      </w:tr>
    </w:tbl>
    <w:p>
      <w:pPr>
        <w:spacing w:line="240" w:lineRule="auto" w:after="160"/>
        <w:jc w:val="center"/>
      </w:pPr>
      <w:r>
        <w:rPr>
          <w:rFonts w:ascii="Arial" w:hAnsi="Arial"/>
          <w:sz w:val="20"/>
        </w:rPr>
        <w:t>Fuente: elaboración propia con datos y especificaciones del proyecto.</w:t>
      </w:r>
    </w:p>
    <w:p>
      <w:bookmarkStart w:id="1057" w:name="report_1057"/>
      <w:pPr>
        <w:pStyle w:val="Ttulo2"/>
      </w:pPr>
      <w:r>
        <w:t>4.2 Escenario 1: posiciones del arnés</w:t>
      </w:r>
      <w:bookmarkEnd w:id="1057"/>
    </w:p>
    <w:p>
      <w:pPr>
        <w:widowControl/>
        <w:spacing w:line="360" w:lineRule="auto" w:after="330"/>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8" w:name="report_1058"/>
      <w:pPr>
        <w:pStyle w:val="Descripcin"/>
        <w:keepNext/>
        <w:spacing w:line="240" w:lineRule="auto" w:before="160" w:after="160"/>
        <w:jc w:val="center"/>
      </w:pPr>
      <w:r>
        <w:rPr>
          <w:sz w:val="20"/>
        </w:rPr>
        <w:t>Tabla 4.2. Resultados agrupados por montaje.</w:t>
      </w:r>
      <w:bookmarkEnd w:id="105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Precisión</w:t>
            </w:r>
          </w:p>
        </w:tc>
        <w:tc>
          <w:tcPr>
            <w:tcW w:type="dxa" w:w="1111"/>
            <w:vAlign w:val="center"/>
            <w:shd w:fill="EEEEEE"/>
          </w:tcPr>
          <w:p>
            <w:pPr>
              <w:keepNext/>
              <w:spacing w:after="60" w:line="240" w:lineRule="auto"/>
              <w:jc w:val="center"/>
            </w:pPr>
            <w:r>
              <w:rPr>
                <w:rFonts w:ascii="Arial" w:hAnsi="Arial"/>
                <w:b/>
                <w:color w:val="000000"/>
                <w:sz w:val="18"/>
              </w:rPr>
              <w:t>Recall</w:t>
            </w:r>
          </w:p>
        </w:tc>
        <w:tc>
          <w:tcPr>
            <w:tcW w:type="dxa" w:w="1111"/>
            <w:vAlign w:val="center"/>
            <w:shd w:fill="EEEEEE"/>
          </w:tcPr>
          <w:p>
            <w:pPr>
              <w:keepNext/>
              <w:spacing w:after="60" w:line="240" w:lineRule="auto"/>
              <w:jc w:val="center"/>
            </w:pPr>
            <w:r>
              <w:rPr>
                <w:rFonts w:ascii="Arial" w:hAnsi="Arial"/>
                <w:b/>
                <w:color w:val="000000"/>
                <w:sz w:val="18"/>
              </w:rPr>
              <w:t>F1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111"/>
            <w:vAlign w:val="center"/>
          </w:tcPr>
          <w:p>
            <w:pPr>
              <w:keepNext/>
              <w:spacing w:after="60" w:line="240" w:lineRule="auto"/>
              <w:jc w:val="center"/>
            </w:pPr>
            <w:r>
              <w:rPr>
                <w:rFonts w:ascii="Arial" w:hAnsi="Arial"/>
                <w:b w:val="0"/>
                <w:color w:val="000000"/>
                <w:sz w:val="18"/>
              </w:rPr>
              <w:t>293</w:t>
            </w:r>
          </w:p>
        </w:tc>
        <w:tc>
          <w:tcPr>
            <w:tcW w:type="dxa" w:w="1111"/>
            <w:vAlign w:val="center"/>
          </w:tcPr>
          <w:p>
            <w:pPr>
              <w:keepNext/>
              <w:spacing w:after="60" w:line="240" w:lineRule="auto"/>
              <w:jc w:val="center"/>
            </w:pPr>
            <w:r>
              <w:rPr>
                <w:rFonts w:ascii="Arial" w:hAnsi="Arial"/>
                <w:b w:val="0"/>
                <w:color w:val="000000"/>
                <w:sz w:val="18"/>
              </w:rPr>
              <w:t>126</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69,2%</w:t>
            </w:r>
          </w:p>
        </w:tc>
        <w:tc>
          <w:tcPr>
            <w:tcW w:type="dxa" w:w="1111"/>
            <w:vAlign w:val="center"/>
          </w:tcPr>
          <w:p>
            <w:pPr>
              <w:keepNext/>
              <w:spacing w:after="60" w:line="240" w:lineRule="auto"/>
              <w:jc w:val="center"/>
            </w:pPr>
            <w:r>
              <w:rPr>
                <w:rFonts w:ascii="Arial" w:hAnsi="Arial"/>
                <w:b w:val="0"/>
                <w:color w:val="000000"/>
                <w:sz w:val="18"/>
              </w:rPr>
              <w:t>43,0%</w:t>
            </w:r>
          </w:p>
        </w:tc>
        <w:tc>
          <w:tcPr>
            <w:tcW w:type="dxa" w:w="1111"/>
            <w:vAlign w:val="center"/>
          </w:tcPr>
          <w:p>
            <w:pPr>
              <w:keepNext/>
              <w:spacing w:after="60" w:line="240" w:lineRule="auto"/>
              <w:jc w:val="center"/>
            </w:pPr>
            <w:r>
              <w:rPr>
                <w:rFonts w:ascii="Arial" w:hAnsi="Arial"/>
                <w:b w:val="0"/>
                <w:color w:val="000000"/>
                <w:sz w:val="18"/>
              </w:rPr>
              <w:t>53,1%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w:t>
            </w:r>
          </w:p>
        </w:tc>
        <w:tc>
          <w:tcPr>
            <w:tcW w:type="dxa" w:w="1111"/>
            <w:vAlign w:val="center"/>
          </w:tcPr>
          <w:p>
            <w:pPr>
              <w:keepNext/>
              <w:spacing w:after="60" w:line="240" w:lineRule="auto"/>
              <w:jc w:val="center"/>
            </w:pPr>
            <w:r>
              <w:rPr>
                <w:rFonts w:ascii="Arial" w:hAnsi="Arial"/>
                <w:b w:val="0"/>
                <w:color w:val="000000"/>
                <w:sz w:val="18"/>
              </w:rPr>
              <w:t>277</w:t>
            </w:r>
          </w:p>
        </w:tc>
        <w:tc>
          <w:tcPr>
            <w:tcW w:type="dxa" w:w="1111"/>
            <w:vAlign w:val="center"/>
          </w:tcPr>
          <w:p>
            <w:pPr>
              <w:keepNext/>
              <w:spacing w:after="60" w:line="240" w:lineRule="auto"/>
              <w:jc w:val="center"/>
            </w:pPr>
            <w:r>
              <w:rPr>
                <w:rFonts w:ascii="Arial" w:hAnsi="Arial"/>
                <w:b w:val="0"/>
                <w:color w:val="000000"/>
                <w:sz w:val="18"/>
              </w:rPr>
              <w:t>142</w:t>
            </w:r>
          </w:p>
        </w:tc>
        <w:tc>
          <w:tcPr>
            <w:tcW w:type="dxa" w:w="1111"/>
            <w:vAlign w:val="center"/>
          </w:tcPr>
          <w:p>
            <w:pPr>
              <w:keepNext/>
              <w:spacing w:after="60" w:line="240" w:lineRule="auto"/>
              <w:jc w:val="center"/>
            </w:pPr>
            <w:r>
              <w:rPr>
                <w:rFonts w:ascii="Arial" w:hAnsi="Arial"/>
                <w:b w:val="0"/>
                <w:color w:val="000000"/>
                <w:sz w:val="18"/>
              </w:rPr>
              <w:t>53</w:t>
            </w:r>
          </w:p>
        </w:tc>
        <w:tc>
          <w:tcPr>
            <w:tcW w:type="dxa" w:w="1111"/>
            <w:vAlign w:val="center"/>
          </w:tcPr>
          <w:p>
            <w:pPr>
              <w:keepNext/>
              <w:spacing w:after="60" w:line="240" w:lineRule="auto"/>
              <w:jc w:val="center"/>
            </w:pPr>
            <w:r>
              <w:rPr>
                <w:rFonts w:ascii="Arial" w:hAnsi="Arial"/>
                <w:b w:val="0"/>
                <w:color w:val="000000"/>
                <w:sz w:val="18"/>
              </w:rPr>
              <w:t>72,8%</w:t>
            </w:r>
          </w:p>
        </w:tc>
        <w:tc>
          <w:tcPr>
            <w:tcW w:type="dxa" w:w="1111"/>
            <w:vAlign w:val="center"/>
          </w:tcPr>
          <w:p>
            <w:pPr>
              <w:keepNext/>
              <w:spacing w:after="60" w:line="240" w:lineRule="auto"/>
              <w:jc w:val="center"/>
            </w:pPr>
            <w:r>
              <w:rPr>
                <w:rFonts w:ascii="Arial" w:hAnsi="Arial"/>
                <w:b w:val="0"/>
                <w:color w:val="000000"/>
                <w:sz w:val="18"/>
              </w:rPr>
              <w:t>51,3%</w:t>
            </w:r>
          </w:p>
        </w:tc>
        <w:tc>
          <w:tcPr>
            <w:tcW w:type="dxa" w:w="1111"/>
            <w:vAlign w:val="center"/>
          </w:tcPr>
          <w:p>
            <w:pPr>
              <w:keepNext/>
              <w:spacing w:after="60" w:line="240" w:lineRule="auto"/>
              <w:jc w:val="center"/>
            </w:pPr>
            <w:r>
              <w:rPr>
                <w:rFonts w:ascii="Arial" w:hAnsi="Arial"/>
                <w:b w:val="0"/>
                <w:color w:val="000000"/>
                <w:sz w:val="18"/>
              </w:rPr>
              <w:t>60,2%</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w:t>
            </w:r>
          </w:p>
        </w:tc>
        <w:tc>
          <w:tcPr>
            <w:tcW w:type="dxa" w:w="1111"/>
            <w:vAlign w:val="center"/>
          </w:tcPr>
          <w:p>
            <w:pPr>
              <w:keepNext w:val="0"/>
              <w:spacing w:after="60" w:line="240" w:lineRule="auto"/>
              <w:jc w:val="center"/>
            </w:pPr>
            <w:r>
              <w:rPr>
                <w:rFonts w:ascii="Arial" w:hAnsi="Arial"/>
                <w:b w:val="0"/>
                <w:color w:val="000000"/>
                <w:sz w:val="18"/>
              </w:rPr>
              <w:t>319</w:t>
            </w:r>
          </w:p>
        </w:tc>
        <w:tc>
          <w:tcPr>
            <w:tcW w:type="dxa" w:w="1111"/>
            <w:vAlign w:val="center"/>
          </w:tcPr>
          <w:p>
            <w:pPr>
              <w:keepNext w:val="0"/>
              <w:spacing w:after="60" w:line="240" w:lineRule="auto"/>
              <w:jc w:val="center"/>
            </w:pPr>
            <w:r>
              <w:rPr>
                <w:rFonts w:ascii="Arial" w:hAnsi="Arial"/>
                <w:b w:val="0"/>
                <w:color w:val="000000"/>
                <w:sz w:val="18"/>
              </w:rPr>
              <w:t>157</w:t>
            </w:r>
          </w:p>
        </w:tc>
        <w:tc>
          <w:tcPr>
            <w:tcW w:type="dxa" w:w="1111"/>
            <w:vAlign w:val="center"/>
          </w:tcPr>
          <w:p>
            <w:pPr>
              <w:keepNext w:val="0"/>
              <w:spacing w:after="60" w:line="240" w:lineRule="auto"/>
              <w:jc w:val="center"/>
            </w:pPr>
            <w:r>
              <w:rPr>
                <w:rFonts w:ascii="Arial" w:hAnsi="Arial"/>
                <w:b w:val="0"/>
                <w:color w:val="000000"/>
                <w:sz w:val="18"/>
              </w:rPr>
              <w:t>60</w:t>
            </w:r>
          </w:p>
        </w:tc>
        <w:tc>
          <w:tcPr>
            <w:tcW w:type="dxa" w:w="1111"/>
            <w:vAlign w:val="center"/>
          </w:tcPr>
          <w:p>
            <w:pPr>
              <w:keepNext w:val="0"/>
              <w:spacing w:after="60" w:line="240" w:lineRule="auto"/>
              <w:jc w:val="center"/>
            </w:pPr>
            <w:r>
              <w:rPr>
                <w:rFonts w:ascii="Arial" w:hAnsi="Arial"/>
                <w:b w:val="0"/>
                <w:color w:val="000000"/>
                <w:sz w:val="18"/>
              </w:rPr>
              <w:t>72,4%</w:t>
            </w:r>
          </w:p>
        </w:tc>
        <w:tc>
          <w:tcPr>
            <w:tcW w:type="dxa" w:w="1111"/>
            <w:vAlign w:val="center"/>
          </w:tcPr>
          <w:p>
            <w:pPr>
              <w:keepNext w:val="0"/>
              <w:spacing w:after="60" w:line="240" w:lineRule="auto"/>
              <w:jc w:val="center"/>
            </w:pPr>
            <w:r>
              <w:rPr>
                <w:rFonts w:ascii="Arial" w:hAnsi="Arial"/>
                <w:b w:val="0"/>
                <w:color w:val="000000"/>
                <w:sz w:val="18"/>
              </w:rPr>
              <w:t>49,2%</w:t>
            </w:r>
          </w:p>
        </w:tc>
        <w:tc>
          <w:tcPr>
            <w:tcW w:type="dxa" w:w="1111"/>
            <w:vAlign w:val="center"/>
          </w:tcPr>
          <w:p>
            <w:pPr>
              <w:keepNext w:val="0"/>
              <w:spacing w:after="60" w:line="240" w:lineRule="auto"/>
              <w:jc w:val="center"/>
            </w:pPr>
            <w:r>
              <w:rPr>
                <w:rFonts w:ascii="Arial" w:hAnsi="Arial"/>
                <w:b w:val="0"/>
                <w:color w:val="000000"/>
                <w:sz w:val="18"/>
              </w:rPr>
              <w:t>58,6%</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widowControl/>
        <w:spacing w:line="360" w:lineRule="auto" w:after="330"/>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widowControl/>
        <w:spacing w:line="360" w:lineRule="auto" w:after="330"/>
        <w:jc w:val="both"/>
      </w:pPr>
      <w:r>
        <w:t xml:space="preserve">La prueba t pareada por escena (lentes agrupadas) contrasta las posiciones dentro de cada grupo de captura; con gl = 32 el valor crítico a dos colas es t = 2,04 (α = 0,05) </w:t>
      </w:r>
      <w:hyperlink w:anchor="bib_ref_42" w:history="1">
        <w:r>
          <w:t xml:space="preserve">[42]</w:t>
        </w:r>
      </w:hyperlink>
      <w:r>
        <w:t xml:space="preserve">.</w:t>
      </w:r>
    </w:p>
    <w:p>
      <w:bookmarkStart w:id="1059" w:name="report_1059"/>
      <w:pPr>
        <w:pStyle w:val="Descripcin"/>
        <w:keepNext/>
        <w:spacing w:line="240" w:lineRule="auto" w:before="160" w:after="160"/>
        <w:jc w:val="center"/>
      </w:pPr>
      <w:r>
        <w:rPr>
          <w:sz w:val="20"/>
        </w:rPr>
        <w:t>Tabla 4.3. Pruebas t pareadas por montaje.</w:t>
      </w:r>
      <w:bookmarkEnd w:id="105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 A</w:t>
            </w:r>
          </w:p>
        </w:tc>
        <w:tc>
          <w:tcPr>
            <w:tcW w:type="dxa" w:w="1333"/>
            <w:vAlign w:val="center"/>
            <w:shd w:fill="EEEEEE"/>
          </w:tcPr>
          <w:p>
            <w:pPr>
              <w:keepNext/>
              <w:spacing w:after="60" w:line="240" w:lineRule="auto"/>
              <w:jc w:val="center"/>
            </w:pPr>
            <w:r>
              <w:rPr>
                <w:rFonts w:ascii="Arial" w:hAnsi="Arial"/>
                <w:b/>
                <w:color w:val="000000"/>
                <w:sz w:val="18"/>
              </w:rPr>
              <w:t>Posición B</w:t>
            </w:r>
          </w:p>
        </w:tc>
        <w:tc>
          <w:tcPr>
            <w:tcW w:type="dxa" w:w="1333"/>
            <w:vAlign w:val="center"/>
            <w:shd w:fill="EEEEEE"/>
          </w:tcPr>
          <w:p>
            <w:pPr>
              <w:keepNext/>
              <w:spacing w:after="60" w:line="240" w:lineRule="auto"/>
              <w:jc w:val="center"/>
            </w:pPr>
            <w:r>
              <w:rPr>
                <w:rFonts w:ascii="Arial" w:hAnsi="Arial"/>
                <w:b/>
                <w:color w:val="000000"/>
                <w:sz w:val="18"/>
              </w:rPr>
              <w:t>Diferencia media (A−B) objetos/escena</w:t>
            </w:r>
          </w:p>
        </w:tc>
        <w:tc>
          <w:tcPr>
            <w:tcW w:type="dxa" w:w="1333"/>
            <w:vAlign w:val="center"/>
            <w:shd w:fill="EEEEEE"/>
          </w:tcPr>
          <w:p>
            <w:pPr>
              <w:keepNext/>
              <w:spacing w:after="60" w:line="240" w:lineRule="auto"/>
              <w:jc w:val="center"/>
            </w:pPr>
            <w:r>
              <w:rPr>
                <w:rFonts w:ascii="Arial" w:hAnsi="Arial"/>
                <w:b/>
                <w:color w:val="000000"/>
                <w:sz w:val="18"/>
              </w:rPr>
              <w:t>t</w:t>
            </w:r>
          </w:p>
        </w:tc>
        <w:tc>
          <w:tcPr>
            <w:tcW w:type="dxa" w:w="1333"/>
            <w:vAlign w:val="center"/>
            <w:shd w:fill="EEEEEE"/>
          </w:tcPr>
          <w:p>
            <w:pPr>
              <w:keepNext/>
              <w:spacing w:after="60" w:line="240" w:lineRule="auto"/>
              <w:jc w:val="center"/>
            </w:pPr>
            <w:r>
              <w:rPr>
                <w:rFonts w:ascii="Arial" w:hAnsi="Arial"/>
                <w:b/>
                <w:color w:val="000000"/>
                <w:sz w:val="18"/>
              </w:rPr>
              <w:t>gl</w:t>
            </w:r>
          </w:p>
        </w:tc>
        <w:tc>
          <w:tcPr>
            <w:tcW w:type="dxa" w:w="1333"/>
            <w:vAlign w:val="center"/>
            <w:shd w:fill="EEEEEE"/>
          </w:tcPr>
          <w:p>
            <w:pPr>
              <w:keepNext/>
              <w:spacing w:after="60" w:line="240" w:lineRule="auto"/>
              <w:jc w:val="center"/>
            </w:pPr>
            <w:r>
              <w:rPr>
                <w:rFonts w:ascii="Arial" w:hAnsi="Arial"/>
                <w:b/>
                <w:color w:val="000000"/>
                <w:sz w:val="18"/>
              </w:rPr>
              <w:t>p (dos colas)</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Arnés de pecho</w:t>
            </w:r>
          </w:p>
        </w:tc>
        <w:tc>
          <w:tcPr>
            <w:tcW w:type="dxa" w:w="1333"/>
            <w:vAlign w:val="center"/>
          </w:tcPr>
          <w:p>
            <w:pPr>
              <w:keepNext/>
              <w:spacing w:after="60" w:line="240" w:lineRule="auto"/>
              <w:jc w:val="center"/>
            </w:pPr>
            <w:r>
              <w:rPr>
                <w:rFonts w:ascii="Arial" w:hAnsi="Arial"/>
                <w:b w:val="0"/>
                <w:color w:val="000000"/>
                <w:sz w:val="18"/>
              </w:rPr>
              <w:t>-0,485</w:t>
            </w:r>
          </w:p>
        </w:tc>
        <w:tc>
          <w:tcPr>
            <w:tcW w:type="dxa" w:w="1333"/>
            <w:vAlign w:val="center"/>
          </w:tcPr>
          <w:p>
            <w:pPr>
              <w:keepNext/>
              <w:spacing w:after="60" w:line="240" w:lineRule="auto"/>
              <w:jc w:val="center"/>
            </w:pPr>
            <w:r>
              <w:rPr>
                <w:rFonts w:ascii="Arial" w:hAnsi="Arial"/>
                <w:b w:val="0"/>
                <w:color w:val="000000"/>
                <w:sz w:val="18"/>
              </w:rPr>
              <w:t>-1,49</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0,1468</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Gorillapod</w:t>
            </w:r>
          </w:p>
        </w:tc>
        <w:tc>
          <w:tcPr>
            <w:tcW w:type="dxa" w:w="1333"/>
            <w:vAlign w:val="center"/>
          </w:tcPr>
          <w:p>
            <w:pPr>
              <w:keepNext/>
              <w:spacing w:after="60" w:line="240" w:lineRule="auto"/>
              <w:jc w:val="center"/>
            </w:pPr>
            <w:r>
              <w:rPr>
                <w:rFonts w:ascii="Arial" w:hAnsi="Arial"/>
                <w:b w:val="0"/>
                <w:color w:val="000000"/>
                <w:sz w:val="18"/>
              </w:rPr>
              <w:t>-0,939</w:t>
            </w:r>
          </w:p>
        </w:tc>
        <w:tc>
          <w:tcPr>
            <w:tcW w:type="dxa" w:w="1333"/>
            <w:vAlign w:val="center"/>
          </w:tcPr>
          <w:p>
            <w:pPr>
              <w:keepNext/>
              <w:spacing w:after="60" w:line="240" w:lineRule="auto"/>
              <w:jc w:val="center"/>
            </w:pPr>
            <w:r>
              <w:rPr>
                <w:rFonts w:ascii="Arial" w:hAnsi="Arial"/>
                <w:b w:val="0"/>
                <w:color w:val="000000"/>
                <w:sz w:val="18"/>
              </w:rPr>
              <w:t>-3,71</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0,0008</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Arnés de pecho</w:t>
            </w:r>
          </w:p>
        </w:tc>
        <w:tc>
          <w:tcPr>
            <w:tcW w:type="dxa" w:w="1333"/>
            <w:vAlign w:val="center"/>
          </w:tcPr>
          <w:p>
            <w:pPr>
              <w:keepNext w:val="0"/>
              <w:spacing w:after="60" w:line="240" w:lineRule="auto"/>
              <w:jc w:val="center"/>
            </w:pPr>
            <w:r>
              <w:rPr>
                <w:rFonts w:ascii="Arial" w:hAnsi="Arial"/>
                <w:b w:val="0"/>
                <w:color w:val="000000"/>
                <w:sz w:val="18"/>
              </w:rPr>
              <w:t>Gorillapod</w:t>
            </w:r>
          </w:p>
        </w:tc>
        <w:tc>
          <w:tcPr>
            <w:tcW w:type="dxa" w:w="1333"/>
            <w:vAlign w:val="center"/>
          </w:tcPr>
          <w:p>
            <w:pPr>
              <w:keepNext w:val="0"/>
              <w:spacing w:after="60" w:line="240" w:lineRule="auto"/>
              <w:jc w:val="center"/>
            </w:pPr>
            <w:r>
              <w:rPr>
                <w:rFonts w:ascii="Arial" w:hAnsi="Arial"/>
                <w:b w:val="0"/>
                <w:color w:val="000000"/>
                <w:sz w:val="18"/>
              </w:rPr>
              <w:t>-0,455</w:t>
            </w:r>
          </w:p>
        </w:tc>
        <w:tc>
          <w:tcPr>
            <w:tcW w:type="dxa" w:w="1333"/>
            <w:vAlign w:val="center"/>
          </w:tcPr>
          <w:p>
            <w:pPr>
              <w:keepNext w:val="0"/>
              <w:spacing w:after="60" w:line="240" w:lineRule="auto"/>
              <w:jc w:val="center"/>
            </w:pPr>
            <w:r>
              <w:rPr>
                <w:rFonts w:ascii="Arial" w:hAnsi="Arial"/>
                <w:b w:val="0"/>
                <w:color w:val="000000"/>
                <w:sz w:val="18"/>
              </w:rPr>
              <w:t>-1,63</w:t>
            </w:r>
          </w:p>
        </w:tc>
        <w:tc>
          <w:tcPr>
            <w:tcW w:type="dxa" w:w="1333"/>
            <w:vAlign w:val="center"/>
          </w:tcPr>
          <w:p>
            <w:pPr>
              <w:keepNext w:val="0"/>
              <w:spacing w:after="60" w:line="240" w:lineRule="auto"/>
              <w:jc w:val="center"/>
            </w:pPr>
            <w:r>
              <w:rPr>
                <w:rFonts w:ascii="Arial" w:hAnsi="Arial"/>
                <w:b w:val="0"/>
                <w:color w:val="000000"/>
                <w:sz w:val="18"/>
              </w:rPr>
              <w:t>32</w:t>
            </w:r>
          </w:p>
        </w:tc>
        <w:tc>
          <w:tcPr>
            <w:tcW w:type="dxa" w:w="1333"/>
            <w:vAlign w:val="center"/>
          </w:tcPr>
          <w:p>
            <w:pPr>
              <w:keepNext w:val="0"/>
              <w:spacing w:after="60" w:line="240" w:lineRule="auto"/>
              <w:jc w:val="center"/>
            </w:pPr>
            <w:r>
              <w:rPr>
                <w:rFonts w:ascii="Arial" w:hAnsi="Arial"/>
                <w:b w:val="0"/>
                <w:color w:val="000000"/>
                <w:sz w:val="18"/>
              </w:rPr>
              <w:t>0,1130</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Diferencias por escena del número de objetos correctos entre posiciones, prueba t pareada (gl = 32).</w:t>
      </w:r>
    </w:p>
    <w:p>
      <w:pPr>
        <w:widowControl/>
        <w:spacing w:line="360" w:lineRule="auto" w:after="330"/>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60" w:name="report_1060"/>
      <w:pPr>
        <w:pStyle w:val="Descripcin"/>
        <w:keepNext/>
        <w:spacing w:line="240" w:lineRule="auto" w:after="160" w:before="160"/>
        <w:jc w:val="center"/>
      </w:pPr>
      <w:r>
        <w:rPr>
          <w:sz w:val="20"/>
        </w:rPr>
        <w:t>Figura 4.1. Objetos correctos por fotografía y montaje.</w:t>
      </w:r>
      <w:bookmarkEnd w:id="106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61" w:name="report_1061"/>
      <w:pPr>
        <w:pStyle w:val="Ttulo2"/>
      </w:pPr>
      <w:r>
        <w:t>4.3 Escenario 2: combinaciones de arnés y lente</w:t>
      </w:r>
      <w:bookmarkEnd w:id="1061"/>
    </w:p>
    <w:p>
      <w:pPr>
        <w:widowControl/>
        <w:spacing w:line="360" w:lineRule="auto" w:after="330"/>
        <w:jc w:val="both"/>
      </w:pPr>
      <w:r>
        <w:t>El segundo escenario desagrega el lente y cruza las tres posiciones con las dos focales, resultando seis configuraciones de 33 fotografías pareadas por escena (tabla siguiente).</w:t>
      </w:r>
    </w:p>
    <w:p>
      <w:bookmarkStart w:id="1062" w:name="report_1062"/>
      <w:pPr>
        <w:pStyle w:val="Descripcin"/>
        <w:keepNext/>
        <w:spacing w:line="240" w:lineRule="auto" w:before="160" w:after="160"/>
        <w:jc w:val="center"/>
      </w:pPr>
      <w:r>
        <w:rPr>
          <w:sz w:val="20"/>
        </w:rPr>
        <w:t>Tabla 4.4. Resultados por configuración.</w:t>
      </w:r>
      <w:bookmarkEnd w:id="106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Configuración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F1</w:t>
            </w:r>
          </w:p>
        </w:tc>
        <w:tc>
          <w:tcPr>
            <w:tcW w:type="dxa" w:w="1111"/>
            <w:vAlign w:val="center"/>
            <w:shd w:fill="EEEEEE"/>
          </w:tcPr>
          <w:p>
            <w:pPr>
              <w:keepNext/>
              <w:spacing w:after="60" w:line="240" w:lineRule="auto"/>
              <w:jc w:val="center"/>
            </w:pPr>
            <w:r>
              <w:rPr>
                <w:rFonts w:ascii="Arial" w:hAnsi="Arial"/>
                <w:b/>
                <w:color w:val="000000"/>
                <w:sz w:val="18"/>
              </w:rPr>
              <w:t>AP50 / AP50-95</w:t>
            </w:r>
          </w:p>
        </w:tc>
        <w:tc>
          <w:tcPr>
            <w:tcW w:type="dxa" w:w="1111"/>
            <w:vAlign w:val="center"/>
            <w:shd w:fill="EEEEEE"/>
          </w:tcPr>
          <w:p>
            <w:pPr>
              <w:keepNext/>
              <w:spacing w:after="60" w:line="240" w:lineRule="auto"/>
              <w:jc w:val="center"/>
            </w:pPr>
            <w:r>
              <w:rPr>
                <w:rFonts w:ascii="Arial" w:hAnsi="Arial"/>
                <w:b/>
                <w:color w:val="000000"/>
                <w:sz w:val="18"/>
              </w:rPr>
              <w:t>Correctas (lista)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111"/>
            <w:vAlign w:val="center"/>
          </w:tcPr>
          <w:p>
            <w:pPr>
              <w:keepNext/>
              <w:spacing w:after="60" w:line="240" w:lineRule="auto"/>
              <w:jc w:val="center"/>
            </w:pPr>
            <w:r>
              <w:rPr>
                <w:rFonts w:ascii="Arial" w:hAnsi="Arial"/>
                <w:b w:val="0"/>
                <w:color w:val="000000"/>
                <w:sz w:val="18"/>
              </w:rPr>
              <w:t>129</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20</w:t>
            </w:r>
          </w:p>
        </w:tc>
        <w:tc>
          <w:tcPr>
            <w:tcW w:type="dxa" w:w="1111"/>
            <w:vAlign w:val="center"/>
          </w:tcPr>
          <w:p>
            <w:pPr>
              <w:keepNext/>
              <w:spacing w:after="60" w:line="240" w:lineRule="auto"/>
              <w:jc w:val="center"/>
            </w:pPr>
            <w:r>
              <w:rPr>
                <w:rFonts w:ascii="Arial" w:hAnsi="Arial"/>
                <w:b w:val="0"/>
                <w:color w:val="000000"/>
                <w:sz w:val="18"/>
              </w:rPr>
              <w:t>54,6%</w:t>
            </w:r>
          </w:p>
        </w:tc>
        <w:tc>
          <w:tcPr>
            <w:tcW w:type="dxa" w:w="1111"/>
            <w:vAlign w:val="center"/>
          </w:tcPr>
          <w:p>
            <w:pPr>
              <w:keepNext/>
              <w:spacing w:after="60" w:line="240" w:lineRule="auto"/>
              <w:jc w:val="center"/>
            </w:pPr>
            <w:r>
              <w:rPr>
                <w:rFonts w:ascii="Arial" w:hAnsi="Arial"/>
                <w:b w:val="0"/>
                <w:color w:val="000000"/>
                <w:sz w:val="18"/>
              </w:rPr>
              <w:t>53,4% / 33,0%</w:t>
            </w:r>
          </w:p>
        </w:tc>
        <w:tc>
          <w:tcPr>
            <w:tcW w:type="dxa" w:w="1111"/>
            <w:vAlign w:val="center"/>
          </w:tcPr>
          <w:p>
            <w:pPr>
              <w:keepNext/>
              <w:spacing w:after="60" w:line="240" w:lineRule="auto"/>
              <w:jc w:val="center"/>
            </w:pPr>
            <w:r>
              <w:rPr>
                <w:rFonts w:ascii="Arial" w:hAnsi="Arial"/>
                <w:b w:val="0"/>
                <w:color w:val="000000"/>
                <w:sz w:val="18"/>
              </w:rPr>
              <w:t>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111"/>
            <w:vAlign w:val="center"/>
          </w:tcPr>
          <w:p>
            <w:pPr>
              <w:keepNext/>
              <w:spacing w:after="60" w:line="240" w:lineRule="auto"/>
              <w:jc w:val="center"/>
            </w:pPr>
            <w:r>
              <w:rPr>
                <w:rFonts w:ascii="Arial" w:hAnsi="Arial"/>
                <w:b w:val="0"/>
                <w:color w:val="000000"/>
                <w:sz w:val="18"/>
              </w:rPr>
              <w:t>164</w:t>
            </w:r>
          </w:p>
        </w:tc>
        <w:tc>
          <w:tcPr>
            <w:tcW w:type="dxa" w:w="1111"/>
            <w:vAlign w:val="center"/>
          </w:tcPr>
          <w:p>
            <w:pPr>
              <w:keepNext/>
              <w:spacing w:after="60" w:line="240" w:lineRule="auto"/>
              <w:jc w:val="center"/>
            </w:pPr>
            <w:r>
              <w:rPr>
                <w:rFonts w:ascii="Arial" w:hAnsi="Arial"/>
                <w:b w:val="0"/>
                <w:color w:val="000000"/>
                <w:sz w:val="18"/>
              </w:rPr>
              <w:t>70</w:t>
            </w:r>
          </w:p>
        </w:tc>
        <w:tc>
          <w:tcPr>
            <w:tcW w:type="dxa" w:w="1111"/>
            <w:vAlign w:val="center"/>
          </w:tcPr>
          <w:p>
            <w:pPr>
              <w:keepNext/>
              <w:spacing w:after="60" w:line="240" w:lineRule="auto"/>
              <w:jc w:val="center"/>
            </w:pPr>
            <w:r>
              <w:rPr>
                <w:rFonts w:ascii="Arial" w:hAnsi="Arial"/>
                <w:b w:val="0"/>
                <w:color w:val="000000"/>
                <w:sz w:val="18"/>
              </w:rPr>
              <w:t>36</w:t>
            </w:r>
          </w:p>
        </w:tc>
        <w:tc>
          <w:tcPr>
            <w:tcW w:type="dxa" w:w="1111"/>
            <w:vAlign w:val="center"/>
          </w:tcPr>
          <w:p>
            <w:pPr>
              <w:keepNext/>
              <w:spacing w:after="60" w:line="240" w:lineRule="auto"/>
              <w:jc w:val="center"/>
            </w:pPr>
            <w:r>
              <w:rPr>
                <w:rFonts w:ascii="Arial" w:hAnsi="Arial"/>
                <w:b w:val="0"/>
                <w:color w:val="000000"/>
                <w:sz w:val="18"/>
              </w:rPr>
              <w:t>51,9%</w:t>
            </w:r>
          </w:p>
        </w:tc>
        <w:tc>
          <w:tcPr>
            <w:tcW w:type="dxa" w:w="1111"/>
            <w:vAlign w:val="center"/>
          </w:tcPr>
          <w:p>
            <w:pPr>
              <w:keepNext/>
              <w:spacing w:after="60" w:line="240" w:lineRule="auto"/>
              <w:jc w:val="center"/>
            </w:pPr>
            <w:r>
              <w:rPr>
                <w:rFonts w:ascii="Arial" w:hAnsi="Arial"/>
                <w:b w:val="0"/>
                <w:color w:val="000000"/>
                <w:sz w:val="18"/>
              </w:rPr>
              <w:t>50,9% / 33,7%</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111"/>
            <w:vAlign w:val="center"/>
          </w:tcPr>
          <w:p>
            <w:pPr>
              <w:keepNext/>
              <w:spacing w:after="60" w:line="240" w:lineRule="auto"/>
              <w:jc w:val="center"/>
            </w:pPr>
            <w:r>
              <w:rPr>
                <w:rFonts w:ascii="Arial" w:hAnsi="Arial"/>
                <w:b w:val="0"/>
                <w:color w:val="000000"/>
                <w:sz w:val="18"/>
              </w:rPr>
              <w:t>124</w:t>
            </w:r>
          </w:p>
        </w:tc>
        <w:tc>
          <w:tcPr>
            <w:tcW w:type="dxa" w:w="1111"/>
            <w:vAlign w:val="center"/>
          </w:tcPr>
          <w:p>
            <w:pPr>
              <w:keepNext/>
              <w:spacing w:after="60" w:line="240" w:lineRule="auto"/>
              <w:jc w:val="center"/>
            </w:pPr>
            <w:r>
              <w:rPr>
                <w:rFonts w:ascii="Arial" w:hAnsi="Arial"/>
                <w:b w:val="0"/>
                <w:color w:val="000000"/>
                <w:sz w:val="18"/>
              </w:rPr>
              <w:t>65</w:t>
            </w:r>
          </w:p>
        </w:tc>
        <w:tc>
          <w:tcPr>
            <w:tcW w:type="dxa" w:w="1111"/>
            <w:vAlign w:val="center"/>
          </w:tcPr>
          <w:p>
            <w:pPr>
              <w:keepNext/>
              <w:spacing w:after="60" w:line="240" w:lineRule="auto"/>
              <w:jc w:val="center"/>
            </w:pPr>
            <w:r>
              <w:rPr>
                <w:rFonts w:ascii="Arial" w:hAnsi="Arial"/>
                <w:b w:val="0"/>
                <w:color w:val="000000"/>
                <w:sz w:val="18"/>
              </w:rPr>
              <w:t>21</w:t>
            </w:r>
          </w:p>
        </w:tc>
        <w:tc>
          <w:tcPr>
            <w:tcW w:type="dxa" w:w="1111"/>
            <w:vAlign w:val="center"/>
          </w:tcPr>
          <w:p>
            <w:pPr>
              <w:keepNext/>
              <w:spacing w:after="60" w:line="240" w:lineRule="auto"/>
              <w:jc w:val="center"/>
            </w:pPr>
            <w:r>
              <w:rPr>
                <w:rFonts w:ascii="Arial" w:hAnsi="Arial"/>
                <w:b w:val="0"/>
                <w:color w:val="000000"/>
                <w:sz w:val="18"/>
              </w:rPr>
              <w:t>61,9%</w:t>
            </w:r>
          </w:p>
        </w:tc>
        <w:tc>
          <w:tcPr>
            <w:tcW w:type="dxa" w:w="1111"/>
            <w:vAlign w:val="center"/>
          </w:tcPr>
          <w:p>
            <w:pPr>
              <w:keepNext/>
              <w:spacing w:after="60" w:line="240" w:lineRule="auto"/>
              <w:jc w:val="center"/>
            </w:pPr>
            <w:r>
              <w:rPr>
                <w:rFonts w:ascii="Arial" w:hAnsi="Arial"/>
                <w:b w:val="0"/>
                <w:color w:val="000000"/>
                <w:sz w:val="18"/>
              </w:rPr>
              <w:t>60,5% / 42,2%</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111"/>
            <w:vAlign w:val="center"/>
          </w:tcPr>
          <w:p>
            <w:pPr>
              <w:keepNext/>
              <w:spacing w:after="60" w:line="240" w:lineRule="auto"/>
              <w:jc w:val="center"/>
            </w:pPr>
            <w:r>
              <w:rPr>
                <w:rFonts w:ascii="Arial" w:hAnsi="Arial"/>
                <w:b w:val="0"/>
                <w:color w:val="000000"/>
                <w:sz w:val="18"/>
              </w:rPr>
              <w:t>153</w:t>
            </w:r>
          </w:p>
        </w:tc>
        <w:tc>
          <w:tcPr>
            <w:tcW w:type="dxa" w:w="1111"/>
            <w:vAlign w:val="center"/>
          </w:tcPr>
          <w:p>
            <w:pPr>
              <w:keepNext/>
              <w:spacing w:after="60" w:line="240" w:lineRule="auto"/>
              <w:jc w:val="center"/>
            </w:pPr>
            <w:r>
              <w:rPr>
                <w:rFonts w:ascii="Arial" w:hAnsi="Arial"/>
                <w:b w:val="0"/>
                <w:color w:val="000000"/>
                <w:sz w:val="18"/>
              </w:rPr>
              <w:t>77</w:t>
            </w:r>
          </w:p>
        </w:tc>
        <w:tc>
          <w:tcPr>
            <w:tcW w:type="dxa" w:w="1111"/>
            <w:vAlign w:val="center"/>
          </w:tcPr>
          <w:p>
            <w:pPr>
              <w:keepNext/>
              <w:spacing w:after="60" w:line="240" w:lineRule="auto"/>
              <w:jc w:val="center"/>
            </w:pPr>
            <w:r>
              <w:rPr>
                <w:rFonts w:ascii="Arial" w:hAnsi="Arial"/>
                <w:b w:val="0"/>
                <w:color w:val="000000"/>
                <w:sz w:val="18"/>
              </w:rPr>
              <w:t>32</w:t>
            </w:r>
          </w:p>
        </w:tc>
        <w:tc>
          <w:tcPr>
            <w:tcW w:type="dxa" w:w="1111"/>
            <w:vAlign w:val="center"/>
          </w:tcPr>
          <w:p>
            <w:pPr>
              <w:keepNext/>
              <w:spacing w:after="60" w:line="240" w:lineRule="auto"/>
              <w:jc w:val="center"/>
            </w:pPr>
            <w:r>
              <w:rPr>
                <w:rFonts w:ascii="Arial" w:hAnsi="Arial"/>
                <w:b w:val="0"/>
                <w:color w:val="000000"/>
                <w:sz w:val="18"/>
              </w:rPr>
              <w:t>58,8%</w:t>
            </w:r>
          </w:p>
        </w:tc>
        <w:tc>
          <w:tcPr>
            <w:tcW w:type="dxa" w:w="1111"/>
            <w:vAlign w:val="center"/>
          </w:tcPr>
          <w:p>
            <w:pPr>
              <w:keepNext/>
              <w:spacing w:after="60" w:line="240" w:lineRule="auto"/>
              <w:jc w:val="center"/>
            </w:pPr>
            <w:r>
              <w:rPr>
                <w:rFonts w:ascii="Arial" w:hAnsi="Arial"/>
                <w:b w:val="0"/>
                <w:color w:val="000000"/>
                <w:sz w:val="18"/>
              </w:rPr>
              <w:t>55,4% / 38,6%</w:t>
            </w:r>
          </w:p>
        </w:tc>
        <w:tc>
          <w:tcPr>
            <w:tcW w:type="dxa" w:w="1111"/>
            <w:vAlign w:val="center"/>
          </w:tcPr>
          <w:p>
            <w:pPr>
              <w:keepNext/>
              <w:spacing w:after="60" w:line="240" w:lineRule="auto"/>
              <w:jc w:val="center"/>
            </w:pPr>
            <w:r>
              <w:rPr>
                <w:rFonts w:ascii="Arial" w:hAnsi="Arial"/>
                <w:b w:val="0"/>
                <w:color w:val="000000"/>
                <w:sz w:val="18"/>
              </w:rPr>
              <w:t>44</w:t>
            </w:r>
          </w:p>
        </w:tc>
      </w:tr>
      <w:tr>
        <w:trPr>
          <w:cantSplit/>
          <w:cantSplit/>
        </w:trPr>
        <w:tc>
          <w:tcPr>
            <w:tcW w:type="dxa" w:w="2088"/>
            <w:vAlign w:val="center"/>
          </w:tcPr>
          <w:p>
            <w:pPr>
              <w:keepNext/>
              <w:spacing w:after="60" w:line="240" w:lineRule="auto"/>
              <w:jc w:val="center"/>
            </w:pPr>
            <w:r>
              <w:rPr>
                <w:rFonts w:ascii="Arial" w:hAnsi="Arial"/>
                <w:b w:val="0"/>
                <w:color w:val="000000"/>
                <w:sz w:val="18"/>
              </w:rPr>
              <w:t>Gorillapod 1x</w:t>
            </w:r>
          </w:p>
        </w:tc>
        <w:tc>
          <w:tcPr>
            <w:tcW w:type="dxa" w:w="1111"/>
            <w:vAlign w:val="center"/>
          </w:tcPr>
          <w:p>
            <w:pPr>
              <w:keepNext/>
              <w:spacing w:after="60" w:line="240" w:lineRule="auto"/>
              <w:jc w:val="center"/>
            </w:pPr>
            <w:r>
              <w:rPr>
                <w:rFonts w:ascii="Arial" w:hAnsi="Arial"/>
                <w:b w:val="0"/>
                <w:color w:val="000000"/>
                <w:sz w:val="18"/>
              </w:rPr>
              <w:t>145</w:t>
            </w:r>
          </w:p>
        </w:tc>
        <w:tc>
          <w:tcPr>
            <w:tcW w:type="dxa" w:w="1111"/>
            <w:vAlign w:val="center"/>
          </w:tcPr>
          <w:p>
            <w:pPr>
              <w:keepNext/>
              <w:spacing w:after="60" w:line="240" w:lineRule="auto"/>
              <w:jc w:val="center"/>
            </w:pPr>
            <w:r>
              <w:rPr>
                <w:rFonts w:ascii="Arial" w:hAnsi="Arial"/>
                <w:b w:val="0"/>
                <w:color w:val="000000"/>
                <w:sz w:val="18"/>
              </w:rPr>
              <w:t>75</w:t>
            </w:r>
          </w:p>
        </w:tc>
        <w:tc>
          <w:tcPr>
            <w:tcW w:type="dxa" w:w="1111"/>
            <w:vAlign w:val="center"/>
          </w:tcPr>
          <w:p>
            <w:pPr>
              <w:keepNext/>
              <w:spacing w:after="60" w:line="240" w:lineRule="auto"/>
              <w:jc w:val="center"/>
            </w:pPr>
            <w:r>
              <w:rPr>
                <w:rFonts w:ascii="Arial" w:hAnsi="Arial"/>
                <w:b w:val="0"/>
                <w:color w:val="000000"/>
                <w:sz w:val="18"/>
              </w:rPr>
              <w:t>29</w:t>
            </w:r>
          </w:p>
        </w:tc>
        <w:tc>
          <w:tcPr>
            <w:tcW w:type="dxa" w:w="1111"/>
            <w:vAlign w:val="center"/>
          </w:tcPr>
          <w:p>
            <w:pPr>
              <w:keepNext/>
              <w:spacing w:after="60" w:line="240" w:lineRule="auto"/>
              <w:jc w:val="center"/>
            </w:pPr>
            <w:r>
              <w:rPr>
                <w:rFonts w:ascii="Arial" w:hAnsi="Arial"/>
                <w:b w:val="0"/>
                <w:color w:val="000000"/>
                <w:sz w:val="18"/>
              </w:rPr>
              <w:t>60,2%</w:t>
            </w:r>
          </w:p>
        </w:tc>
        <w:tc>
          <w:tcPr>
            <w:tcW w:type="dxa" w:w="1111"/>
            <w:vAlign w:val="center"/>
          </w:tcPr>
          <w:p>
            <w:pPr>
              <w:keepNext/>
              <w:spacing w:after="60" w:line="240" w:lineRule="auto"/>
              <w:jc w:val="center"/>
            </w:pPr>
            <w:r>
              <w:rPr>
                <w:rFonts w:ascii="Arial" w:hAnsi="Arial"/>
                <w:b w:val="0"/>
                <w:color w:val="000000"/>
                <w:sz w:val="18"/>
              </w:rPr>
              <w:t>61,9% / 39,0%</w:t>
            </w:r>
          </w:p>
        </w:tc>
        <w:tc>
          <w:tcPr>
            <w:tcW w:type="dxa" w:w="1111"/>
            <w:vAlign w:val="center"/>
          </w:tcPr>
          <w:p>
            <w:pPr>
              <w:keepNext/>
              <w:spacing w:after="60" w:line="240" w:lineRule="auto"/>
              <w:jc w:val="center"/>
            </w:pPr>
            <w:r>
              <w:rPr>
                <w:rFonts w:ascii="Arial" w:hAnsi="Arial"/>
                <w:b w:val="0"/>
                <w:color w:val="000000"/>
                <w:sz w:val="18"/>
              </w:rPr>
              <w:t>40</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0,5x</w:t>
            </w:r>
          </w:p>
        </w:tc>
        <w:tc>
          <w:tcPr>
            <w:tcW w:type="dxa" w:w="1111"/>
            <w:vAlign w:val="center"/>
          </w:tcPr>
          <w:p>
            <w:pPr>
              <w:keepNext w:val="0"/>
              <w:spacing w:after="60" w:line="240" w:lineRule="auto"/>
              <w:jc w:val="center"/>
            </w:pPr>
            <w:r>
              <w:rPr>
                <w:rFonts w:ascii="Arial" w:hAnsi="Arial"/>
                <w:b w:val="0"/>
                <w:color w:val="000000"/>
                <w:sz w:val="18"/>
              </w:rPr>
              <w:t>174</w:t>
            </w:r>
          </w:p>
        </w:tc>
        <w:tc>
          <w:tcPr>
            <w:tcW w:type="dxa" w:w="1111"/>
            <w:vAlign w:val="center"/>
          </w:tcPr>
          <w:p>
            <w:pPr>
              <w:keepNext w:val="0"/>
              <w:spacing w:after="60" w:line="240" w:lineRule="auto"/>
              <w:jc w:val="center"/>
            </w:pPr>
            <w:r>
              <w:rPr>
                <w:rFonts w:ascii="Arial" w:hAnsi="Arial"/>
                <w:b w:val="0"/>
                <w:color w:val="000000"/>
                <w:sz w:val="18"/>
              </w:rPr>
              <w:t>82</w:t>
            </w:r>
          </w:p>
        </w:tc>
        <w:tc>
          <w:tcPr>
            <w:tcW w:type="dxa" w:w="1111"/>
            <w:vAlign w:val="center"/>
          </w:tcPr>
          <w:p>
            <w:pPr>
              <w:keepNext w:val="0"/>
              <w:spacing w:after="60" w:line="240" w:lineRule="auto"/>
              <w:jc w:val="center"/>
            </w:pPr>
            <w:r>
              <w:rPr>
                <w:rFonts w:ascii="Arial" w:hAnsi="Arial"/>
                <w:b w:val="0"/>
                <w:color w:val="000000"/>
                <w:sz w:val="18"/>
              </w:rPr>
              <w:t>31</w:t>
            </w:r>
          </w:p>
        </w:tc>
        <w:tc>
          <w:tcPr>
            <w:tcW w:type="dxa" w:w="1111"/>
            <w:vAlign w:val="center"/>
          </w:tcPr>
          <w:p>
            <w:pPr>
              <w:keepNext w:val="0"/>
              <w:spacing w:after="60" w:line="240" w:lineRule="auto"/>
              <w:jc w:val="center"/>
            </w:pPr>
            <w:r>
              <w:rPr>
                <w:rFonts w:ascii="Arial" w:hAnsi="Arial"/>
                <w:b w:val="0"/>
                <w:color w:val="000000"/>
                <w:sz w:val="18"/>
              </w:rPr>
              <w:t>57,1%</w:t>
            </w:r>
          </w:p>
        </w:tc>
        <w:tc>
          <w:tcPr>
            <w:tcW w:type="dxa" w:w="1111"/>
            <w:vAlign w:val="center"/>
          </w:tcPr>
          <w:p>
            <w:pPr>
              <w:keepNext w:val="0"/>
              <w:spacing w:after="60" w:line="240" w:lineRule="auto"/>
              <w:jc w:val="center"/>
            </w:pPr>
            <w:r>
              <w:rPr>
                <w:rFonts w:ascii="Arial" w:hAnsi="Arial"/>
                <w:b w:val="0"/>
                <w:color w:val="000000"/>
                <w:sz w:val="18"/>
              </w:rPr>
              <w:t>56,5% / 41,5%</w:t>
            </w:r>
          </w:p>
        </w:tc>
        <w:tc>
          <w:tcPr>
            <w:tcW w:type="dxa" w:w="1111"/>
            <w:vAlign w:val="center"/>
          </w:tcPr>
          <w:p>
            <w:pPr>
              <w:keepNext w:val="0"/>
              <w:spacing w:after="60" w:line="240" w:lineRule="auto"/>
              <w:jc w:val="center"/>
            </w:pPr>
            <w:r>
              <w:rPr>
                <w:rFonts w:ascii="Arial" w:hAnsi="Arial"/>
                <w:b w:val="0"/>
                <w:color w:val="000000"/>
                <w:sz w:val="18"/>
              </w:rPr>
              <w:t>49</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widowControl/>
        <w:spacing w:line="360" w:lineRule="auto" w:after="330"/>
        <w:jc w:val="both"/>
      </w:pPr>
      <w:r>
        <w:t xml:space="preserve">La mejor F1 es del arnés de pecho 1x (61,9%; precisión 75,6%, </w:t>
      </w:r>
      <w:r>
        <w:rPr>
          <w:i/>
        </w:rPr>
        <w:t>recall</w:t>
      </w:r>
      <w:r>
        <w:t xml:space="preserve">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pPr>
        <w:widowControl/>
        <w:spacing w:line="360" w:lineRule="auto" w:after="330"/>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3" w:name="report_1063"/>
      <w:pPr>
        <w:pStyle w:val="Descripcin"/>
        <w:keepNext/>
        <w:spacing w:line="240" w:lineRule="auto" w:before="160" w:after="160"/>
        <w:jc w:val="center"/>
      </w:pPr>
      <w:r>
        <w:rPr>
          <w:sz w:val="20"/>
        </w:rPr>
        <w:t>Tabla 4.5. Comparación de conteos con Gorillapod 0,5x.</w:t>
      </w:r>
      <w:bookmarkEnd w:id="106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Alternativa</w:t>
            </w:r>
          </w:p>
        </w:tc>
        <w:tc>
          <w:tcPr>
            <w:tcW w:type="dxa" w:w="1333"/>
            <w:vAlign w:val="center"/>
            <w:shd w:fill="EEEEEE"/>
          </w:tcPr>
          <w:p>
            <w:pPr>
              <w:keepNext/>
              <w:spacing w:after="60" w:line="240" w:lineRule="auto"/>
              <w:jc w:val="center"/>
            </w:pPr>
            <w:r>
              <w:rPr>
                <w:rFonts w:ascii="Arial" w:hAnsi="Arial"/>
                <w:b/>
                <w:color w:val="000000"/>
                <w:sz w:val="18"/>
              </w:rPr>
              <w:t>Escenas + / = / −</w:t>
            </w:r>
          </w:p>
        </w:tc>
        <w:tc>
          <w:tcPr>
            <w:tcW w:type="dxa" w:w="1333"/>
            <w:vAlign w:val="center"/>
            <w:shd w:fill="EEEEEE"/>
          </w:tcPr>
          <w:p>
            <w:pPr>
              <w:keepNext/>
              <w:spacing w:after="60" w:line="240" w:lineRule="auto"/>
              <w:jc w:val="center"/>
            </w:pPr>
            <w:r>
              <w:rPr>
                <w:rFonts w:ascii="Arial" w:hAnsi="Arial"/>
                <w:b/>
                <w:color w:val="000000"/>
                <w:sz w:val="18"/>
              </w:rPr>
              <w:t>Ganancia total de objetos</w:t>
            </w:r>
          </w:p>
        </w:tc>
        <w:tc>
          <w:tcPr>
            <w:tcW w:type="dxa" w:w="1333"/>
            <w:vAlign w:val="center"/>
            <w:shd w:fill="EEEEEE"/>
          </w:tcPr>
          <w:p>
            <w:pPr>
              <w:keepNext/>
              <w:spacing w:after="60" w:line="240" w:lineRule="auto"/>
              <w:jc w:val="center"/>
            </w:pPr>
            <w:r>
              <w:rPr>
                <w:rFonts w:ascii="Arial" w:hAnsi="Arial"/>
                <w:b/>
                <w:color w:val="000000"/>
                <w:sz w:val="18"/>
              </w:rPr>
              <w:t>Ganancia/escena</w:t>
            </w:r>
          </w:p>
        </w:tc>
        <w:tc>
          <w:tcPr>
            <w:tcW w:type="dxa" w:w="1333"/>
            <w:vAlign w:val="center"/>
            <w:shd w:fill="EEEEEE"/>
          </w:tcPr>
          <w:p>
            <w:pPr>
              <w:keepNext/>
              <w:spacing w:after="60" w:line="240" w:lineRule="auto"/>
              <w:jc w:val="center"/>
            </w:pPr>
            <w:r>
              <w:rPr>
                <w:rFonts w:ascii="Arial" w:hAnsi="Arial"/>
                <w:b/>
                <w:color w:val="000000"/>
                <w:sz w:val="18"/>
              </w:rPr>
              <w:t>IC 95 % (bootstrap)</w:t>
            </w:r>
          </w:p>
        </w:tc>
        <w:tc>
          <w:tcPr>
            <w:tcW w:type="dxa" w:w="1333"/>
            <w:vAlign w:val="center"/>
            <w:shd w:fill="EEEEEE"/>
          </w:tcPr>
          <w:p>
            <w:pPr>
              <w:keepNext/>
              <w:spacing w:after="60" w:line="240" w:lineRule="auto"/>
              <w:jc w:val="center"/>
            </w:pPr>
            <w:r>
              <w:rPr>
                <w:rFonts w:ascii="Arial" w:hAnsi="Arial"/>
                <w:b/>
                <w:color w:val="000000"/>
                <w:sz w:val="18"/>
              </w:rPr>
              <w:t>p (t pareada)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333"/>
            <w:vAlign w:val="center"/>
          </w:tcPr>
          <w:p>
            <w:pPr>
              <w:keepNext/>
              <w:spacing w:after="60" w:line="240" w:lineRule="auto"/>
              <w:jc w:val="center"/>
            </w:pPr>
            <w:r>
              <w:rPr>
                <w:rFonts w:ascii="Arial" w:hAnsi="Arial"/>
                <w:b w:val="0"/>
                <w:color w:val="000000"/>
                <w:sz w:val="18"/>
              </w:rPr>
              <w:t>19 / 9 / 5</w:t>
            </w:r>
          </w:p>
        </w:tc>
        <w:tc>
          <w:tcPr>
            <w:tcW w:type="dxa" w:w="1333"/>
            <w:vAlign w:val="center"/>
          </w:tcPr>
          <w:p>
            <w:pPr>
              <w:keepNext/>
              <w:spacing w:after="60" w:line="240" w:lineRule="auto"/>
              <w:jc w:val="center"/>
            </w:pPr>
            <w:r>
              <w:rPr>
                <w:rFonts w:ascii="Arial" w:hAnsi="Arial"/>
                <w:b w:val="0"/>
                <w:color w:val="000000"/>
                <w:sz w:val="18"/>
              </w:rPr>
              <w:t>+26</w:t>
            </w:r>
          </w:p>
        </w:tc>
        <w:tc>
          <w:tcPr>
            <w:tcW w:type="dxa" w:w="1333"/>
            <w:vAlign w:val="center"/>
          </w:tcPr>
          <w:p>
            <w:pPr>
              <w:keepNext/>
              <w:spacing w:after="60" w:line="240" w:lineRule="auto"/>
              <w:jc w:val="center"/>
            </w:pPr>
            <w:r>
              <w:rPr>
                <w:rFonts w:ascii="Arial" w:hAnsi="Arial"/>
                <w:b w:val="0"/>
                <w:color w:val="000000"/>
                <w:sz w:val="18"/>
              </w:rPr>
              <w:t>+0,788</w:t>
            </w:r>
          </w:p>
        </w:tc>
        <w:tc>
          <w:tcPr>
            <w:tcW w:type="dxa" w:w="1333"/>
            <w:vAlign w:val="center"/>
          </w:tcPr>
          <w:p>
            <w:pPr>
              <w:keepNext/>
              <w:spacing w:after="60" w:line="240" w:lineRule="auto"/>
              <w:jc w:val="center"/>
            </w:pPr>
            <w:r>
              <w:rPr>
                <w:rFonts w:ascii="Arial" w:hAnsi="Arial"/>
                <w:b w:val="0"/>
                <w:color w:val="000000"/>
                <w:sz w:val="18"/>
              </w:rPr>
              <w:t>[0,333, 1,273]</w:t>
            </w:r>
          </w:p>
        </w:tc>
        <w:tc>
          <w:tcPr>
            <w:tcW w:type="dxa" w:w="1333"/>
            <w:vAlign w:val="center"/>
          </w:tcPr>
          <w:p>
            <w:pPr>
              <w:keepNext/>
              <w:spacing w:after="60" w:line="240" w:lineRule="auto"/>
              <w:jc w:val="center"/>
            </w:pPr>
            <w:r>
              <w:rPr>
                <w:rFonts w:ascii="Arial" w:hAnsi="Arial"/>
                <w:b w:val="0"/>
                <w:color w:val="000000"/>
                <w:sz w:val="18"/>
              </w:rPr>
              <w:t>0,0023</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333"/>
            <w:vAlign w:val="center"/>
          </w:tcPr>
          <w:p>
            <w:pPr>
              <w:keepNext/>
              <w:spacing w:after="60" w:line="240" w:lineRule="auto"/>
              <w:jc w:val="center"/>
            </w:pPr>
            <w:r>
              <w:rPr>
                <w:rFonts w:ascii="Arial" w:hAnsi="Arial"/>
                <w:b w:val="0"/>
                <w:color w:val="000000"/>
                <w:sz w:val="18"/>
              </w:rPr>
              <w:t>10 / 20 / 3</w:t>
            </w:r>
          </w:p>
        </w:tc>
        <w:tc>
          <w:tcPr>
            <w:tcW w:type="dxa" w:w="1333"/>
            <w:vAlign w:val="center"/>
          </w:tcPr>
          <w:p>
            <w:pPr>
              <w:keepNext/>
              <w:spacing w:after="60" w:line="240" w:lineRule="auto"/>
              <w:jc w:val="center"/>
            </w:pPr>
            <w:r>
              <w:rPr>
                <w:rFonts w:ascii="Arial" w:hAnsi="Arial"/>
                <w:b w:val="0"/>
                <w:color w:val="000000"/>
                <w:sz w:val="18"/>
              </w:rPr>
              <w:t>+12</w:t>
            </w:r>
          </w:p>
        </w:tc>
        <w:tc>
          <w:tcPr>
            <w:tcW w:type="dxa" w:w="1333"/>
            <w:vAlign w:val="center"/>
          </w:tcPr>
          <w:p>
            <w:pPr>
              <w:keepNext/>
              <w:spacing w:after="60" w:line="240" w:lineRule="auto"/>
              <w:jc w:val="center"/>
            </w:pPr>
            <w:r>
              <w:rPr>
                <w:rFonts w:ascii="Arial" w:hAnsi="Arial"/>
                <w:b w:val="0"/>
                <w:color w:val="000000"/>
                <w:sz w:val="18"/>
              </w:rPr>
              <w:t>+0,364</w:t>
            </w:r>
          </w:p>
        </w:tc>
        <w:tc>
          <w:tcPr>
            <w:tcW w:type="dxa" w:w="1333"/>
            <w:vAlign w:val="center"/>
          </w:tcPr>
          <w:p>
            <w:pPr>
              <w:keepNext/>
              <w:spacing w:after="60" w:line="240" w:lineRule="auto"/>
              <w:jc w:val="center"/>
            </w:pPr>
            <w:r>
              <w:rPr>
                <w:rFonts w:ascii="Arial" w:hAnsi="Arial"/>
                <w:b w:val="0"/>
                <w:color w:val="000000"/>
                <w:sz w:val="18"/>
              </w:rPr>
              <w:t>[0,091, 0,667]</w:t>
            </w:r>
          </w:p>
        </w:tc>
        <w:tc>
          <w:tcPr>
            <w:tcW w:type="dxa" w:w="1333"/>
            <w:vAlign w:val="center"/>
          </w:tcPr>
          <w:p>
            <w:pPr>
              <w:keepNext/>
              <w:spacing w:after="60" w:line="240" w:lineRule="auto"/>
              <w:jc w:val="center"/>
            </w:pPr>
            <w:r>
              <w:rPr>
                <w:rFonts w:ascii="Arial" w:hAnsi="Arial"/>
                <w:b w:val="0"/>
                <w:color w:val="000000"/>
                <w:sz w:val="18"/>
              </w:rPr>
              <w:t>0,0260</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333"/>
            <w:vAlign w:val="center"/>
          </w:tcPr>
          <w:p>
            <w:pPr>
              <w:keepNext/>
              <w:spacing w:after="60" w:line="240" w:lineRule="auto"/>
              <w:jc w:val="center"/>
            </w:pPr>
            <w:r>
              <w:rPr>
                <w:rFonts w:ascii="Arial" w:hAnsi="Arial"/>
                <w:b w:val="0"/>
                <w:color w:val="000000"/>
                <w:sz w:val="18"/>
              </w:rPr>
              <w:t>16 / 10 / 7</w:t>
            </w:r>
          </w:p>
        </w:tc>
        <w:tc>
          <w:tcPr>
            <w:tcW w:type="dxa" w:w="1333"/>
            <w:vAlign w:val="center"/>
          </w:tcPr>
          <w:p>
            <w:pPr>
              <w:keepNext/>
              <w:spacing w:after="60" w:line="240" w:lineRule="auto"/>
              <w:jc w:val="center"/>
            </w:pPr>
            <w:r>
              <w:rPr>
                <w:rFonts w:ascii="Arial" w:hAnsi="Arial"/>
                <w:b w:val="0"/>
                <w:color w:val="000000"/>
                <w:sz w:val="18"/>
              </w:rPr>
              <w:t>+17</w:t>
            </w:r>
          </w:p>
        </w:tc>
        <w:tc>
          <w:tcPr>
            <w:tcW w:type="dxa" w:w="1333"/>
            <w:vAlign w:val="center"/>
          </w:tcPr>
          <w:p>
            <w:pPr>
              <w:keepNext/>
              <w:spacing w:after="60" w:line="240" w:lineRule="auto"/>
              <w:jc w:val="center"/>
            </w:pPr>
            <w:r>
              <w:rPr>
                <w:rFonts w:ascii="Arial" w:hAnsi="Arial"/>
                <w:b w:val="0"/>
                <w:color w:val="000000"/>
                <w:sz w:val="18"/>
              </w:rPr>
              <w:t>+0,515</w:t>
            </w:r>
          </w:p>
        </w:tc>
        <w:tc>
          <w:tcPr>
            <w:tcW w:type="dxa" w:w="1333"/>
            <w:vAlign w:val="center"/>
          </w:tcPr>
          <w:p>
            <w:pPr>
              <w:keepNext/>
              <w:spacing w:after="60" w:line="240" w:lineRule="auto"/>
              <w:jc w:val="center"/>
            </w:pPr>
            <w:r>
              <w:rPr>
                <w:rFonts w:ascii="Arial" w:hAnsi="Arial"/>
                <w:b w:val="0"/>
                <w:color w:val="000000"/>
                <w:sz w:val="18"/>
              </w:rPr>
              <w:t>[0,121, 0,939]</w:t>
            </w:r>
          </w:p>
        </w:tc>
        <w:tc>
          <w:tcPr>
            <w:tcW w:type="dxa" w:w="1333"/>
            <w:vAlign w:val="center"/>
          </w:tcPr>
          <w:p>
            <w:pPr>
              <w:keepNext/>
              <w:spacing w:after="60" w:line="240" w:lineRule="auto"/>
              <w:jc w:val="center"/>
            </w:pPr>
            <w:r>
              <w:rPr>
                <w:rFonts w:ascii="Arial" w:hAnsi="Arial"/>
                <w:b w:val="0"/>
                <w:color w:val="000000"/>
                <w:sz w:val="18"/>
              </w:rPr>
              <w:t>0,0194</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333"/>
            <w:vAlign w:val="center"/>
          </w:tcPr>
          <w:p>
            <w:pPr>
              <w:keepNext/>
              <w:spacing w:after="60" w:line="240" w:lineRule="auto"/>
              <w:jc w:val="center"/>
            </w:pPr>
            <w:r>
              <w:rPr>
                <w:rFonts w:ascii="Arial" w:hAnsi="Arial"/>
                <w:b w:val="0"/>
                <w:color w:val="000000"/>
                <w:sz w:val="18"/>
              </w:rPr>
              <w:t>6 / 24 / 3</w:t>
            </w:r>
          </w:p>
        </w:tc>
        <w:tc>
          <w:tcPr>
            <w:tcW w:type="dxa" w:w="1333"/>
            <w:vAlign w:val="center"/>
          </w:tcPr>
          <w:p>
            <w:pPr>
              <w:keepNext/>
              <w:spacing w:after="60" w:line="240" w:lineRule="auto"/>
              <w:jc w:val="center"/>
            </w:pPr>
            <w:r>
              <w:rPr>
                <w:rFonts w:ascii="Arial" w:hAnsi="Arial"/>
                <w:b w:val="0"/>
                <w:color w:val="000000"/>
                <w:sz w:val="18"/>
              </w:rPr>
              <w:t>+5</w:t>
            </w:r>
          </w:p>
        </w:tc>
        <w:tc>
          <w:tcPr>
            <w:tcW w:type="dxa" w:w="1333"/>
            <w:vAlign w:val="center"/>
          </w:tcPr>
          <w:p>
            <w:pPr>
              <w:keepNext/>
              <w:spacing w:after="60" w:line="240" w:lineRule="auto"/>
              <w:jc w:val="center"/>
            </w:pPr>
            <w:r>
              <w:rPr>
                <w:rFonts w:ascii="Arial" w:hAnsi="Arial"/>
                <w:b w:val="0"/>
                <w:color w:val="000000"/>
                <w:sz w:val="18"/>
              </w:rPr>
              <w:t>+0,152</w:t>
            </w:r>
          </w:p>
        </w:tc>
        <w:tc>
          <w:tcPr>
            <w:tcW w:type="dxa" w:w="1333"/>
            <w:vAlign w:val="center"/>
          </w:tcPr>
          <w:p>
            <w:pPr>
              <w:keepNext/>
              <w:spacing w:after="60" w:line="240" w:lineRule="auto"/>
              <w:jc w:val="center"/>
            </w:pPr>
            <w:r>
              <w:rPr>
                <w:rFonts w:ascii="Arial" w:hAnsi="Arial"/>
                <w:b w:val="0"/>
                <w:color w:val="000000"/>
                <w:sz w:val="18"/>
              </w:rPr>
              <w:t>[-0,182, 0,515]</w:t>
            </w:r>
          </w:p>
        </w:tc>
        <w:tc>
          <w:tcPr>
            <w:tcW w:type="dxa" w:w="1333"/>
            <w:vAlign w:val="center"/>
          </w:tcPr>
          <w:p>
            <w:pPr>
              <w:keepNext/>
              <w:spacing w:after="60" w:line="240" w:lineRule="auto"/>
              <w:jc w:val="center"/>
            </w:pPr>
            <w:r>
              <w:rPr>
                <w:rFonts w:ascii="Arial" w:hAnsi="Arial"/>
                <w:b w:val="0"/>
                <w:color w:val="000000"/>
                <w:sz w:val="18"/>
              </w:rPr>
              <w:t>0,4064</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1x</w:t>
            </w:r>
          </w:p>
        </w:tc>
        <w:tc>
          <w:tcPr>
            <w:tcW w:type="dxa" w:w="1333"/>
            <w:vAlign w:val="center"/>
          </w:tcPr>
          <w:p>
            <w:pPr>
              <w:keepNext w:val="0"/>
              <w:spacing w:after="60" w:line="240" w:lineRule="auto"/>
              <w:jc w:val="center"/>
            </w:pPr>
            <w:r>
              <w:rPr>
                <w:rFonts w:ascii="Arial" w:hAnsi="Arial"/>
                <w:b w:val="0"/>
                <w:color w:val="000000"/>
                <w:sz w:val="18"/>
              </w:rPr>
              <w:t>11 / 17 / 5</w:t>
            </w:r>
          </w:p>
        </w:tc>
        <w:tc>
          <w:tcPr>
            <w:tcW w:type="dxa" w:w="1333"/>
            <w:vAlign w:val="center"/>
          </w:tcPr>
          <w:p>
            <w:pPr>
              <w:keepNext w:val="0"/>
              <w:spacing w:after="60" w:line="240" w:lineRule="auto"/>
              <w:jc w:val="center"/>
            </w:pPr>
            <w:r>
              <w:rPr>
                <w:rFonts w:ascii="Arial" w:hAnsi="Arial"/>
                <w:b w:val="0"/>
                <w:color w:val="000000"/>
                <w:sz w:val="18"/>
              </w:rPr>
              <w:t>+7</w:t>
            </w:r>
          </w:p>
        </w:tc>
        <w:tc>
          <w:tcPr>
            <w:tcW w:type="dxa" w:w="1333"/>
            <w:vAlign w:val="center"/>
          </w:tcPr>
          <w:p>
            <w:pPr>
              <w:keepNext w:val="0"/>
              <w:spacing w:after="60" w:line="240" w:lineRule="auto"/>
              <w:jc w:val="center"/>
            </w:pPr>
            <w:r>
              <w:rPr>
                <w:rFonts w:ascii="Arial" w:hAnsi="Arial"/>
                <w:b w:val="0"/>
                <w:color w:val="000000"/>
                <w:sz w:val="18"/>
              </w:rPr>
              <w:t>+0,212</w:t>
            </w:r>
          </w:p>
        </w:tc>
        <w:tc>
          <w:tcPr>
            <w:tcW w:type="dxa" w:w="1333"/>
            <w:vAlign w:val="center"/>
          </w:tcPr>
          <w:p>
            <w:pPr>
              <w:keepNext w:val="0"/>
              <w:spacing w:after="60" w:line="240" w:lineRule="auto"/>
              <w:jc w:val="center"/>
            </w:pPr>
            <w:r>
              <w:rPr>
                <w:rFonts w:ascii="Arial" w:hAnsi="Arial"/>
                <w:b w:val="0"/>
                <w:color w:val="000000"/>
                <w:sz w:val="18"/>
              </w:rPr>
              <w:t>[-0,242, 0,667]</w:t>
            </w:r>
          </w:p>
        </w:tc>
        <w:tc>
          <w:tcPr>
            <w:tcW w:type="dxa" w:w="1333"/>
            <w:vAlign w:val="center"/>
          </w:tcPr>
          <w:p>
            <w:pPr>
              <w:keepNext w:val="0"/>
              <w:spacing w:after="60" w:line="240" w:lineRule="auto"/>
              <w:jc w:val="center"/>
            </w:pPr>
            <w:r>
              <w:rPr>
                <w:rFonts w:ascii="Arial" w:hAnsi="Arial"/>
                <w:b w:val="0"/>
                <w:color w:val="000000"/>
                <w:sz w:val="18"/>
              </w:rPr>
              <w:t>0,3702</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 xml:space="preserve">Escenas + / = / − cuenta en cuántos de los 33 grupos el Gorillapod 0,5x detectó más, igual o menos objetos correctos que la alternativa. El IC proviene de un </w:t>
      </w:r>
      <w:r>
        <w:rPr>
          <w:i/>
          <w:sz w:val="20"/>
        </w:rPr>
        <w:t>bootstrap</w:t>
      </w:r>
      <w:r>
        <w:rPr>
          <w:sz w:val="20"/>
        </w:rPr>
        <w:t xml:space="preserve"> percentil de 10 000 remuestreos pareados por grupos (semilla 20261013, sin corrección por comparaciones múltiples); p proviene de la prueba t pareada de objetos correctos por escena.</w:t>
      </w:r>
    </w:p>
    <w:p>
      <w:pPr>
        <w:widowControl/>
        <w:spacing w:line="360" w:lineRule="auto" w:after="330"/>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4" w:name="report_1064"/>
      <w:pPr>
        <w:pStyle w:val="Descripcin"/>
        <w:keepNext/>
        <w:spacing w:line="240" w:lineRule="auto" w:after="160" w:before="160"/>
        <w:jc w:val="center"/>
      </w:pPr>
      <w:r>
        <w:rPr>
          <w:sz w:val="20"/>
        </w:rPr>
        <w:t>Figura 4.2. Objetos correctos por fotografía en las seis configuraciones.</w:t>
      </w:r>
      <w:bookmarkEnd w:id="1064"/>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La elección definitiva depende del objetivo del sistema: para maximizar los objetos anunciados al usuario, el Gorillapod 0,5x es el candidato provisional; para maximizar el equilibrio precisión/</w:t>
      </w:r>
      <w:r>
        <w:rPr>
          <w:i/>
        </w:rPr>
        <w:t>recall</w:t>
      </w:r>
      <w:r>
        <w:t xml:space="preserve"> por fotograma, el arnés de pecho 1x. En ambos casos los intervalos no descartan todas las alternativas, por lo que la confirmación en escenas nuevas forma parte del plan de validación (sección 4.6).</w:t>
      </w:r>
    </w:p>
    <w:p>
      <w:bookmarkStart w:id="1065" w:name="report_1065"/>
      <w:pPr>
        <w:pStyle w:val="Ttulo2"/>
      </w:pPr>
      <w:r>
        <w:t>4.4 Escenario 3: rango de profundidad de detección</w:t>
      </w:r>
      <w:bookmarkEnd w:id="1065"/>
    </w:p>
    <w:p>
      <w:pPr>
        <w:widowControl/>
        <w:spacing w:line="360" w:lineRule="auto" w:after="330"/>
        <w:jc w:val="both"/>
      </w:pPr>
      <w:r>
        <w:t xml:space="preserve">Para caracterizar el rango de profundidad útil del sistema se estima la distancia entre el objeto y la cámara para cada instancia anotada de las mismas 198 fotografías, sin capturas adicionales. El modelo estenopeico de la cámara entrega d ≈ f_px · H_cls / h_px </w:t>
      </w:r>
      <w:hyperlink w:anchor="bib_ref_45" w:history="1">
        <w:r>
          <w:t xml:space="preserve">[45]</w:t>
        </w:r>
      </w:hyperlink>
      <w:r>
        <w:t xml:space="preserve">, donde f_px es la distancia focal en píxeles —calculada del campo FocalLengthIn35mmFilm del EXIF </w:t>
      </w:r>
      <w:hyperlink w:anchor="bib_ref_46" w:history="1">
        <w:r>
          <w:t xml:space="preserve">[46]</w:t>
        </w:r>
      </w:hyperlink>
      <w:r>
        <w:t xml:space="preserve">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adoptada como supuesto de este análisis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widowControl/>
        <w:spacing w:line="360" w:lineRule="auto" w:after="330"/>
        <w:jc w:val="both"/>
      </w:pPr>
      <w:r>
        <w:t xml:space="preserve">La tabla siguiente resume el </w:t>
      </w:r>
      <w:r>
        <w:rPr>
          <w:i/>
        </w:rPr>
        <w:t>recall</w:t>
      </w:r>
      <w:r>
        <w:t xml:space="preserve"> del detector por banda de distancia estimada agregando las seis configuraciones. "</w:t>
      </w:r>
      <w:r>
        <w:rPr>
          <w:i/>
        </w:rPr>
        <w:t>Recall</w:t>
      </w:r>
      <w:r>
        <w:t xml:space="preserve">" se calcula agrupando todas las instancias de la banda; "Media </w:t>
      </w:r>
      <w:r>
        <w:rPr>
          <w:i/>
        </w:rPr>
        <w:t>bootstrap</w:t>
      </w:r>
      <w:r>
        <w:t xml:space="preserve">" y su IC 95 % se obtienen remuestreando los 33 grupos de captura completos y calculando el </w:t>
      </w:r>
      <w:r>
        <w:rPr>
          <w:i/>
        </w:rPr>
        <w:t>recall</w:t>
      </w:r>
      <w:r>
        <w:t xml:space="preserve"> agrupado en cada remuestra (10 000 remuestreos, semilla 20261013); no son una media de recalls igualmente ponderados por escena.</w:t>
      </w:r>
    </w:p>
    <w:p>
      <w:bookmarkStart w:id="1066" w:name="report_1066"/>
      <w:pPr>
        <w:pStyle w:val="Descripcin"/>
        <w:keepNext/>
        <w:spacing w:line="240" w:lineRule="auto" w:before="160" w:after="160"/>
        <w:jc w:val="center"/>
      </w:pPr>
      <w:r>
        <w:rPr>
          <w:sz w:val="20"/>
        </w:rPr>
        <w:t xml:space="preserve">Tabla 4.6. </w:t>
      </w:r>
      <w:r>
        <w:rPr>
          <w:i/>
          <w:sz w:val="20"/>
        </w:rPr>
        <w:t>Recall</w:t>
      </w:r>
      <w:r>
        <w:rPr>
          <w:sz w:val="20"/>
        </w:rPr>
        <w:t xml:space="preserve"> por banda de distancia estimada.</w:t>
      </w:r>
      <w:bookmarkEnd w:id="106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keepNext/>
              <w:spacing w:after="60" w:line="240" w:lineRule="auto"/>
              <w:jc w:val="center"/>
            </w:pPr>
            <w:r>
              <w:rPr>
                <w:rFonts w:ascii="Arial" w:hAnsi="Arial"/>
                <w:b/>
                <w:color w:val="000000"/>
                <w:sz w:val="18"/>
              </w:rPr>
              <w:t>Banda de distancia</w:t>
            </w:r>
          </w:p>
        </w:tc>
        <w:tc>
          <w:tcPr>
            <w:tcW w:type="dxa" w:w="864"/>
            <w:vAlign w:val="center"/>
            <w:shd w:fill="EEEEEE"/>
          </w:tcPr>
          <w:p>
            <w:pPr>
              <w:keepNext/>
              <w:spacing w:after="60" w:line="240" w:lineRule="auto"/>
              <w:jc w:val="center"/>
            </w:pPr>
            <w:r>
              <w:rPr>
                <w:rFonts w:ascii="Arial" w:hAnsi="Arial"/>
                <w:b/>
                <w:color w:val="000000"/>
                <w:sz w:val="18"/>
              </w:rPr>
              <w:t>Instancias</w:t>
            </w:r>
          </w:p>
        </w:tc>
        <w:tc>
          <w:tcPr>
            <w:tcW w:type="dxa" w:w="864"/>
            <w:vAlign w:val="center"/>
            <w:shd w:fill="EEEEEE"/>
          </w:tcPr>
          <w:p>
            <w:pPr>
              <w:keepNext/>
              <w:spacing w:after="60" w:line="240" w:lineRule="auto"/>
              <w:jc w:val="center"/>
            </w:pPr>
            <w:r>
              <w:rPr>
                <w:rFonts w:ascii="Arial" w:hAnsi="Arial"/>
                <w:b/>
                <w:color w:val="000000"/>
                <w:sz w:val="18"/>
              </w:rPr>
              <w:t>Correctas</w:t>
            </w:r>
          </w:p>
        </w:tc>
        <w:tc>
          <w:tcPr>
            <w:tcW w:type="dxa" w:w="922"/>
            <w:vAlign w:val="center"/>
            <w:shd w:fill="EEEEEE"/>
          </w:tcPr>
          <w:p>
            <w:pPr>
              <w:keepNext/>
              <w:spacing w:after="60" w:line="240" w:lineRule="auto"/>
              <w:jc w:val="center"/>
            </w:pPr>
            <w:r>
              <w:rPr>
                <w:rFonts w:ascii="Arial" w:hAnsi="Arial"/>
                <w:b/>
                <w:color w:val="000000"/>
                <w:sz w:val="18"/>
              </w:rPr>
              <w:t>Recall</w:t>
            </w:r>
          </w:p>
        </w:tc>
        <w:tc>
          <w:tcPr>
            <w:tcW w:type="dxa" w:w="1181"/>
            <w:vAlign w:val="center"/>
            <w:shd w:fill="EEEEEE"/>
          </w:tcPr>
          <w:p>
            <w:pPr>
              <w:keepNext/>
              <w:spacing w:after="60" w:line="240" w:lineRule="auto"/>
              <w:jc w:val="center"/>
            </w:pPr>
            <w:r>
              <w:rPr>
                <w:rFonts w:ascii="Arial" w:hAnsi="Arial"/>
                <w:b/>
                <w:color w:val="000000"/>
                <w:sz w:val="18"/>
              </w:rPr>
              <w:t>Media bootstrap</w:t>
            </w:r>
          </w:p>
        </w:tc>
        <w:tc>
          <w:tcPr>
            <w:tcW w:type="dxa" w:w="1440"/>
            <w:vAlign w:val="center"/>
            <w:shd w:fill="EEEEEE"/>
          </w:tcPr>
          <w:p>
            <w:pPr>
              <w:keepNext/>
              <w:spacing w:after="60" w:line="240" w:lineRule="auto"/>
              <w:jc w:val="center"/>
            </w:pPr>
            <w:r>
              <w:rPr>
                <w:rFonts w:ascii="Arial" w:hAnsi="Arial"/>
                <w:b/>
                <w:color w:val="000000"/>
                <w:sz w:val="18"/>
              </w:rPr>
              <w:t>IC 95 %</w:t>
            </w:r>
          </w:p>
        </w:tc>
        <w:tc>
          <w:tcPr>
            <w:tcW w:type="dxa" w:w="2131"/>
            <w:vAlign w:val="center"/>
            <w:shd w:fill="EEEEEE"/>
          </w:tcPr>
          <w:p>
            <w:pPr>
              <w:keepNext/>
              <w:spacing w:after="60" w:line="240" w:lineRule="auto"/>
              <w:jc w:val="center"/>
            </w:pPr>
            <w:r>
              <w:rPr>
                <w:rFonts w:ascii="Arial" w:hAnsi="Arial"/>
                <w:b/>
                <w:color w:val="000000"/>
                <w:sz w:val="18"/>
              </w:rPr>
              <w:t>Clases dominantes</w:t>
            </w:r>
          </w:p>
        </w:tc>
      </w:tr>
      <w:tr>
        <w:trPr>
          <w:cantSplit/>
          <w:cantSplit/>
        </w:trPr>
        <w:tc>
          <w:tcPr>
            <w:tcW w:type="dxa" w:w="1354"/>
            <w:vAlign w:val="center"/>
          </w:tcPr>
          <w:p>
            <w:pPr>
              <w:keepNext/>
              <w:spacing w:after="60" w:line="240" w:lineRule="auto"/>
              <w:jc w:val="center"/>
            </w:pPr>
            <w:r>
              <w:rPr>
                <w:rFonts w:ascii="Arial" w:hAnsi="Arial"/>
                <w:b w:val="0"/>
                <w:color w:val="000000"/>
                <w:sz w:val="18"/>
              </w:rPr>
              <w:t>0,5-1,0 m</w:t>
            </w:r>
          </w:p>
        </w:tc>
        <w:tc>
          <w:tcPr>
            <w:tcW w:type="dxa" w:w="864"/>
            <w:vAlign w:val="center"/>
          </w:tcPr>
          <w:p>
            <w:pPr>
              <w:keepNext/>
              <w:spacing w:after="60" w:line="240" w:lineRule="auto"/>
              <w:jc w:val="center"/>
            </w:pPr>
            <w:r>
              <w:rPr>
                <w:rFonts w:ascii="Arial" w:hAnsi="Arial"/>
                <w:b w:val="0"/>
                <w:color w:val="000000"/>
                <w:sz w:val="18"/>
              </w:rPr>
              <w:t>73</w:t>
            </w:r>
          </w:p>
        </w:tc>
        <w:tc>
          <w:tcPr>
            <w:tcW w:type="dxa" w:w="864"/>
            <w:vAlign w:val="center"/>
          </w:tcPr>
          <w:p>
            <w:pPr>
              <w:keepNext/>
              <w:spacing w:after="60" w:line="240" w:lineRule="auto"/>
              <w:jc w:val="center"/>
            </w:pPr>
            <w:r>
              <w:rPr>
                <w:rFonts w:ascii="Arial" w:hAnsi="Arial"/>
                <w:b w:val="0"/>
                <w:color w:val="000000"/>
                <w:sz w:val="18"/>
              </w:rPr>
              <w:t>55</w:t>
            </w:r>
          </w:p>
        </w:tc>
        <w:tc>
          <w:tcPr>
            <w:tcW w:type="dxa" w:w="922"/>
            <w:vAlign w:val="center"/>
          </w:tcPr>
          <w:p>
            <w:pPr>
              <w:keepNext/>
              <w:spacing w:after="60" w:line="240" w:lineRule="auto"/>
              <w:jc w:val="center"/>
            </w:pPr>
            <w:r>
              <w:rPr>
                <w:rFonts w:ascii="Arial" w:hAnsi="Arial"/>
                <w:b w:val="0"/>
                <w:color w:val="000000"/>
                <w:sz w:val="18"/>
              </w:rPr>
              <w:t>75,3%</w:t>
            </w:r>
          </w:p>
        </w:tc>
        <w:tc>
          <w:tcPr>
            <w:tcW w:type="dxa" w:w="1181"/>
            <w:vAlign w:val="center"/>
          </w:tcPr>
          <w:p>
            <w:pPr>
              <w:keepNext/>
              <w:spacing w:after="60" w:line="240" w:lineRule="auto"/>
              <w:jc w:val="center"/>
            </w:pPr>
            <w:r>
              <w:rPr>
                <w:rFonts w:ascii="Arial" w:hAnsi="Arial"/>
                <w:b w:val="0"/>
                <w:color w:val="000000"/>
                <w:sz w:val="18"/>
              </w:rPr>
              <w:t>75,7%</w:t>
            </w:r>
          </w:p>
        </w:tc>
        <w:tc>
          <w:tcPr>
            <w:tcW w:type="dxa" w:w="1440"/>
            <w:vAlign w:val="center"/>
          </w:tcPr>
          <w:p>
            <w:pPr>
              <w:keepNext/>
              <w:spacing w:after="60" w:line="240" w:lineRule="auto"/>
              <w:jc w:val="center"/>
            </w:pPr>
            <w:r>
              <w:rPr>
                <w:rFonts w:ascii="Arial" w:hAnsi="Arial"/>
                <w:b w:val="0"/>
                <w:color w:val="000000"/>
                <w:sz w:val="18"/>
              </w:rPr>
              <w:t>[57,0%; 94,1%]</w:t>
            </w:r>
          </w:p>
        </w:tc>
        <w:tc>
          <w:tcPr>
            <w:tcW w:type="dxa" w:w="2131"/>
            <w:vAlign w:val="center"/>
          </w:tcPr>
          <w:p>
            <w:pPr>
              <w:keepNext/>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keepNext/>
              <w:spacing w:after="60" w:line="240" w:lineRule="auto"/>
              <w:jc w:val="center"/>
            </w:pPr>
            <w:r>
              <w:rPr>
                <w:rFonts w:ascii="Arial" w:hAnsi="Arial"/>
                <w:b w:val="0"/>
                <w:color w:val="000000"/>
                <w:sz w:val="18"/>
              </w:rPr>
              <w:t>1,0-2,0 m</w:t>
            </w:r>
          </w:p>
        </w:tc>
        <w:tc>
          <w:tcPr>
            <w:tcW w:type="dxa" w:w="864"/>
            <w:vAlign w:val="center"/>
          </w:tcPr>
          <w:p>
            <w:pPr>
              <w:keepNext/>
              <w:spacing w:after="60" w:line="240" w:lineRule="auto"/>
              <w:jc w:val="center"/>
            </w:pPr>
            <w:r>
              <w:rPr>
                <w:rFonts w:ascii="Arial" w:hAnsi="Arial"/>
                <w:b w:val="0"/>
                <w:color w:val="000000"/>
                <w:sz w:val="18"/>
              </w:rPr>
              <w:t>160</w:t>
            </w:r>
          </w:p>
        </w:tc>
        <w:tc>
          <w:tcPr>
            <w:tcW w:type="dxa" w:w="864"/>
            <w:vAlign w:val="center"/>
          </w:tcPr>
          <w:p>
            <w:pPr>
              <w:keepNext/>
              <w:spacing w:after="60" w:line="240" w:lineRule="auto"/>
              <w:jc w:val="center"/>
            </w:pPr>
            <w:r>
              <w:rPr>
                <w:rFonts w:ascii="Arial" w:hAnsi="Arial"/>
                <w:b w:val="0"/>
                <w:color w:val="000000"/>
                <w:sz w:val="18"/>
              </w:rPr>
              <w:t>106</w:t>
            </w:r>
          </w:p>
        </w:tc>
        <w:tc>
          <w:tcPr>
            <w:tcW w:type="dxa" w:w="922"/>
            <w:vAlign w:val="center"/>
          </w:tcPr>
          <w:p>
            <w:pPr>
              <w:keepNext/>
              <w:spacing w:after="60" w:line="240" w:lineRule="auto"/>
              <w:jc w:val="center"/>
            </w:pPr>
            <w:r>
              <w:rPr>
                <w:rFonts w:ascii="Arial" w:hAnsi="Arial"/>
                <w:b w:val="0"/>
                <w:color w:val="000000"/>
                <w:sz w:val="18"/>
              </w:rPr>
              <w:t>66,2%</w:t>
            </w:r>
          </w:p>
        </w:tc>
        <w:tc>
          <w:tcPr>
            <w:tcW w:type="dxa" w:w="1181"/>
            <w:vAlign w:val="center"/>
          </w:tcPr>
          <w:p>
            <w:pPr>
              <w:keepNext/>
              <w:spacing w:after="60" w:line="240" w:lineRule="auto"/>
              <w:jc w:val="center"/>
            </w:pPr>
            <w:r>
              <w:rPr>
                <w:rFonts w:ascii="Arial" w:hAnsi="Arial"/>
                <w:b w:val="0"/>
                <w:color w:val="000000"/>
                <w:sz w:val="18"/>
              </w:rPr>
              <w:t>66,6%</w:t>
            </w:r>
          </w:p>
        </w:tc>
        <w:tc>
          <w:tcPr>
            <w:tcW w:type="dxa" w:w="1440"/>
            <w:vAlign w:val="center"/>
          </w:tcPr>
          <w:p>
            <w:pPr>
              <w:keepNext/>
              <w:spacing w:after="60" w:line="240" w:lineRule="auto"/>
              <w:jc w:val="center"/>
            </w:pPr>
            <w:r>
              <w:rPr>
                <w:rFonts w:ascii="Arial" w:hAnsi="Arial"/>
                <w:b w:val="0"/>
                <w:color w:val="000000"/>
                <w:sz w:val="18"/>
              </w:rPr>
              <w:t>[54,7%; 78,4%]</w:t>
            </w:r>
          </w:p>
        </w:tc>
        <w:tc>
          <w:tcPr>
            <w:tcW w:type="dxa" w:w="2131"/>
            <w:vAlign w:val="center"/>
          </w:tcPr>
          <w:p>
            <w:pPr>
              <w:keepNext/>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keepNext/>
              <w:spacing w:after="60" w:line="240" w:lineRule="auto"/>
              <w:jc w:val="center"/>
            </w:pPr>
            <w:r>
              <w:rPr>
                <w:rFonts w:ascii="Arial" w:hAnsi="Arial"/>
                <w:b w:val="0"/>
                <w:color w:val="000000"/>
                <w:sz w:val="18"/>
              </w:rPr>
              <w:t>2,0-3,0 m</w:t>
            </w:r>
          </w:p>
        </w:tc>
        <w:tc>
          <w:tcPr>
            <w:tcW w:type="dxa" w:w="864"/>
            <w:vAlign w:val="center"/>
          </w:tcPr>
          <w:p>
            <w:pPr>
              <w:keepNext/>
              <w:spacing w:after="60" w:line="240" w:lineRule="auto"/>
              <w:jc w:val="center"/>
            </w:pPr>
            <w:r>
              <w:rPr>
                <w:rFonts w:ascii="Arial" w:hAnsi="Arial"/>
                <w:b w:val="0"/>
                <w:color w:val="000000"/>
                <w:sz w:val="18"/>
              </w:rPr>
              <w:t>120</w:t>
            </w:r>
          </w:p>
        </w:tc>
        <w:tc>
          <w:tcPr>
            <w:tcW w:type="dxa" w:w="864"/>
            <w:vAlign w:val="center"/>
          </w:tcPr>
          <w:p>
            <w:pPr>
              <w:keepNext/>
              <w:spacing w:after="60" w:line="240" w:lineRule="auto"/>
              <w:jc w:val="center"/>
            </w:pPr>
            <w:r>
              <w:rPr>
                <w:rFonts w:ascii="Arial" w:hAnsi="Arial"/>
                <w:b w:val="0"/>
                <w:color w:val="000000"/>
                <w:sz w:val="18"/>
              </w:rPr>
              <w:t>75</w:t>
            </w:r>
          </w:p>
        </w:tc>
        <w:tc>
          <w:tcPr>
            <w:tcW w:type="dxa" w:w="922"/>
            <w:vAlign w:val="center"/>
          </w:tcPr>
          <w:p>
            <w:pPr>
              <w:keepNext/>
              <w:spacing w:after="60" w:line="240" w:lineRule="auto"/>
              <w:jc w:val="center"/>
            </w:pPr>
            <w:r>
              <w:rPr>
                <w:rFonts w:ascii="Arial" w:hAnsi="Arial"/>
                <w:b w:val="0"/>
                <w:color w:val="000000"/>
                <w:sz w:val="18"/>
              </w:rPr>
              <w:t>62,5%</w:t>
            </w:r>
          </w:p>
        </w:tc>
        <w:tc>
          <w:tcPr>
            <w:tcW w:type="dxa" w:w="1181"/>
            <w:vAlign w:val="center"/>
          </w:tcPr>
          <w:p>
            <w:pPr>
              <w:keepNext/>
              <w:spacing w:after="60" w:line="240" w:lineRule="auto"/>
              <w:jc w:val="center"/>
            </w:pPr>
            <w:r>
              <w:rPr>
                <w:rFonts w:ascii="Arial" w:hAnsi="Arial"/>
                <w:b w:val="0"/>
                <w:color w:val="000000"/>
                <w:sz w:val="18"/>
              </w:rPr>
              <w:t>62,3%</w:t>
            </w:r>
          </w:p>
        </w:tc>
        <w:tc>
          <w:tcPr>
            <w:tcW w:type="dxa" w:w="1440"/>
            <w:vAlign w:val="center"/>
          </w:tcPr>
          <w:p>
            <w:pPr>
              <w:keepNext/>
              <w:spacing w:after="60" w:line="240" w:lineRule="auto"/>
              <w:jc w:val="center"/>
            </w:pPr>
            <w:r>
              <w:rPr>
                <w:rFonts w:ascii="Arial" w:hAnsi="Arial"/>
                <w:b w:val="0"/>
                <w:color w:val="000000"/>
                <w:sz w:val="18"/>
              </w:rPr>
              <w:t>[50,0%; 73,4%]</w:t>
            </w:r>
          </w:p>
        </w:tc>
        <w:tc>
          <w:tcPr>
            <w:tcW w:type="dxa" w:w="2131"/>
            <w:vAlign w:val="center"/>
          </w:tcPr>
          <w:p>
            <w:pPr>
              <w:keepNext/>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keepNext/>
              <w:spacing w:after="60" w:line="240" w:lineRule="auto"/>
              <w:jc w:val="center"/>
            </w:pPr>
            <w:r>
              <w:rPr>
                <w:rFonts w:ascii="Arial" w:hAnsi="Arial"/>
                <w:b w:val="0"/>
                <w:color w:val="000000"/>
                <w:sz w:val="18"/>
              </w:rPr>
              <w:t>3,0-4,0 m</w:t>
            </w:r>
          </w:p>
        </w:tc>
        <w:tc>
          <w:tcPr>
            <w:tcW w:type="dxa" w:w="864"/>
            <w:vAlign w:val="center"/>
          </w:tcPr>
          <w:p>
            <w:pPr>
              <w:keepNext/>
              <w:spacing w:after="60" w:line="240" w:lineRule="auto"/>
              <w:jc w:val="center"/>
            </w:pPr>
            <w:r>
              <w:rPr>
                <w:rFonts w:ascii="Arial" w:hAnsi="Arial"/>
                <w:b w:val="0"/>
                <w:color w:val="000000"/>
                <w:sz w:val="18"/>
              </w:rPr>
              <w:t>143</w:t>
            </w:r>
          </w:p>
        </w:tc>
        <w:tc>
          <w:tcPr>
            <w:tcW w:type="dxa" w:w="864"/>
            <w:vAlign w:val="center"/>
          </w:tcPr>
          <w:p>
            <w:pPr>
              <w:keepNext/>
              <w:spacing w:after="60" w:line="240" w:lineRule="auto"/>
              <w:jc w:val="center"/>
            </w:pPr>
            <w:r>
              <w:rPr>
                <w:rFonts w:ascii="Arial" w:hAnsi="Arial"/>
                <w:b w:val="0"/>
                <w:color w:val="000000"/>
                <w:sz w:val="18"/>
              </w:rPr>
              <w:t>89</w:t>
            </w:r>
          </w:p>
        </w:tc>
        <w:tc>
          <w:tcPr>
            <w:tcW w:type="dxa" w:w="922"/>
            <w:vAlign w:val="center"/>
          </w:tcPr>
          <w:p>
            <w:pPr>
              <w:keepNext/>
              <w:spacing w:after="60" w:line="240" w:lineRule="auto"/>
              <w:jc w:val="center"/>
            </w:pPr>
            <w:r>
              <w:rPr>
                <w:rFonts w:ascii="Arial" w:hAnsi="Arial"/>
                <w:b w:val="0"/>
                <w:color w:val="000000"/>
                <w:sz w:val="18"/>
              </w:rPr>
              <w:t>62,2%</w:t>
            </w:r>
          </w:p>
        </w:tc>
        <w:tc>
          <w:tcPr>
            <w:tcW w:type="dxa" w:w="1181"/>
            <w:vAlign w:val="center"/>
          </w:tcPr>
          <w:p>
            <w:pPr>
              <w:keepNext/>
              <w:spacing w:after="60" w:line="240" w:lineRule="auto"/>
              <w:jc w:val="center"/>
            </w:pPr>
            <w:r>
              <w:rPr>
                <w:rFonts w:ascii="Arial" w:hAnsi="Arial"/>
                <w:b w:val="0"/>
                <w:color w:val="000000"/>
                <w:sz w:val="18"/>
              </w:rPr>
              <w:t>62,6%</w:t>
            </w:r>
          </w:p>
        </w:tc>
        <w:tc>
          <w:tcPr>
            <w:tcW w:type="dxa" w:w="1440"/>
            <w:vAlign w:val="center"/>
          </w:tcPr>
          <w:p>
            <w:pPr>
              <w:keepNext/>
              <w:spacing w:after="60" w:line="240" w:lineRule="auto"/>
              <w:jc w:val="center"/>
            </w:pPr>
            <w:r>
              <w:rPr>
                <w:rFonts w:ascii="Arial" w:hAnsi="Arial"/>
                <w:b w:val="0"/>
                <w:color w:val="000000"/>
                <w:sz w:val="18"/>
              </w:rPr>
              <w:t>[45,9%; 76,2%]</w:t>
            </w:r>
          </w:p>
        </w:tc>
        <w:tc>
          <w:tcPr>
            <w:tcW w:type="dxa" w:w="2131"/>
            <w:vAlign w:val="center"/>
          </w:tcPr>
          <w:p>
            <w:pPr>
              <w:keepNext/>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keepNext/>
              <w:spacing w:after="60" w:line="240" w:lineRule="auto"/>
              <w:jc w:val="center"/>
            </w:pPr>
            <w:r>
              <w:rPr>
                <w:rFonts w:ascii="Arial" w:hAnsi="Arial"/>
                <w:b w:val="0"/>
                <w:color w:val="000000"/>
                <w:sz w:val="18"/>
              </w:rPr>
              <w:t>4,0-6,0 m</w:t>
            </w:r>
          </w:p>
        </w:tc>
        <w:tc>
          <w:tcPr>
            <w:tcW w:type="dxa" w:w="864"/>
            <w:vAlign w:val="center"/>
          </w:tcPr>
          <w:p>
            <w:pPr>
              <w:keepNext/>
              <w:spacing w:after="60" w:line="240" w:lineRule="auto"/>
              <w:jc w:val="center"/>
            </w:pPr>
            <w:r>
              <w:rPr>
                <w:rFonts w:ascii="Arial" w:hAnsi="Arial"/>
                <w:b w:val="0"/>
                <w:color w:val="000000"/>
                <w:sz w:val="18"/>
              </w:rPr>
              <w:t>142</w:t>
            </w:r>
          </w:p>
        </w:tc>
        <w:tc>
          <w:tcPr>
            <w:tcW w:type="dxa" w:w="864"/>
            <w:vAlign w:val="center"/>
          </w:tcPr>
          <w:p>
            <w:pPr>
              <w:keepNext/>
              <w:spacing w:after="60" w:line="240" w:lineRule="auto"/>
              <w:jc w:val="center"/>
            </w:pPr>
            <w:r>
              <w:rPr>
                <w:rFonts w:ascii="Arial" w:hAnsi="Arial"/>
                <w:b w:val="0"/>
                <w:color w:val="000000"/>
                <w:sz w:val="18"/>
              </w:rPr>
              <w:t>52</w:t>
            </w:r>
          </w:p>
        </w:tc>
        <w:tc>
          <w:tcPr>
            <w:tcW w:type="dxa" w:w="922"/>
            <w:vAlign w:val="center"/>
          </w:tcPr>
          <w:p>
            <w:pPr>
              <w:keepNext/>
              <w:spacing w:after="60" w:line="240" w:lineRule="auto"/>
              <w:jc w:val="center"/>
            </w:pPr>
            <w:r>
              <w:rPr>
                <w:rFonts w:ascii="Arial" w:hAnsi="Arial"/>
                <w:b w:val="0"/>
                <w:color w:val="000000"/>
                <w:sz w:val="18"/>
              </w:rPr>
              <w:t>36,6%</w:t>
            </w:r>
          </w:p>
        </w:tc>
        <w:tc>
          <w:tcPr>
            <w:tcW w:type="dxa" w:w="1181"/>
            <w:vAlign w:val="center"/>
          </w:tcPr>
          <w:p>
            <w:pPr>
              <w:keepNext/>
              <w:spacing w:after="60" w:line="240" w:lineRule="auto"/>
              <w:jc w:val="center"/>
            </w:pPr>
            <w:r>
              <w:rPr>
                <w:rFonts w:ascii="Arial" w:hAnsi="Arial"/>
                <w:b w:val="0"/>
                <w:color w:val="000000"/>
                <w:sz w:val="18"/>
              </w:rPr>
              <w:t>36,4%</w:t>
            </w:r>
          </w:p>
        </w:tc>
        <w:tc>
          <w:tcPr>
            <w:tcW w:type="dxa" w:w="1440"/>
            <w:vAlign w:val="center"/>
          </w:tcPr>
          <w:p>
            <w:pPr>
              <w:keepNext/>
              <w:spacing w:after="60" w:line="240" w:lineRule="auto"/>
              <w:jc w:val="center"/>
            </w:pPr>
            <w:r>
              <w:rPr>
                <w:rFonts w:ascii="Arial" w:hAnsi="Arial"/>
                <w:b w:val="0"/>
                <w:color w:val="000000"/>
                <w:sz w:val="18"/>
              </w:rPr>
              <w:t>[25,0%; 48,1%]</w:t>
            </w:r>
          </w:p>
        </w:tc>
        <w:tc>
          <w:tcPr>
            <w:tcW w:type="dxa" w:w="2131"/>
            <w:vAlign w:val="center"/>
          </w:tcPr>
          <w:p>
            <w:pPr>
              <w:keepNext/>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keepNext w:val="0"/>
              <w:spacing w:after="60" w:line="240" w:lineRule="auto"/>
              <w:jc w:val="center"/>
            </w:pPr>
            <w:r>
              <w:rPr>
                <w:rFonts w:ascii="Arial" w:hAnsi="Arial"/>
                <w:b w:val="0"/>
                <w:color w:val="000000"/>
                <w:sz w:val="18"/>
              </w:rPr>
              <w:t>6,0+ m</w:t>
            </w:r>
          </w:p>
        </w:tc>
        <w:tc>
          <w:tcPr>
            <w:tcW w:type="dxa" w:w="864"/>
            <w:vAlign w:val="center"/>
          </w:tcPr>
          <w:p>
            <w:pPr>
              <w:keepNext w:val="0"/>
              <w:spacing w:after="60" w:line="240" w:lineRule="auto"/>
              <w:jc w:val="center"/>
            </w:pPr>
            <w:r>
              <w:rPr>
                <w:rFonts w:ascii="Arial" w:hAnsi="Arial"/>
                <w:b w:val="0"/>
                <w:color w:val="000000"/>
                <w:sz w:val="18"/>
              </w:rPr>
              <w:t>245</w:t>
            </w:r>
          </w:p>
        </w:tc>
        <w:tc>
          <w:tcPr>
            <w:tcW w:type="dxa" w:w="864"/>
            <w:vAlign w:val="center"/>
          </w:tcPr>
          <w:p>
            <w:pPr>
              <w:keepNext w:val="0"/>
              <w:spacing w:after="60" w:line="240" w:lineRule="auto"/>
              <w:jc w:val="center"/>
            </w:pPr>
            <w:r>
              <w:rPr>
                <w:rFonts w:ascii="Arial" w:hAnsi="Arial"/>
                <w:b w:val="0"/>
                <w:color w:val="000000"/>
                <w:sz w:val="18"/>
              </w:rPr>
              <w:t>43</w:t>
            </w:r>
          </w:p>
        </w:tc>
        <w:tc>
          <w:tcPr>
            <w:tcW w:type="dxa" w:w="922"/>
            <w:vAlign w:val="center"/>
          </w:tcPr>
          <w:p>
            <w:pPr>
              <w:keepNext w:val="0"/>
              <w:spacing w:after="60" w:line="240" w:lineRule="auto"/>
              <w:jc w:val="center"/>
            </w:pPr>
            <w:r>
              <w:rPr>
                <w:rFonts w:ascii="Arial" w:hAnsi="Arial"/>
                <w:b w:val="0"/>
                <w:color w:val="000000"/>
                <w:sz w:val="18"/>
              </w:rPr>
              <w:t>17,6%</w:t>
            </w:r>
          </w:p>
        </w:tc>
        <w:tc>
          <w:tcPr>
            <w:tcW w:type="dxa" w:w="1181"/>
            <w:vAlign w:val="center"/>
          </w:tcPr>
          <w:p>
            <w:pPr>
              <w:keepNext w:val="0"/>
              <w:spacing w:after="60" w:line="240" w:lineRule="auto"/>
              <w:jc w:val="center"/>
            </w:pPr>
            <w:r>
              <w:rPr>
                <w:rFonts w:ascii="Arial" w:hAnsi="Arial"/>
                <w:b w:val="0"/>
                <w:color w:val="000000"/>
                <w:sz w:val="18"/>
              </w:rPr>
              <w:t>16,5%</w:t>
            </w:r>
          </w:p>
        </w:tc>
        <w:tc>
          <w:tcPr>
            <w:tcW w:type="dxa" w:w="1440"/>
            <w:vAlign w:val="center"/>
          </w:tcPr>
          <w:p>
            <w:pPr>
              <w:keepNext w:val="0"/>
              <w:spacing w:after="60" w:line="240" w:lineRule="auto"/>
              <w:jc w:val="center"/>
            </w:pPr>
            <w:r>
              <w:rPr>
                <w:rFonts w:ascii="Arial" w:hAnsi="Arial"/>
                <w:b w:val="0"/>
                <w:color w:val="000000"/>
                <w:sz w:val="18"/>
              </w:rPr>
              <w:t>[7,9%; 21,4%]</w:t>
            </w:r>
          </w:p>
        </w:tc>
        <w:tc>
          <w:tcPr>
            <w:tcW w:type="dxa" w:w="2131"/>
            <w:vAlign w:val="center"/>
          </w:tcPr>
          <w:p>
            <w:pPr>
              <w:keepNext w:val="0"/>
              <w:spacing w:after="60" w:line="240" w:lineRule="auto"/>
              <w:jc w:val="center"/>
            </w:pPr>
            <w:r>
              <w:rPr>
                <w:rFonts w:ascii="Arial" w:hAnsi="Arial"/>
                <w:b w:val="0"/>
                <w:color w:val="000000"/>
                <w:sz w:val="18"/>
              </w:rPr>
              <w:t>silla 53 %, lavamanos 15 %, persona 13 %</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0" name="Picture 50"/>
            <wp:cNvGraphicFramePr>
              <ns4:graphicFrameLocks noChangeAspect="1"/>
            </wp:cNvGraphicFramePr>
            <ns4:graphic>
              <ns4:graphicData uri="http://schemas.openxmlformats.org/drawingml/2006/picture">
                <ns5:pic>
                  <ns5:nvPicPr>
                    <ns5:cNvPr id="0" name="depth_recall.png"/>
                    <ns5:cNvPicPr/>
                  </ns5:nvPicPr>
                  <ns5:blipFill>
                    <ns4:blip r:embed="rId50"/>
                    <ns4:stretch>
                      <ns4:fillRect/>
                    </ns4:stretch>
                  </ns5:blipFill>
                  <ns5:spPr>
                    <ns4:xfrm>
                      <ns4:off x="0" y="0"/>
                      <ns4:ext cx="5166360" cy="3321231"/>
                    </ns4:xfrm>
                    <ns4:prstGeom prst="rect"/>
                  </ns5:spPr>
                </ns5:pic>
              </ns4:graphicData>
            </ns4:graphic>
          </wp:inline>
        </w:drawing>
      </w:r>
    </w:p>
    <w:p>
      <w:bookmarkStart w:id="1067" w:name="report_1067"/>
      <w:pPr>
        <w:pStyle w:val="Descripcin"/>
        <w:keepNext/>
        <w:spacing w:line="240" w:lineRule="auto" w:after="160" w:before="160"/>
        <w:jc w:val="center"/>
      </w:pPr>
      <w:r>
        <w:rPr>
          <w:sz w:val="20"/>
        </w:rPr>
        <w:t xml:space="preserve">Figura 4.3. </w:t>
      </w:r>
      <w:r>
        <w:rPr>
          <w:i/>
          <w:sz w:val="20"/>
        </w:rPr>
        <w:t>Recall</w:t>
      </w:r>
      <w:r>
        <w:rPr>
          <w:sz w:val="20"/>
        </w:rPr>
        <w:t xml:space="preserve"> por distancia estimada e intervalo </w:t>
      </w:r>
      <w:r>
        <w:rPr>
          <w:i/>
          <w:sz w:val="20"/>
        </w:rPr>
        <w:t>bootstrap</w:t>
      </w:r>
      <w:r>
        <w:rPr>
          <w:sz w:val="20"/>
        </w:rPr>
        <w:t xml:space="preserve"> del 95 %.</w:t>
      </w:r>
      <w:bookmarkEnd w:id="1067"/>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El </w:t>
      </w:r>
      <w:r>
        <w:rPr>
          <w:i/>
        </w:rPr>
        <w:t>recall</w:t>
      </w:r>
      <w:r>
        <w:t xml:space="preserve"> se mantiene entre 60 % y 75 % hasta aproximadamente 4 m (bandas 0,5-1 m: 75,3%; 1-2 m: 66,2%; 2-3 m: 62,5%; 3-4 m: 62,2%), cae a 36,6% en 4-6 m y colapsa a 17,6% a partir de 6 m. Bajo un criterio operativo de </w:t>
      </w:r>
      <w:r>
        <w:rPr>
          <w:i/>
        </w:rPr>
        <w:t>recall</w:t>
      </w:r>
      <w:r>
        <w:t xml:space="preserve">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widowControl/>
        <w:spacing w:line="360" w:lineRule="auto" w:after="330"/>
        <w:jc w:val="both"/>
      </w:pPr>
      <w:r>
        <w:t xml:space="preserve">Entre posiciones también hay matices en las bandas lejanas: a más de 6 m, el Gorillapod 1x preserva el mejor </w:t>
      </w:r>
      <w:r>
        <w:rPr>
          <w:i/>
        </w:rPr>
        <w:t>recall</w:t>
      </w:r>
      <w:r>
        <w:t xml:space="preserve"> (26,7% con 45 instancias) frente a 16,3% del arnés de cabeza y 21,2% del de pecho; y el ultra gran angular pierde algo más a distancia (Gorillapod 0,5x: 6,8%). Como en las bandas lejanas dominan sillas, mesas y lavamanos vistos de lejos, ese margen es únicamente exploratorio.</w:t>
      </w:r>
    </w:p>
    <w:p>
      <w:pPr>
        <w:widowControl/>
        <w:spacing w:line="360" w:lineRule="auto" w:after="330"/>
        <w:jc w:val="both"/>
      </w:pPr>
      <w:r>
        <w:t xml:space="preserve">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w:t>
      </w:r>
      <w:r>
        <w:rPr>
          <w:i/>
        </w:rPr>
        <w:t>recall</w:t>
      </w:r>
      <w:r>
        <w:t xml:space="preserve"> por banda mezcla profundidad con dificultad por clase. El resultado no caracteriza el sensor ni justifica limitar el asistente a 4 m. Se requiere validación con distancias medidas en escenas nuevas. Los intervalos </w:t>
      </w:r>
      <w:r>
        <w:rPr>
          <w:i/>
        </w:rPr>
        <w:t>bootstrap</w:t>
      </w:r>
      <w:r>
        <w:t xml:space="preserve"> describen el muestreo de instancias por grupos y no incorporan el error de estimación de distancia.</w:t>
      </w:r>
    </w:p>
    <w:p>
      <w:bookmarkStart w:id="1068" w:name="report_1068"/>
      <w:pPr>
        <w:pStyle w:val="Ttulo2"/>
      </w:pPr>
      <w:r>
        <w:t>4.5 Métricas complementarias de detección</w:t>
      </w:r>
      <w:bookmarkEnd w:id="1068"/>
    </w:p>
    <w:p>
      <w:pPr>
        <w:widowControl/>
        <w:spacing w:line="360" w:lineRule="auto" w:after="330"/>
        <w:jc w:val="both"/>
      </w:pPr>
      <w:r>
        <w:t xml:space="preserve">Como complemento de los conteos se reportan precisión, </w:t>
      </w:r>
      <w:r>
        <w:rPr>
          <w:i/>
        </w:rPr>
        <w:t>recall</w:t>
      </w:r>
      <w:r>
        <w:t>,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69" w:name="report_1069"/>
      <w:pPr>
        <w:pStyle w:val="Descripcin"/>
        <w:keepNext/>
        <w:spacing w:line="240" w:lineRule="auto" w:before="160" w:after="160"/>
        <w:jc w:val="center"/>
      </w:pPr>
      <w:r>
        <w:rPr>
          <w:sz w:val="20"/>
        </w:rPr>
        <w:t>Tabla 4.7. Resultados por clase en el conjunto completo.</w:t>
      </w:r>
      <w:bookmarkEnd w:id="106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TP</w:t>
            </w:r>
          </w:p>
        </w:tc>
        <w:tc>
          <w:tcPr>
            <w:tcW w:type="dxa" w:w="1111"/>
            <w:vAlign w:val="center"/>
            <w:shd w:fill="EEEEEE"/>
          </w:tcPr>
          <w:p>
            <w:pPr>
              <w:keepNext/>
              <w:spacing w:line="240" w:lineRule="auto" w:after="60"/>
            </w:pPr>
            <w:r>
              <w:rPr>
                <w:rFonts w:ascii="Arial" w:hAnsi="Arial"/>
                <w:b/>
                <w:sz w:val="18"/>
              </w:rPr>
              <w:t>FP</w:t>
            </w:r>
          </w:p>
        </w:tc>
        <w:tc>
          <w:tcPr>
            <w:tcW w:type="dxa" w:w="1111"/>
            <w:vAlign w:val="center"/>
            <w:shd w:fill="EEEEEE"/>
          </w:tcPr>
          <w:p>
            <w:pPr>
              <w:keepNext/>
              <w:spacing w:line="240" w:lineRule="auto" w:after="60"/>
            </w:pPr>
            <w:r>
              <w:rPr>
                <w:rFonts w:ascii="Arial" w:hAnsi="Arial"/>
                <w:b/>
                <w:sz w:val="18"/>
              </w:rPr>
              <w:t>FN</w:t>
            </w:r>
          </w:p>
        </w:tc>
        <w:tc>
          <w:tcPr>
            <w:tcW w:type="dxa" w:w="1111"/>
            <w:vAlign w:val="center"/>
            <w:shd w:fill="EEEEEE"/>
          </w:tcPr>
          <w:p>
            <w:pPr>
              <w:keepNext/>
              <w:spacing w:line="240" w:lineRule="auto" w:after="60"/>
            </w:pPr>
            <w:r>
              <w:rPr>
                <w:rFonts w:ascii="Arial" w:hAnsi="Arial"/>
                <w:b/>
                <w:sz w:val="18"/>
              </w:rPr>
              <w:t>Precisión</w:t>
            </w:r>
          </w:p>
        </w:tc>
        <w:tc>
          <w:tcPr>
            <w:tcW w:type="dxa" w:w="1111"/>
            <w:vAlign w:val="center"/>
            <w:shd w:fill="EEEEEE"/>
          </w:tcPr>
          <w:p>
            <w:pPr>
              <w:keepNext/>
              <w:spacing w:line="240" w:lineRule="auto" w:after="60"/>
            </w:pPr>
            <w:r>
              <w:rPr>
                <w:rFonts w:ascii="Arial" w:hAnsi="Arial"/>
                <w:b/>
                <w:sz w:val="18"/>
              </w:rPr>
              <w:t>Recall</w:t>
            </w:r>
          </w:p>
        </w:tc>
        <w:tc>
          <w:tcPr>
            <w:tcW w:type="dxa" w:w="1111"/>
            <w:vAlign w:val="center"/>
            <w:shd w:fill="EEEEEE"/>
          </w:tcPr>
          <w:p>
            <w:pPr>
              <w:keepNext/>
              <w:spacing w:line="240" w:lineRule="auto" w:after="60"/>
            </w:pP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44</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95,7%</w:t>
            </w:r>
          </w:p>
        </w:tc>
        <w:tc>
          <w:tcPr>
            <w:tcW w:type="dxa" w:w="1111"/>
            <w:vAlign w:val="center"/>
          </w:tcPr>
          <w:p>
            <w:pPr>
              <w:keepNext/>
              <w:spacing w:line="240" w:lineRule="auto" w:after="60"/>
            </w:pPr>
            <w:r>
              <w:rPr>
                <w:rFonts w:ascii="Arial" w:hAnsi="Arial"/>
                <w:b w:val="0"/>
                <w:sz w:val="18"/>
              </w:rPr>
              <w:t>78,6%</w:t>
            </w:r>
          </w:p>
        </w:tc>
        <w:tc>
          <w:tcPr>
            <w:tcW w:type="dxa" w:w="1111"/>
            <w:vAlign w:val="center"/>
          </w:tcPr>
          <w:p>
            <w:pPr>
              <w:keepNext/>
              <w:spacing w:line="240" w:lineRule="auto" w:after="60"/>
            </w:pPr>
            <w:r>
              <w:rPr>
                <w:rFonts w:ascii="Arial" w:hAnsi="Arial"/>
                <w:b w:val="0"/>
                <w:sz w:val="18"/>
              </w:rPr>
              <w:t>86,3%</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194</w:t>
            </w:r>
          </w:p>
        </w:tc>
        <w:tc>
          <w:tcPr>
            <w:tcW w:type="dxa" w:w="1111"/>
            <w:vAlign w:val="center"/>
          </w:tcPr>
          <w:p>
            <w:pPr>
              <w:keepNext/>
              <w:spacing w:line="240" w:lineRule="auto" w:after="60"/>
            </w:pPr>
            <w:r>
              <w:rPr>
                <w:rFonts w:ascii="Arial" w:hAnsi="Arial"/>
                <w:b w:val="0"/>
                <w:sz w:val="18"/>
              </w:rPr>
              <w:t>88</w:t>
            </w:r>
          </w:p>
        </w:tc>
        <w:tc>
          <w:tcPr>
            <w:tcW w:type="dxa" w:w="1111"/>
            <w:vAlign w:val="center"/>
          </w:tcPr>
          <w:p>
            <w:pPr>
              <w:keepNext/>
              <w:spacing w:line="240" w:lineRule="auto" w:after="60"/>
            </w:pPr>
            <w:r>
              <w:rPr>
                <w:rFonts w:ascii="Arial" w:hAnsi="Arial"/>
                <w:b w:val="0"/>
                <w:sz w:val="18"/>
              </w:rPr>
              <w:t>244</w:t>
            </w:r>
          </w:p>
        </w:tc>
        <w:tc>
          <w:tcPr>
            <w:tcW w:type="dxa" w:w="1111"/>
            <w:vAlign w:val="center"/>
          </w:tcPr>
          <w:p>
            <w:pPr>
              <w:keepNext/>
              <w:spacing w:line="240" w:lineRule="auto" w:after="60"/>
            </w:pPr>
            <w:r>
              <w:rPr>
                <w:rFonts w:ascii="Arial" w:hAnsi="Arial"/>
                <w:b w:val="0"/>
                <w:sz w:val="18"/>
              </w:rPr>
              <w:t>68,8%</w:t>
            </w:r>
          </w:p>
        </w:tc>
        <w:tc>
          <w:tcPr>
            <w:tcW w:type="dxa" w:w="1111"/>
            <w:vAlign w:val="center"/>
          </w:tcPr>
          <w:p>
            <w:pPr>
              <w:keepNext/>
              <w:spacing w:line="240" w:lineRule="auto" w:after="60"/>
            </w:pPr>
            <w:r>
              <w:rPr>
                <w:rFonts w:ascii="Arial" w:hAnsi="Arial"/>
                <w:b w:val="0"/>
                <w:sz w:val="18"/>
              </w:rPr>
              <w:t>44,3%</w:t>
            </w:r>
          </w:p>
        </w:tc>
        <w:tc>
          <w:tcPr>
            <w:tcW w:type="dxa" w:w="1111"/>
            <w:vAlign w:val="center"/>
          </w:tcPr>
          <w:p>
            <w:pPr>
              <w:keepNext/>
              <w:spacing w:line="240" w:lineRule="auto" w:after="60"/>
            </w:pPr>
            <w:r>
              <w:rPr>
                <w:rFonts w:ascii="Arial" w:hAnsi="Arial"/>
                <w:b w:val="0"/>
                <w:sz w:val="18"/>
              </w:rPr>
              <w:t>53,9%</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6</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28</w:t>
            </w:r>
          </w:p>
        </w:tc>
        <w:tc>
          <w:tcPr>
            <w:tcW w:type="dxa" w:w="1111"/>
            <w:vAlign w:val="center"/>
          </w:tcPr>
          <w:p>
            <w:pPr>
              <w:keepNext/>
              <w:spacing w:line="240" w:lineRule="auto" w:after="60"/>
            </w:pPr>
            <w:r>
              <w:rPr>
                <w:rFonts w:ascii="Arial" w:hAnsi="Arial"/>
                <w:b w:val="0"/>
                <w:sz w:val="18"/>
              </w:rPr>
              <w:t>14</w:t>
            </w:r>
          </w:p>
        </w:tc>
        <w:tc>
          <w:tcPr>
            <w:tcW w:type="dxa" w:w="1111"/>
            <w:vAlign w:val="center"/>
          </w:tcPr>
          <w:p>
            <w:pPr>
              <w:keepNext/>
              <w:spacing w:line="240" w:lineRule="auto" w:after="60"/>
            </w:pPr>
            <w:r>
              <w:rPr>
                <w:rFonts w:ascii="Arial" w:hAnsi="Arial"/>
                <w:b w:val="0"/>
                <w:sz w:val="18"/>
              </w:rPr>
              <w:t>79</w:t>
            </w:r>
          </w:p>
        </w:tc>
        <w:tc>
          <w:tcPr>
            <w:tcW w:type="dxa" w:w="1111"/>
            <w:vAlign w:val="center"/>
          </w:tcPr>
          <w:p>
            <w:pPr>
              <w:keepNext/>
              <w:spacing w:line="240" w:lineRule="auto" w:after="60"/>
            </w:pPr>
            <w:r>
              <w:rPr>
                <w:rFonts w:ascii="Arial" w:hAnsi="Arial"/>
                <w:b w:val="0"/>
                <w:sz w:val="18"/>
              </w:rPr>
              <w:t>66,7%</w:t>
            </w:r>
          </w:p>
        </w:tc>
        <w:tc>
          <w:tcPr>
            <w:tcW w:type="dxa" w:w="1111"/>
            <w:vAlign w:val="center"/>
          </w:tcPr>
          <w:p>
            <w:pPr>
              <w:keepNext/>
              <w:spacing w:line="240" w:lineRule="auto" w:after="60"/>
            </w:pPr>
            <w:r>
              <w:rPr>
                <w:rFonts w:ascii="Arial" w:hAnsi="Arial"/>
                <w:b w:val="0"/>
                <w:sz w:val="18"/>
              </w:rPr>
              <w:t>26,2%</w:t>
            </w:r>
          </w:p>
        </w:tc>
        <w:tc>
          <w:tcPr>
            <w:tcW w:type="dxa" w:w="1111"/>
            <w:vAlign w:val="center"/>
          </w:tcPr>
          <w:p>
            <w:pPr>
              <w:keepNext/>
              <w:spacing w:line="240" w:lineRule="auto" w:after="60"/>
            </w:pPr>
            <w:r>
              <w:rPr>
                <w:rFonts w:ascii="Arial" w:hAnsi="Arial"/>
                <w:b w:val="0"/>
                <w:sz w:val="18"/>
              </w:rPr>
              <w:t>37,6%</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11</w:t>
            </w:r>
          </w:p>
        </w:tc>
        <w:tc>
          <w:tcPr>
            <w:tcW w:type="dxa" w:w="1111"/>
            <w:vAlign w:val="center"/>
          </w:tcPr>
          <w:p>
            <w:pPr>
              <w:keepNext/>
              <w:spacing w:line="240" w:lineRule="auto" w:after="60"/>
            </w:pPr>
            <w:r>
              <w:rPr>
                <w:rFonts w:ascii="Arial" w:hAnsi="Arial"/>
                <w:b w:val="0"/>
                <w:sz w:val="18"/>
              </w:rPr>
              <w:t>15</w:t>
            </w:r>
          </w:p>
        </w:tc>
        <w:tc>
          <w:tcPr>
            <w:tcW w:type="dxa" w:w="1111"/>
            <w:vAlign w:val="center"/>
          </w:tcPr>
          <w:p>
            <w:pPr>
              <w:keepNext/>
              <w:spacing w:line="240" w:lineRule="auto" w:after="60"/>
            </w:pPr>
            <w:r>
              <w:rPr>
                <w:rFonts w:ascii="Arial" w:hAnsi="Arial"/>
                <w:b w:val="0"/>
                <w:sz w:val="18"/>
              </w:rPr>
              <w:t>63,3%</w:t>
            </w:r>
          </w:p>
        </w:tc>
        <w:tc>
          <w:tcPr>
            <w:tcW w:type="dxa" w:w="1111"/>
            <w:vAlign w:val="center"/>
          </w:tcPr>
          <w:p>
            <w:pPr>
              <w:keepNext/>
              <w:spacing w:line="240" w:lineRule="auto" w:after="60"/>
            </w:pPr>
            <w:r>
              <w:rPr>
                <w:rFonts w:ascii="Arial" w:hAnsi="Arial"/>
                <w:b w:val="0"/>
                <w:sz w:val="18"/>
              </w:rPr>
              <w:t>55,9%</w:t>
            </w:r>
          </w:p>
        </w:tc>
        <w:tc>
          <w:tcPr>
            <w:tcW w:type="dxa" w:w="1111"/>
            <w:vAlign w:val="center"/>
          </w:tcPr>
          <w:p>
            <w:pPr>
              <w:keepNext/>
              <w:spacing w:line="240" w:lineRule="auto" w:after="60"/>
            </w:pPr>
            <w:r>
              <w:rPr>
                <w:rFonts w:ascii="Arial" w:hAnsi="Arial"/>
                <w:b w:val="0"/>
                <w:sz w:val="18"/>
              </w:rPr>
              <w:t>59,4%</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39</w:t>
            </w:r>
          </w:p>
        </w:tc>
        <w:tc>
          <w:tcPr>
            <w:tcW w:type="dxa" w:w="1111"/>
            <w:vAlign w:val="center"/>
          </w:tcPr>
          <w:p>
            <w:pPr>
              <w:keepNext/>
              <w:spacing w:line="240" w:lineRule="auto" w:after="60"/>
            </w:pPr>
            <w:r>
              <w:rPr>
                <w:rFonts w:ascii="Arial" w:hAnsi="Arial"/>
                <w:b w:val="0"/>
                <w:sz w:val="18"/>
              </w:rPr>
              <w:t>16</w:t>
            </w:r>
          </w:p>
        </w:tc>
        <w:tc>
          <w:tcPr>
            <w:tcW w:type="dxa" w:w="1111"/>
            <w:vAlign w:val="center"/>
          </w:tcPr>
          <w:p>
            <w:pPr>
              <w:keepNext/>
              <w:spacing w:line="240" w:lineRule="auto" w:after="60"/>
            </w:pPr>
            <w:r>
              <w:rPr>
                <w:rFonts w:ascii="Arial" w:hAnsi="Arial"/>
                <w:b w:val="0"/>
                <w:sz w:val="18"/>
              </w:rPr>
              <w:t>17</w:t>
            </w:r>
          </w:p>
        </w:tc>
        <w:tc>
          <w:tcPr>
            <w:tcW w:type="dxa" w:w="1111"/>
            <w:vAlign w:val="center"/>
          </w:tcPr>
          <w:p>
            <w:pPr>
              <w:keepNext/>
              <w:spacing w:line="240" w:lineRule="auto" w:after="60"/>
            </w:pPr>
            <w:r>
              <w:rPr>
                <w:rFonts w:ascii="Arial" w:hAnsi="Arial"/>
                <w:b w:val="0"/>
                <w:sz w:val="18"/>
              </w:rPr>
              <w:t>70,9%</w:t>
            </w:r>
          </w:p>
        </w:tc>
        <w:tc>
          <w:tcPr>
            <w:tcW w:type="dxa" w:w="1111"/>
            <w:vAlign w:val="center"/>
          </w:tcPr>
          <w:p>
            <w:pPr>
              <w:keepNext/>
              <w:spacing w:line="240" w:lineRule="auto" w:after="60"/>
            </w:pPr>
            <w:r>
              <w:rPr>
                <w:rFonts w:ascii="Arial" w:hAnsi="Arial"/>
                <w:b w:val="0"/>
                <w:sz w:val="18"/>
              </w:rPr>
              <w:t>69,6%</w:t>
            </w:r>
          </w:p>
        </w:tc>
        <w:tc>
          <w:tcPr>
            <w:tcW w:type="dxa" w:w="1111"/>
            <w:vAlign w:val="center"/>
          </w:tcPr>
          <w:p>
            <w:pPr>
              <w:keepNext/>
              <w:spacing w:line="240" w:lineRule="auto" w:after="60"/>
            </w:pPr>
            <w:r>
              <w:rPr>
                <w:rFonts w:ascii="Arial" w:hAnsi="Arial"/>
                <w:b w:val="0"/>
                <w:sz w:val="18"/>
              </w:rPr>
              <w:t>70,3%</w:t>
            </w:r>
          </w:p>
        </w:tc>
      </w:tr>
      <w:tr>
        <w:trPr>
          <w:cantSplit/>
        </w:trPr>
        <w:tc>
          <w:tcPr>
            <w:tcW w:type="dxa" w:w="2088"/>
            <w:vAlign w:val="center"/>
          </w:tcPr>
          <w:p>
            <w:pPr>
              <w:keepNext/>
              <w:spacing w:line="240" w:lineRule="auto" w:after="60"/>
            </w:pPr>
            <w:r>
              <w:rPr>
                <w:rFonts w:ascii="Arial" w:hAnsi="Arial"/>
                <w:b w:val="0"/>
                <w:sz w:val="18"/>
              </w:rPr>
              <w:t>refrigerator</w:t>
            </w:r>
          </w:p>
        </w:tc>
        <w:tc>
          <w:tcPr>
            <w:tcW w:type="dxa" w:w="1111"/>
            <w:vAlign w:val="center"/>
          </w:tcPr>
          <w:p>
            <w:pPr>
              <w:keepNext/>
              <w:spacing w:line="240" w:lineRule="auto" w:after="60"/>
            </w:pPr>
            <w:r>
              <w:rPr>
                <w:rFonts w:ascii="Arial" w:hAnsi="Arial"/>
                <w:b w:val="0"/>
                <w:sz w:val="18"/>
              </w:rPr>
              <w:t>24</w:t>
            </w:r>
          </w:p>
        </w:tc>
        <w:tc>
          <w:tcPr>
            <w:tcW w:type="dxa" w:w="1111"/>
            <w:vAlign w:val="center"/>
          </w:tcPr>
          <w:p>
            <w:pPr>
              <w:keepNext/>
              <w:spacing w:line="240" w:lineRule="auto" w:after="60"/>
            </w:pPr>
            <w:r>
              <w:rPr>
                <w:rFonts w:ascii="Arial" w:hAnsi="Arial"/>
                <w:b w:val="0"/>
                <w:sz w:val="18"/>
              </w:rPr>
              <w:t>4</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85,7%</w:t>
            </w:r>
          </w:p>
        </w:tc>
        <w:tc>
          <w:tcPr>
            <w:tcW w:type="dxa" w:w="1111"/>
            <w:vAlign w:val="center"/>
          </w:tcPr>
          <w:p>
            <w:pPr>
              <w:keepNext/>
              <w:spacing w:line="240" w:lineRule="auto" w:after="60"/>
            </w:pPr>
            <w:r>
              <w:rPr>
                <w:rFonts w:ascii="Arial" w:hAnsi="Arial"/>
                <w:b w:val="0"/>
                <w:sz w:val="18"/>
              </w:rPr>
              <w:t>55,8%</w:t>
            </w:r>
          </w:p>
        </w:tc>
        <w:tc>
          <w:tcPr>
            <w:tcW w:type="dxa" w:w="1111"/>
            <w:vAlign w:val="center"/>
          </w:tcPr>
          <w:p>
            <w:pPr>
              <w:keepNext/>
              <w:spacing w:line="240" w:lineRule="auto" w:after="60"/>
            </w:pPr>
            <w:r>
              <w:rPr>
                <w:rFonts w:ascii="Arial" w:hAnsi="Arial"/>
                <w:b w:val="0"/>
                <w:sz w:val="18"/>
              </w:rPr>
              <w:t>67,6%</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18</w:t>
            </w:r>
          </w:p>
        </w:tc>
        <w:tc>
          <w:tcPr>
            <w:tcW w:type="dxa" w:w="1111"/>
            <w:vAlign w:val="center"/>
          </w:tcPr>
          <w:p>
            <w:pPr>
              <w:keepNext/>
              <w:spacing w:line="240" w:lineRule="auto" w:after="60"/>
            </w:pPr>
            <w:r>
              <w:rPr>
                <w:rFonts w:ascii="Arial" w:hAnsi="Arial"/>
                <w:b w:val="0"/>
                <w:sz w:val="18"/>
              </w:rPr>
              <w:t>7</w:t>
            </w:r>
          </w:p>
        </w:tc>
        <w:tc>
          <w:tcPr>
            <w:tcW w:type="dxa" w:w="1111"/>
            <w:vAlign w:val="center"/>
          </w:tcPr>
          <w:p>
            <w:pPr>
              <w:keepNext/>
              <w:spacing w:line="240" w:lineRule="auto" w:after="60"/>
            </w:pPr>
            <w:r>
              <w:rPr>
                <w:rFonts w:ascii="Arial" w:hAnsi="Arial"/>
                <w:b w:val="0"/>
                <w:sz w:val="18"/>
              </w:rPr>
              <w:t>38</w:t>
            </w:r>
          </w:p>
        </w:tc>
        <w:tc>
          <w:tcPr>
            <w:tcW w:type="dxa" w:w="1111"/>
            <w:vAlign w:val="center"/>
          </w:tcPr>
          <w:p>
            <w:pPr>
              <w:keepNext/>
              <w:spacing w:line="240" w:lineRule="auto" w:after="60"/>
            </w:pPr>
            <w:r>
              <w:rPr>
                <w:rFonts w:ascii="Arial" w:hAnsi="Arial"/>
                <w:b w:val="0"/>
                <w:sz w:val="18"/>
              </w:rPr>
              <w:t>72,0%</w:t>
            </w:r>
          </w:p>
        </w:tc>
        <w:tc>
          <w:tcPr>
            <w:tcW w:type="dxa" w:w="1111"/>
            <w:vAlign w:val="center"/>
          </w:tcPr>
          <w:p>
            <w:pPr>
              <w:keepNext/>
              <w:spacing w:line="240" w:lineRule="auto" w:after="60"/>
            </w:pPr>
            <w:r>
              <w:rPr>
                <w:rFonts w:ascii="Arial" w:hAnsi="Arial"/>
                <w:b w:val="0"/>
                <w:sz w:val="18"/>
              </w:rPr>
              <w:t>32,1%</w:t>
            </w:r>
          </w:p>
        </w:tc>
        <w:tc>
          <w:tcPr>
            <w:tcW w:type="dxa" w:w="1111"/>
            <w:vAlign w:val="center"/>
          </w:tcPr>
          <w:p>
            <w:pPr>
              <w:keepNext/>
              <w:spacing w:line="240" w:lineRule="auto" w:after="60"/>
            </w:pPr>
            <w:r>
              <w:rPr>
                <w:rFonts w:ascii="Arial" w:hAnsi="Arial"/>
                <w:b w:val="0"/>
                <w:sz w:val="18"/>
              </w:rPr>
              <w:t>44,4%</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26</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92,9%</w:t>
            </w:r>
          </w:p>
        </w:tc>
        <w:tc>
          <w:tcPr>
            <w:tcW w:type="dxa" w:w="1111"/>
            <w:vAlign w:val="center"/>
          </w:tcPr>
          <w:p>
            <w:pPr>
              <w:keepNext/>
              <w:spacing w:line="240" w:lineRule="auto" w:after="60"/>
            </w:pPr>
            <w:r>
              <w:rPr>
                <w:rFonts w:ascii="Arial" w:hAnsi="Arial"/>
                <w:b w:val="0"/>
                <w:sz w:val="18"/>
              </w:rPr>
              <w:t>68,4%</w:t>
            </w:r>
          </w:p>
        </w:tc>
        <w:tc>
          <w:tcPr>
            <w:tcW w:type="dxa" w:w="1111"/>
            <w:vAlign w:val="center"/>
          </w:tcPr>
          <w:p>
            <w:pPr>
              <w:keepNext/>
              <w:spacing w:line="240" w:lineRule="auto" w:after="60"/>
            </w:pPr>
            <w:r>
              <w:rPr>
                <w:rFonts w:ascii="Arial" w:hAnsi="Arial"/>
                <w:b w:val="0"/>
                <w:sz w:val="18"/>
              </w:rPr>
              <w:t>78,8%</w:t>
            </w:r>
          </w:p>
        </w:tc>
      </w:tr>
      <w:tr>
        <w:trPr>
          <w:cantSplit/>
        </w:trPr>
        <w:tc>
          <w:tcPr>
            <w:tcW w:type="dxa" w:w="2088"/>
            <w:vAlign w:val="center"/>
          </w:tcPr>
          <w:p>
            <w:pPr>
              <w:keepNext w:val="0"/>
              <w:spacing w:line="240" w:lineRule="auto" w:after="60"/>
            </w:pPr>
            <w:r>
              <w:rPr>
                <w:rFonts w:ascii="Arial" w:hAnsi="Arial"/>
                <w:b w:val="0"/>
                <w:sz w:val="18"/>
              </w:rPr>
              <w:t>tv</w:t>
            </w:r>
          </w:p>
        </w:tc>
        <w:tc>
          <w:tcPr>
            <w:tcW w:type="dxa" w:w="1111"/>
            <w:vAlign w:val="center"/>
          </w:tcPr>
          <w:p>
            <w:pPr>
              <w:keepNext w:val="0"/>
              <w:spacing w:line="240" w:lineRule="auto" w:after="60"/>
            </w:pPr>
            <w:r>
              <w:rPr>
                <w:rFonts w:ascii="Arial" w:hAnsi="Arial"/>
                <w:b w:val="0"/>
                <w:sz w:val="18"/>
              </w:rPr>
              <w:t>27</w:t>
            </w:r>
          </w:p>
        </w:tc>
        <w:tc>
          <w:tcPr>
            <w:tcW w:type="dxa" w:w="1111"/>
            <w:vAlign w:val="center"/>
          </w:tcPr>
          <w:p>
            <w:pPr>
              <w:keepNext w:val="0"/>
              <w:spacing w:line="240" w:lineRule="auto" w:after="60"/>
            </w:pPr>
            <w:r>
              <w:rPr>
                <w:rFonts w:ascii="Arial" w:hAnsi="Arial"/>
                <w:b w:val="0"/>
                <w:sz w:val="18"/>
              </w:rPr>
              <w:t>20</w:t>
            </w:r>
          </w:p>
        </w:tc>
        <w:tc>
          <w:tcPr>
            <w:tcW w:type="dxa" w:w="1111"/>
            <w:vAlign w:val="center"/>
          </w:tcPr>
          <w:p>
            <w:pPr>
              <w:keepNext w:val="0"/>
              <w:spacing w:line="240" w:lineRule="auto" w:after="60"/>
            </w:pPr>
            <w:r>
              <w:rPr>
                <w:rFonts w:ascii="Arial" w:hAnsi="Arial"/>
                <w:b w:val="0"/>
                <w:sz w:val="18"/>
              </w:rPr>
              <w:t>23</w:t>
            </w:r>
          </w:p>
        </w:tc>
        <w:tc>
          <w:tcPr>
            <w:tcW w:type="dxa" w:w="1111"/>
            <w:vAlign w:val="center"/>
          </w:tcPr>
          <w:p>
            <w:pPr>
              <w:keepNext w:val="0"/>
              <w:spacing w:line="240" w:lineRule="auto" w:after="60"/>
            </w:pPr>
            <w:r>
              <w:rPr>
                <w:rFonts w:ascii="Arial" w:hAnsi="Arial"/>
                <w:b w:val="0"/>
                <w:sz w:val="18"/>
              </w:rPr>
              <w:t>57,4%</w:t>
            </w:r>
          </w:p>
        </w:tc>
        <w:tc>
          <w:tcPr>
            <w:tcW w:type="dxa" w:w="1111"/>
            <w:vAlign w:val="center"/>
          </w:tcPr>
          <w:p>
            <w:pPr>
              <w:keepNext w:val="0"/>
              <w:spacing w:line="240" w:lineRule="auto" w:after="60"/>
            </w:pPr>
            <w:r>
              <w:rPr>
                <w:rFonts w:ascii="Arial" w:hAnsi="Arial"/>
                <w:b w:val="0"/>
                <w:sz w:val="18"/>
              </w:rPr>
              <w:t>54,0%</w:t>
            </w:r>
          </w:p>
        </w:tc>
        <w:tc>
          <w:tcPr>
            <w:tcW w:type="dxa" w:w="1111"/>
            <w:vAlign w:val="center"/>
          </w:tcPr>
          <w:p>
            <w:pPr>
              <w:keepNext w:val="0"/>
              <w:spacing w:line="240" w:lineRule="auto" w:after="60"/>
            </w:pPr>
            <w:r>
              <w:rPr>
                <w:rFonts w:ascii="Arial" w:hAnsi="Arial"/>
                <w:b w:val="0"/>
                <w:sz w:val="18"/>
              </w:rPr>
              <w:t>55,7%</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widowControl/>
        <w:spacing w:line="360" w:lineRule="auto" w:after="330"/>
        <w:jc w:val="both"/>
      </w:pPr>
      <w:r>
        <w:t xml:space="preserve">Los resultados por clase de la Tabla 4.7 describen qué objetos resultan más difíciles; la Figura 4.4 complementa ese desglose comparando precisión, </w:t>
      </w:r>
      <w:r>
        <w:rPr>
          <w:i/>
        </w:rPr>
        <w:t>recall</w:t>
      </w:r>
      <w:r>
        <w:t xml:space="preserve"> y F1 de las seis configuraciones. En cada panel se distinguen el detector y la lista de hasta dos objetos por fotografía. Ambos se evalúan con confianza 0,30, coincidencia de clase e IoU mínimo de 0,50, y el </w:t>
      </w:r>
      <w:r>
        <w:rPr>
          <w:i/>
        </w:rPr>
        <w:t>recall</w:t>
      </w:r>
      <w:r>
        <w:t xml:space="preserve"> conserva como denominador todas las instancias anotadas visibles. Cada configuración reúne 33 fotografías; la escala común de 0 a 100 % permite comparar las magnitudes sin alterar sus definiciones.</w:t>
      </w:r>
    </w:p>
    <w:p>
      <w:pPr>
        <w:keepNext/>
        <w:spacing w:line="240" w:lineRule="auto"/>
        <w:jc w:val="center"/>
      </w:pPr>
      <w:r>
        <w:drawing>
          <wp:inline>
            <wp:extent cx="5166360" cy="5608220"/>
            <wp:docPr id="51" name="Picture 51"/>
            <wp:cNvGraphicFramePr>
              <ns4:graphicFrameLocks noChangeAspect="1"/>
            </wp:cNvGraphicFramePr>
            <ns4:graphic>
              <ns4:graphicData uri="http://schemas.openxmlformats.org/drawingml/2006/picture">
                <ns5:pic>
                  <ns5:nvPicPr>
                    <ns5:cNvPr id="0" name="seleccion_metricas.png"/>
                    <ns5:cNvPicPr/>
                  </ns5:nvPicPr>
                  <ns5:blipFill>
                    <ns4:blip r:embed="rId51"/>
                    <ns4:stretch>
                      <ns4:fillRect/>
                    </ns4:stretch>
                  </ns5:blipFill>
                  <ns5:spPr>
                    <ns4:xfrm>
                      <ns4:off x="0" y="0"/>
                      <ns4:ext cx="5166360" cy="5608220"/>
                    </ns4:xfrm>
                    <ns4:prstGeom prst="rect"/>
                  </ns5:spPr>
                </ns5:pic>
              </ns4:graphicData>
            </ns4:graphic>
          </wp:inline>
        </w:drawing>
      </w:r>
    </w:p>
    <w:p>
      <w:bookmarkStart w:id="1070" w:name="report_1070"/>
      <w:pPr>
        <w:pStyle w:val="Descripcin"/>
        <w:keepNext/>
        <w:spacing w:line="240" w:lineRule="auto" w:after="160" w:before="160"/>
        <w:jc w:val="center"/>
      </w:pPr>
      <w:r>
        <w:rPr>
          <w:sz w:val="20"/>
        </w:rPr>
        <w:t xml:space="preserve">Figura 4.4. Precisión, </w:t>
      </w:r>
      <w:r>
        <w:rPr>
          <w:i/>
          <w:sz w:val="20"/>
        </w:rPr>
        <w:t>recall</w:t>
      </w:r>
      <w:r>
        <w:rPr>
          <w:sz w:val="20"/>
        </w:rPr>
        <w:t xml:space="preserve"> y F1 del detector y de la lista de hasta dos objetos.</w:t>
      </w:r>
      <w:bookmarkEnd w:id="107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La Figura 4.4 permite interpretar el costo de limitar la información anunciada. Para Gorillapod 0,5x, la precisión pasa de 72,6 % en el detector a 90,7 % en la lista, mientras el </w:t>
      </w:r>
      <w:r>
        <w:rPr>
          <w:i/>
        </w:rPr>
        <w:t>recall</w:t>
      </w:r>
      <w:r>
        <w:t xml:space="preserve"> baja de 47,1 % a 28,2 %: se conservan 49 selecciones correctas frente a las 82 detecciones correctas previas al límite. Pecho 1x mantiene la mayor F1 del detector (61,9 %), aunque recupera menos objetos correctos en total. La lista prioriza las puntuaciones más altas y reduce la cantidad recuperada; su mayor precisión no demuestra por sí sola mejor comprensión o utilidad del mensaje. Por ello, la elección combina esta figura con los conteos de la sección 4.3 y conserva la selección de Gorillapod 0,5x como provisional cuando se prioriza cantidad.</w:t>
      </w:r>
    </w:p>
    <w:p>
      <w:pPr>
        <w:widowControl/>
        <w:spacing w:line="360" w:lineRule="auto" w:after="330"/>
        <w:jc w:val="both"/>
      </w:pPr>
      <w:r>
        <w:t>La Tabla 4.4 aporta una dimensión adicional: AP50-95 promedia umbrales de IoU más exigentes que AP50. En pecho 1x se obtienen 60,5 % y 42,2 %, respectivamente; la diferencia describe la sensibilidad de la evaluación al ajuste de las cajas y no aísla su causa. La Figura 4.4 utiliza un IoU fijo de 0,50, por lo que complementa ese resultado sin sustituirlo. El efecto de las imprecisiones de las cajas sobre la zona espacial anunciada requiere una evaluación específica.</w:t>
      </w:r>
    </w:p>
    <w:p>
      <w:bookmarkStart w:id="1071" w:name="report_1071"/>
      <w:pPr>
        <w:pStyle w:val="Ttulo2"/>
      </w:pPr>
      <w:r>
        <w:t>4.6 Consideraciones de validez</w:t>
      </w:r>
      <w:bookmarkEnd w:id="1071"/>
    </w:p>
    <w:p>
      <w:pPr>
        <w:pStyle w:val="Ttulo3"/>
      </w:pPr>
      <w:r>
        <w:t>Validez interna</w:t>
      </w:r>
    </w:p>
    <w:p>
      <w:pPr>
        <w:widowControl/>
        <w:spacing w:line="360" w:lineRule="auto" w:after="330"/>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 Además, la orientación dirigida hacia los objetos con el Gorillapod forma parte de la condición evaluada: la comparación combina soporte y estrategia de encuadre, sin aislar sus efectos.</w:t>
      </w:r>
    </w:p>
    <w:p>
      <w:pPr>
        <w:pStyle w:val="Ttulo3"/>
      </w:pPr>
      <w:r>
        <w:t>Validez de construcción</w:t>
      </w:r>
    </w:p>
    <w:p>
      <w:pPr>
        <w:widowControl/>
        <w:spacing w:line="360" w:lineRule="auto" w:after="330"/>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widowControl/>
        <w:spacing w:line="360" w:lineRule="auto" w:after="330"/>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widowControl/>
        <w:spacing w:line="360" w:lineRule="auto" w:after="330"/>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widowControl/>
        <w:spacing w:line="360" w:lineRule="auto" w:after="330"/>
        <w:jc w:val="both"/>
      </w:pPr>
      <w:r>
        <w:t xml:space="preserve">La prueba t pareada usa 33 escenas por comparación (gl = 32) y el </w:t>
      </w:r>
      <w:r>
        <w:rPr>
          <w:i/>
        </w:rPr>
        <w:t>bootstrap</w:t>
      </w:r>
      <w:r>
        <w:t xml:space="preserve">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widowControl/>
        <w:spacing w:line="360" w:lineRule="auto" w:after="330"/>
        <w:jc w:val="both"/>
      </w:pPr>
      <w:r>
        <w:t xml:space="preserve">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w:t>
      </w:r>
      <w:r>
        <w:rPr>
          <w:i/>
        </w:rPr>
        <w:t>bootstrap</w:t>
      </w:r>
      <w:r>
        <w:t xml:space="preserve"> es la media de los recalls agrupados calculados en las remuestras, no una media de recalls de escenas igualmente ponderadas.</w:t>
      </w:r>
    </w:p>
    <w:p>
      <w:bookmarkStart w:id="1072" w:name="report_1072"/>
      <w:pPr>
        <w:pStyle w:val="Ttulo2"/>
      </w:pPr>
      <w:r>
        <w:t>4.7 Distribución del tiempo de procesamiento</w:t>
      </w:r>
      <w:bookmarkEnd w:id="1072"/>
    </w:p>
    <w:p>
      <w:pPr>
        <w:widowControl/>
        <w:spacing w:line="360" w:lineRule="auto" w:after="330"/>
        <w:jc w:val="both"/>
      </w:pPr>
      <w:r>
        <w:t xml:space="preserve">Para ampliar la evaluación de tiempo de respuesta prevista en la fase 3, se analizaron los tiempos archivados de las 198 imágenes, sin repetir la inferencia. El </w:t>
      </w:r>
      <w:r>
        <w:rPr>
          <w:i/>
        </w:rPr>
        <w:t>benchmark</w:t>
      </w:r>
      <w:r>
        <w:t xml:space="preserve"> conservó candidatos desde confianza 0,001 para la evaluación; los tiempos no proceden de una nueva ejecución con corte 0,30. La prueba de instrumentación realizó tres ejecuciones de calentamiento y recorrió las fotografías en un orden aleatorio fijo. La Tabla 4.8 presenta mediana, cuartiles y percentil 95; los cuantiles se obtienen por interpolación lineal en la posición (n − 1)p </w:t>
      </w:r>
      <w:hyperlink w:anchor="bib_ref_47" w:history="1">
        <w:r>
          <w:t xml:space="preserve">[47]</w:t>
        </w:r>
      </w:hyperlink>
      <w:r>
        <w:t xml:space="preserve">.</w:t>
      </w:r>
    </w:p>
    <w:p>
      <w:bookmarkStart w:id="1073" w:name="report_1073"/>
      <w:pPr>
        <w:pStyle w:val="Descripcin"/>
        <w:keepNext/>
        <w:spacing w:line="240" w:lineRule="auto" w:before="160" w:after="160"/>
        <w:jc w:val="center"/>
      </w:pPr>
      <w:r>
        <w:rPr>
          <w:sz w:val="20"/>
        </w:rPr>
        <w:t>Tabla 4.8. Distribución de tiempos de reproducción en emulador en milisegundos.</w:t>
      </w:r>
      <w:bookmarkEnd w:id="107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67"/>
        <w:gridCol w:w="1667"/>
        <w:gridCol w:w="1667"/>
        <w:gridCol w:w="1667"/>
      </w:tblGrid>
      <w:tr>
        <w:trPr>
          <w:cantSplit/>
          <w:tblHeader/>
        </w:trPr>
        <w:tc>
          <w:tcPr>
            <w:tcW w:type="dxa" w:w="2088"/>
            <w:vAlign w:val="center"/>
            <w:shd w:fill="EEEEEE"/>
          </w:tcPr>
          <w:p>
            <w:pPr>
              <w:keepNext/>
              <w:spacing w:line="240" w:lineRule="auto" w:after="60"/>
            </w:pPr>
            <w:r>
              <w:rPr>
                <w:rFonts w:ascii="Arial" w:hAnsi="Arial"/>
                <w:b/>
                <w:sz w:val="20"/>
              </w:rPr>
              <w:t>Etapa</w:t>
            </w:r>
          </w:p>
        </w:tc>
        <w:tc>
          <w:tcPr>
            <w:tcW w:type="dxa" w:w="1667"/>
            <w:vAlign w:val="center"/>
            <w:shd w:fill="EEEEEE"/>
          </w:tcPr>
          <w:p>
            <w:pPr>
              <w:keepNext/>
              <w:spacing w:line="240" w:lineRule="auto" w:after="60"/>
            </w:pPr>
            <w:r>
              <w:rPr>
                <w:rFonts w:ascii="Arial" w:hAnsi="Arial"/>
                <w:b/>
                <w:sz w:val="20"/>
              </w:rPr>
              <w:t>P25</w:t>
            </w:r>
          </w:p>
        </w:tc>
        <w:tc>
          <w:tcPr>
            <w:tcW w:type="dxa" w:w="1667"/>
            <w:vAlign w:val="center"/>
            <w:shd w:fill="EEEEEE"/>
          </w:tcPr>
          <w:p>
            <w:pPr>
              <w:keepNext/>
              <w:spacing w:line="240" w:lineRule="auto" w:after="60"/>
            </w:pPr>
            <w:r>
              <w:rPr>
                <w:rFonts w:ascii="Arial" w:hAnsi="Arial"/>
                <w:b/>
                <w:sz w:val="20"/>
              </w:rPr>
              <w:t>Mediana</w:t>
            </w:r>
          </w:p>
        </w:tc>
        <w:tc>
          <w:tcPr>
            <w:tcW w:type="dxa" w:w="1667"/>
            <w:vAlign w:val="center"/>
            <w:shd w:fill="EEEEEE"/>
          </w:tcPr>
          <w:p>
            <w:pPr>
              <w:keepNext/>
              <w:spacing w:line="240" w:lineRule="auto" w:after="60"/>
            </w:pPr>
            <w:r>
              <w:rPr>
                <w:rFonts w:ascii="Arial" w:hAnsi="Arial"/>
                <w:b/>
                <w:sz w:val="20"/>
              </w:rPr>
              <w:t>P75</w:t>
            </w:r>
          </w:p>
        </w:tc>
        <w:tc>
          <w:tcPr>
            <w:tcW w:type="dxa" w:w="1667"/>
            <w:vAlign w:val="center"/>
            <w:shd w:fill="EEEEEE"/>
          </w:tcPr>
          <w:p>
            <w:pPr>
              <w:keepNext/>
              <w:spacing w:line="240" w:lineRule="auto" w:after="60"/>
            </w:pPr>
            <w:r>
              <w:rPr>
                <w:rFonts w:ascii="Arial" w:hAnsi="Arial"/>
                <w:b/>
                <w:sz w:val="20"/>
              </w:rPr>
              <w:t>P95</w:t>
            </w:r>
          </w:p>
        </w:tc>
      </w:tr>
      <w:tr>
        <w:trPr>
          <w:cantSplit/>
        </w:trPr>
        <w:tc>
          <w:tcPr>
            <w:tcW w:type="dxa" w:w="2088"/>
            <w:vAlign w:val="center"/>
          </w:tcPr>
          <w:p>
            <w:pPr>
              <w:keepNext/>
              <w:spacing w:line="240" w:lineRule="auto" w:after="60"/>
            </w:pPr>
            <w:r>
              <w:rPr>
                <w:rFonts w:ascii="Arial" w:hAnsi="Arial"/>
                <w:b w:val="0"/>
                <w:sz w:val="20"/>
              </w:rPr>
              <w:t>Decodificación y preprocesamiento</w:t>
            </w:r>
          </w:p>
        </w:tc>
        <w:tc>
          <w:tcPr>
            <w:tcW w:type="dxa" w:w="1667"/>
            <w:vAlign w:val="center"/>
          </w:tcPr>
          <w:p>
            <w:pPr>
              <w:keepNext/>
              <w:spacing w:line="240" w:lineRule="auto" w:after="60"/>
            </w:pPr>
            <w:r>
              <w:rPr>
                <w:rFonts w:ascii="Arial" w:hAnsi="Arial"/>
                <w:b w:val="0"/>
                <w:sz w:val="20"/>
              </w:rPr>
              <w:t>100,5</w:t>
            </w:r>
          </w:p>
        </w:tc>
        <w:tc>
          <w:tcPr>
            <w:tcW w:type="dxa" w:w="1667"/>
            <w:vAlign w:val="center"/>
          </w:tcPr>
          <w:p>
            <w:pPr>
              <w:keepNext/>
              <w:spacing w:line="240" w:lineRule="auto" w:after="60"/>
            </w:pPr>
            <w:r>
              <w:rPr>
                <w:rFonts w:ascii="Arial" w:hAnsi="Arial"/>
                <w:b w:val="0"/>
                <w:sz w:val="20"/>
              </w:rPr>
              <w:t>104,0</w:t>
            </w:r>
          </w:p>
        </w:tc>
        <w:tc>
          <w:tcPr>
            <w:tcW w:type="dxa" w:w="1667"/>
            <w:vAlign w:val="center"/>
          </w:tcPr>
          <w:p>
            <w:pPr>
              <w:keepNext/>
              <w:spacing w:line="240" w:lineRule="auto" w:after="60"/>
            </w:pPr>
            <w:r>
              <w:rPr>
                <w:rFonts w:ascii="Arial" w:hAnsi="Arial"/>
                <w:b w:val="0"/>
                <w:sz w:val="20"/>
              </w:rPr>
              <w:t>110,1</w:t>
            </w:r>
          </w:p>
        </w:tc>
        <w:tc>
          <w:tcPr>
            <w:tcW w:type="dxa" w:w="1667"/>
            <w:vAlign w:val="center"/>
          </w:tcPr>
          <w:p>
            <w:pPr>
              <w:keepNext/>
              <w:spacing w:line="240" w:lineRule="auto" w:after="60"/>
            </w:pPr>
            <w:r>
              <w:rPr>
                <w:rFonts w:ascii="Arial" w:hAnsi="Arial"/>
                <w:b w:val="0"/>
                <w:sz w:val="20"/>
              </w:rPr>
              <w:t>125,9</w:t>
            </w:r>
          </w:p>
        </w:tc>
      </w:tr>
      <w:tr>
        <w:trPr>
          <w:cantSplit/>
        </w:trPr>
        <w:tc>
          <w:tcPr>
            <w:tcW w:type="dxa" w:w="2088"/>
            <w:vAlign w:val="center"/>
          </w:tcPr>
          <w:p>
            <w:pPr>
              <w:keepNext/>
              <w:spacing w:line="240" w:lineRule="auto" w:after="60"/>
            </w:pPr>
            <w:r>
              <w:rPr>
                <w:rFonts w:ascii="Arial" w:hAnsi="Arial"/>
                <w:b w:val="0"/>
                <w:sz w:val="20"/>
              </w:rPr>
              <w:t>Método de detección</w:t>
            </w:r>
          </w:p>
        </w:tc>
        <w:tc>
          <w:tcPr>
            <w:tcW w:type="dxa" w:w="1667"/>
            <w:vAlign w:val="center"/>
          </w:tcPr>
          <w:p>
            <w:pPr>
              <w:keepNext/>
              <w:spacing w:line="240" w:lineRule="auto" w:after="60"/>
            </w:pPr>
            <w:r>
              <w:rPr>
                <w:rFonts w:ascii="Arial" w:hAnsi="Arial"/>
                <w:b w:val="0"/>
                <w:sz w:val="20"/>
              </w:rPr>
              <w:t>238,4</w:t>
            </w:r>
          </w:p>
        </w:tc>
        <w:tc>
          <w:tcPr>
            <w:tcW w:type="dxa" w:w="1667"/>
            <w:vAlign w:val="center"/>
          </w:tcPr>
          <w:p>
            <w:pPr>
              <w:keepNext/>
              <w:spacing w:line="240" w:lineRule="auto" w:after="60"/>
            </w:pPr>
            <w:r>
              <w:rPr>
                <w:rFonts w:ascii="Arial" w:hAnsi="Arial"/>
                <w:b w:val="0"/>
                <w:sz w:val="20"/>
              </w:rPr>
              <w:t>246,3</w:t>
            </w:r>
          </w:p>
        </w:tc>
        <w:tc>
          <w:tcPr>
            <w:tcW w:type="dxa" w:w="1667"/>
            <w:vAlign w:val="center"/>
          </w:tcPr>
          <w:p>
            <w:pPr>
              <w:keepNext/>
              <w:spacing w:line="240" w:lineRule="auto" w:after="60"/>
            </w:pPr>
            <w:r>
              <w:rPr>
                <w:rFonts w:ascii="Arial" w:hAnsi="Arial"/>
                <w:b w:val="0"/>
                <w:sz w:val="20"/>
              </w:rPr>
              <w:t>258,9</w:t>
            </w:r>
          </w:p>
        </w:tc>
        <w:tc>
          <w:tcPr>
            <w:tcW w:type="dxa" w:w="1667"/>
            <w:vAlign w:val="center"/>
          </w:tcPr>
          <w:p>
            <w:pPr>
              <w:keepNext/>
              <w:spacing w:line="240" w:lineRule="auto" w:after="60"/>
            </w:pPr>
            <w:r>
              <w:rPr>
                <w:rFonts w:ascii="Arial" w:hAnsi="Arial"/>
                <w:b w:val="0"/>
                <w:sz w:val="20"/>
              </w:rPr>
              <w:t>307,5</w:t>
            </w:r>
          </w:p>
        </w:tc>
      </w:tr>
      <w:tr>
        <w:trPr>
          <w:cantSplit/>
        </w:trPr>
        <w:tc>
          <w:tcPr>
            <w:tcW w:type="dxa" w:w="2088"/>
            <w:vAlign w:val="center"/>
          </w:tcPr>
          <w:p>
            <w:pPr>
              <w:keepNext w:val="0"/>
              <w:spacing w:line="240" w:lineRule="auto" w:after="60"/>
            </w:pPr>
            <w:r>
              <w:rPr>
                <w:rFonts w:ascii="Arial" w:hAnsi="Arial"/>
                <w:b w:val="0"/>
                <w:sz w:val="20"/>
              </w:rPr>
              <w:t>Suma por imagen</w:t>
            </w:r>
          </w:p>
        </w:tc>
        <w:tc>
          <w:tcPr>
            <w:tcW w:type="dxa" w:w="1667"/>
            <w:vAlign w:val="center"/>
          </w:tcPr>
          <w:p>
            <w:pPr>
              <w:keepNext w:val="0"/>
              <w:spacing w:line="240" w:lineRule="auto" w:after="60"/>
            </w:pPr>
            <w:r>
              <w:rPr>
                <w:rFonts w:ascii="Arial" w:hAnsi="Arial"/>
                <w:b w:val="0"/>
                <w:sz w:val="20"/>
              </w:rPr>
              <w:t>340,9</w:t>
            </w:r>
          </w:p>
        </w:tc>
        <w:tc>
          <w:tcPr>
            <w:tcW w:type="dxa" w:w="1667"/>
            <w:vAlign w:val="center"/>
          </w:tcPr>
          <w:p>
            <w:pPr>
              <w:keepNext w:val="0"/>
              <w:spacing w:line="240" w:lineRule="auto" w:after="60"/>
            </w:pPr>
            <w:r>
              <w:rPr>
                <w:rFonts w:ascii="Arial" w:hAnsi="Arial"/>
                <w:b w:val="0"/>
                <w:sz w:val="20"/>
              </w:rPr>
              <w:t>352,4</w:t>
            </w:r>
          </w:p>
        </w:tc>
        <w:tc>
          <w:tcPr>
            <w:tcW w:type="dxa" w:w="1667"/>
            <w:vAlign w:val="center"/>
          </w:tcPr>
          <w:p>
            <w:pPr>
              <w:keepNext w:val="0"/>
              <w:spacing w:line="240" w:lineRule="auto" w:after="60"/>
            </w:pPr>
            <w:r>
              <w:rPr>
                <w:rFonts w:ascii="Arial" w:hAnsi="Arial"/>
                <w:b w:val="0"/>
                <w:sz w:val="20"/>
              </w:rPr>
              <w:t>367,4</w:t>
            </w:r>
          </w:p>
        </w:tc>
        <w:tc>
          <w:tcPr>
            <w:tcW w:type="dxa" w:w="1667"/>
            <w:vAlign w:val="center"/>
          </w:tcPr>
          <w:p>
            <w:pPr>
              <w:keepNext w:val="0"/>
              <w:spacing w:line="240" w:lineRule="auto" w:after="60"/>
            </w:pPr>
            <w:r>
              <w:rPr>
                <w:rFonts w:ascii="Arial" w:hAnsi="Arial"/>
                <w:b w:val="0"/>
                <w:sz w:val="20"/>
              </w:rPr>
              <w:t>419,9</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La suma se calculó para cada imagen antes de resumirla: su mediana es 352,4 ms y su P95 es 419,9 ms. No se sumaron las medianas de etapas. El intervalo instrumentado de detección incluye la llamada y preparación inmediata de su medición; no es un perfil de operadores del modelo. Estos tiempos corresponden a JPEG reproducidos en un emulador Pixel 8 con compilación de depuración. Excluyen adquisición de cámara, interfaz, localización, generación de voz y reproducción del mensaje. Por tanto, no representan el tiempo desde pulsar Capturar hasta oír la respuesta, ni el rendimiento de un Pixel 8 físico.</w:t>
      </w:r>
    </w:p>
    <w:p>
      <w:bookmarkStart w:id="1074" w:name="report_1074"/>
      <w:pPr>
        <w:pStyle w:val="Ttulo2"/>
      </w:pPr>
      <w:r>
        <w:t>4.8 Brillo de las imágenes y alcance del análisis de oclusión</w:t>
      </w:r>
      <w:bookmarkEnd w:id="1074"/>
    </w:p>
    <w:p>
      <w:pPr>
        <w:widowControl/>
        <w:spacing w:line="360" w:lineRule="auto" w:after="330"/>
        <w:jc w:val="both"/>
      </w:pPr>
      <w:r>
        <w:t xml:space="preserve">La propuesta incluye iluminación y oclusión como condiciones de evaluación </w:t>
      </w:r>
      <w:hyperlink w:anchor="bib_ref_10" w:history="1">
        <w:r>
          <w:t xml:space="preserve">[10]</w:t>
        </w:r>
      </w:hyperlink>
      <w:r>
        <w:t xml:space="preserve">. Las fotografías no tienen registros de lux; la oclusión se analiza posteriormente con etiquetas suplementarias asistidas por IA. Como análisis posterior disponible, se calculó el brillo digital medio de cada JPEG a resolución original mediante la conversión RGB a escala de grises de ocho bits de Pillow </w:t>
      </w:r>
      <w:hyperlink w:anchor="bib_ref_48" w:history="1">
        <w:r>
          <w:t xml:space="preserve">[48]</w:t>
        </w:r>
      </w:hyperlink>
      <w:r>
        <w:t xml:space="preserve">. Se dividió la muestra en tres grupos mediante los cuantiles 1/3 y 2/3 del brillo medio. Son grupos relativos a esta muestra; no se denominan iluminación baja, normal o alta, porque el brillo depende también de exposición, superficies y composición de la escena.</w:t>
      </w:r>
    </w:p>
    <w:p>
      <w:bookmarkStart w:id="1075" w:name="report_1075"/>
      <w:pPr>
        <w:pStyle w:val="Descripcin"/>
        <w:keepNext/>
        <w:spacing w:line="240" w:lineRule="auto" w:before="160" w:after="160"/>
        <w:jc w:val="center"/>
      </w:pPr>
      <w:r>
        <w:rPr>
          <w:sz w:val="20"/>
        </w:rPr>
        <w:t>Tabla 4.9. Detección agrupada por brillo digital de las fotografías.</w:t>
      </w:r>
      <w:bookmarkEnd w:id="107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t>Grupo de brillo</w:t>
            </w:r>
          </w:p>
        </w:tc>
        <w:tc>
          <w:tcPr>
            <w:tcW w:type="dxa" w:w="1333"/>
            <w:vAlign w:val="center"/>
            <w:shd w:fill="EEEEEE"/>
          </w:tcPr>
          <w:p>
            <w:pPr>
              <w:keepNext/>
              <w:spacing w:line="240" w:lineRule="auto" w:after="60"/>
            </w:pPr>
            <w:r>
              <w:rPr>
                <w:rFonts w:ascii="Arial" w:hAnsi="Arial"/>
                <w:b/>
                <w:sz w:val="18"/>
              </w:rPr>
              <w:t>Fotos</w:t>
            </w:r>
          </w:p>
        </w:tc>
        <w:tc>
          <w:tcPr>
            <w:tcW w:type="dxa" w:w="1333"/>
            <w:vAlign w:val="center"/>
            <w:shd w:fill="EEEEEE"/>
          </w:tcPr>
          <w:p>
            <w:pPr>
              <w:keepNext/>
              <w:spacing w:line="240" w:lineRule="auto" w:after="60"/>
            </w:pPr>
            <w:r>
              <w:rPr>
                <w:rFonts w:ascii="Arial" w:hAnsi="Arial"/>
                <w:b/>
                <w:sz w:val="18"/>
              </w:rPr>
              <w:t>GT</w:t>
            </w:r>
          </w:p>
        </w:tc>
        <w:tc>
          <w:tcPr>
            <w:tcW w:type="dxa" w:w="1333"/>
            <w:vAlign w:val="center"/>
            <w:shd w:fill="EEEEEE"/>
          </w:tcPr>
          <w:p>
            <w:pPr>
              <w:keepNext/>
              <w:spacing w:line="240" w:lineRule="auto" w:after="60"/>
            </w:pPr>
            <w:r>
              <w:rPr>
                <w:rFonts w:ascii="Arial" w:hAnsi="Arial"/>
                <w:b/>
                <w:sz w:val="18"/>
              </w:rPr>
              <w:t>TP</w:t>
            </w:r>
          </w:p>
        </w:tc>
        <w:tc>
          <w:tcPr>
            <w:tcW w:type="dxa" w:w="1333"/>
            <w:vAlign w:val="center"/>
            <w:shd w:fill="EEEEEE"/>
          </w:tcPr>
          <w:p>
            <w:pPr>
              <w:keepNext/>
              <w:spacing w:line="240" w:lineRule="auto" w:after="60"/>
            </w:pPr>
            <w:r>
              <w:rPr>
                <w:rFonts w:ascii="Arial" w:hAnsi="Arial"/>
                <w:b/>
                <w:sz w:val="18"/>
              </w:rPr>
              <w:t>FP</w:t>
            </w:r>
          </w:p>
        </w:tc>
        <w:tc>
          <w:tcPr>
            <w:tcW w:type="dxa" w:w="1333"/>
            <w:vAlign w:val="center"/>
            <w:shd w:fill="EEEEEE"/>
          </w:tcPr>
          <w:p>
            <w:pPr>
              <w:keepNext/>
              <w:spacing w:line="240" w:lineRule="auto" w:after="60"/>
            </w:pPr>
            <w:r>
              <w:rPr>
                <w:rFonts w:ascii="Arial" w:hAnsi="Arial"/>
                <w:b/>
                <w:sz w:val="18"/>
              </w:rPr>
              <w:t>Recall</w:t>
            </w:r>
          </w:p>
        </w:tc>
      </w:tr>
      <w:tr>
        <w:trPr>
          <w:cantSplit/>
        </w:trPr>
        <w:tc>
          <w:tcPr>
            <w:tcW w:type="dxa" w:w="2088"/>
            <w:vAlign w:val="center"/>
          </w:tcPr>
          <w:p>
            <w:pPr>
              <w:keepNext/>
              <w:spacing w:line="240" w:lineRule="auto" w:after="60"/>
            </w:pPr>
            <w:r>
              <w:rPr>
                <w:rFonts w:ascii="Arial" w:hAnsi="Arial"/>
                <w:b w:val="0"/>
                <w:sz w:val="18"/>
              </w:rPr>
              <w:t>Menor brillo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326</w:t>
            </w:r>
          </w:p>
        </w:tc>
        <w:tc>
          <w:tcPr>
            <w:tcW w:type="dxa" w:w="1333"/>
            <w:vAlign w:val="center"/>
          </w:tcPr>
          <w:p>
            <w:pPr>
              <w:keepNext/>
              <w:spacing w:line="240" w:lineRule="auto" w:after="60"/>
            </w:pPr>
            <w:r>
              <w:rPr>
                <w:rFonts w:ascii="Arial" w:hAnsi="Arial"/>
                <w:b w:val="0"/>
                <w:sz w:val="18"/>
              </w:rPr>
              <w:t>136</w:t>
            </w:r>
          </w:p>
        </w:tc>
        <w:tc>
          <w:tcPr>
            <w:tcW w:type="dxa" w:w="1333"/>
            <w:vAlign w:val="center"/>
          </w:tcPr>
          <w:p>
            <w:pPr>
              <w:keepNext/>
              <w:spacing w:line="240" w:lineRule="auto" w:after="60"/>
            </w:pPr>
            <w:r>
              <w:rPr>
                <w:rFonts w:ascii="Arial" w:hAnsi="Arial"/>
                <w:b w:val="0"/>
                <w:sz w:val="18"/>
              </w:rPr>
              <w:t>85</w:t>
            </w:r>
          </w:p>
        </w:tc>
        <w:tc>
          <w:tcPr>
            <w:tcW w:type="dxa" w:w="1333"/>
            <w:vAlign w:val="center"/>
          </w:tcPr>
          <w:p>
            <w:pPr>
              <w:keepNext/>
              <w:spacing w:line="240" w:lineRule="auto" w:after="60"/>
            </w:pPr>
            <w:r>
              <w:rPr>
                <w:rFonts w:ascii="Arial" w:hAnsi="Arial"/>
                <w:b w:val="0"/>
                <w:sz w:val="18"/>
              </w:rPr>
              <w:t>41,7 %</w:t>
            </w:r>
          </w:p>
        </w:tc>
      </w:tr>
      <w:tr>
        <w:trPr>
          <w:cantSplit/>
        </w:trPr>
        <w:tc>
          <w:tcPr>
            <w:tcW w:type="dxa" w:w="2088"/>
            <w:vAlign w:val="center"/>
          </w:tcPr>
          <w:p>
            <w:pPr>
              <w:keepNext/>
              <w:spacing w:line="240" w:lineRule="auto" w:after="60"/>
            </w:pPr>
            <w:r>
              <w:rPr>
                <w:rFonts w:ascii="Arial" w:hAnsi="Arial"/>
                <w:b w:val="0"/>
                <w:sz w:val="18"/>
              </w:rPr>
              <w:t>Brillo intermedio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191</w:t>
            </w:r>
          </w:p>
        </w:tc>
        <w:tc>
          <w:tcPr>
            <w:tcW w:type="dxa" w:w="1333"/>
            <w:vAlign w:val="center"/>
          </w:tcPr>
          <w:p>
            <w:pPr>
              <w:keepNext/>
              <w:spacing w:line="240" w:lineRule="auto" w:after="60"/>
            </w:pPr>
            <w:r>
              <w:rPr>
                <w:rFonts w:ascii="Arial" w:hAnsi="Arial"/>
                <w:b w:val="0"/>
                <w:sz w:val="18"/>
              </w:rPr>
              <w:t>118</w:t>
            </w:r>
          </w:p>
        </w:tc>
        <w:tc>
          <w:tcPr>
            <w:tcW w:type="dxa" w:w="1333"/>
            <w:vAlign w:val="center"/>
          </w:tcPr>
          <w:p>
            <w:pPr>
              <w:keepNext/>
              <w:spacing w:line="240" w:lineRule="auto" w:after="60"/>
            </w:pPr>
            <w:r>
              <w:rPr>
                <w:rFonts w:ascii="Arial" w:hAnsi="Arial"/>
                <w:b w:val="0"/>
                <w:sz w:val="18"/>
              </w:rPr>
              <w:t>26</w:t>
            </w:r>
          </w:p>
        </w:tc>
        <w:tc>
          <w:tcPr>
            <w:tcW w:type="dxa" w:w="1333"/>
            <w:vAlign w:val="center"/>
          </w:tcPr>
          <w:p>
            <w:pPr>
              <w:keepNext/>
              <w:spacing w:line="240" w:lineRule="auto" w:after="60"/>
            </w:pPr>
            <w:r>
              <w:rPr>
                <w:rFonts w:ascii="Arial" w:hAnsi="Arial"/>
                <w:b w:val="0"/>
                <w:sz w:val="18"/>
              </w:rPr>
              <w:t>61,8 %</w:t>
            </w:r>
          </w:p>
        </w:tc>
      </w:tr>
      <w:tr>
        <w:trPr>
          <w:cantSplit/>
        </w:trPr>
        <w:tc>
          <w:tcPr>
            <w:tcW w:type="dxa" w:w="2088"/>
            <w:vAlign w:val="center"/>
          </w:tcPr>
          <w:p>
            <w:pPr>
              <w:keepNext w:val="0"/>
              <w:spacing w:line="240" w:lineRule="auto" w:after="60"/>
            </w:pPr>
            <w:r>
              <w:rPr>
                <w:rFonts w:ascii="Arial" w:hAnsi="Arial"/>
                <w:b w:val="0"/>
                <w:sz w:val="18"/>
              </w:rPr>
              <w:t>Mayor brillo</w:t>
            </w:r>
          </w:p>
        </w:tc>
        <w:tc>
          <w:tcPr>
            <w:tcW w:type="dxa" w:w="1333"/>
            <w:vAlign w:val="center"/>
          </w:tcPr>
          <w:p>
            <w:pPr>
              <w:keepNext w:val="0"/>
              <w:spacing w:line="240" w:lineRule="auto" w:after="60"/>
            </w:pPr>
            <w:r>
              <w:rPr>
                <w:rFonts w:ascii="Arial" w:hAnsi="Arial"/>
                <w:b w:val="0"/>
                <w:sz w:val="18"/>
              </w:rPr>
              <w:t>66</w:t>
            </w:r>
          </w:p>
        </w:tc>
        <w:tc>
          <w:tcPr>
            <w:tcW w:type="dxa" w:w="1333"/>
            <w:vAlign w:val="center"/>
          </w:tcPr>
          <w:p>
            <w:pPr>
              <w:keepNext w:val="0"/>
              <w:spacing w:line="240" w:lineRule="auto" w:after="60"/>
            </w:pPr>
            <w:r>
              <w:rPr>
                <w:rFonts w:ascii="Arial" w:hAnsi="Arial"/>
                <w:b w:val="0"/>
                <w:sz w:val="18"/>
              </w:rPr>
              <w:t>372</w:t>
            </w:r>
          </w:p>
        </w:tc>
        <w:tc>
          <w:tcPr>
            <w:tcW w:type="dxa" w:w="1333"/>
            <w:vAlign w:val="center"/>
          </w:tcPr>
          <w:p>
            <w:pPr>
              <w:keepNext w:val="0"/>
              <w:spacing w:line="240" w:lineRule="auto" w:after="60"/>
            </w:pPr>
            <w:r>
              <w:rPr>
                <w:rFonts w:ascii="Arial" w:hAnsi="Arial"/>
                <w:b w:val="0"/>
                <w:sz w:val="18"/>
              </w:rPr>
              <w:t>171</w:t>
            </w:r>
          </w:p>
        </w:tc>
        <w:tc>
          <w:tcPr>
            <w:tcW w:type="dxa" w:w="1333"/>
            <w:vAlign w:val="center"/>
          </w:tcPr>
          <w:p>
            <w:pPr>
              <w:keepNext w:val="0"/>
              <w:spacing w:line="240" w:lineRule="auto" w:after="60"/>
            </w:pPr>
            <w:r>
              <w:rPr>
                <w:rFonts w:ascii="Arial" w:hAnsi="Arial"/>
                <w:b w:val="0"/>
                <w:sz w:val="18"/>
              </w:rPr>
              <w:t>58</w:t>
            </w:r>
          </w:p>
        </w:tc>
        <w:tc>
          <w:tcPr>
            <w:tcW w:type="dxa" w:w="1333"/>
            <w:vAlign w:val="center"/>
          </w:tcPr>
          <w:p>
            <w:pPr>
              <w:keepNext w:val="0"/>
              <w:spacing w:line="240" w:lineRule="auto" w:after="60"/>
            </w:pPr>
            <w:r>
              <w:rPr>
                <w:rFonts w:ascii="Arial" w:hAnsi="Arial"/>
                <w:b w:val="0"/>
                <w:sz w:val="18"/>
              </w:rPr>
              <w:t>46,0 %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 xml:space="preserve">Cada grupo reúne 66 fotografías. Los intervalos observados de brillo medio son menor brillo: 88,4 a 124,7; brillo intermedio: 124,8 a 136,8; mayor brillo: 136,8 a 157,1 en una escala de 0 a 255. La Tabla 4.9 utiliza detecciones con confianza 0,30 e IoU mínimo 0,50 y calcula </w:t>
      </w:r>
      <w:r>
        <w:rPr>
          <w:i/>
        </w:rPr>
        <w:t>recall</w:t>
      </w:r>
      <w:r>
        <w:t xml:space="preserve"> agrupando instancias, sin promediar recalls por fotografía. Se conservan las imágenes vacías en el conteo de fotos; no aportan instancias al denominador de </w:t>
      </w:r>
      <w:r>
        <w:rPr>
          <w:i/>
        </w:rPr>
        <w:t>recall</w:t>
      </w:r>
      <w:r>
        <w:t>.</w:t>
      </w:r>
    </w:p>
    <w:p>
      <w:pPr>
        <w:widowControl/>
        <w:spacing w:line="360" w:lineRule="auto" w:after="330"/>
        <w:jc w:val="both"/>
      </w:pPr>
      <w:r>
        <w:t xml:space="preserve">El grupo intermedio presenta mayor </w:t>
      </w:r>
      <w:r>
        <w:rPr>
          <w:i/>
        </w:rPr>
        <w:t>recall</w:t>
      </w:r>
      <w:r>
        <w:t xml:space="preserve"> observado, pero no se obtiene una relación monótona con el brillo. La mezcla de clases también cambia: las sillas representan 44,8 %, 41,4 %, 57,3 % de las instancias de los tres grupos, respectivamente. El montaje, lente, fondo y densidad de objetos varían junto con el brillo. La comparación es descriptiva, no una prueba causal de iluminación ni un umbral operativo; no permite afirmar tolerancia a oscuridad o condiciones de lux específicas. El archivo complementario registra los conteos por clase y configuración para hacer visible esta confusión.</w:t>
      </w:r>
    </w:p>
    <w:p>
      <w:pPr>
        <w:pStyle w:val="Ttulo3"/>
      </w:pPr>
      <w:r>
        <w:t>4.8.1 Análisis observacional de oclusión</w:t>
      </w:r>
    </w:p>
    <w:p>
      <w:pPr>
        <w:widowControl/>
        <w:spacing w:line="360" w:lineRule="auto" w:after="330"/>
        <w:jc w:val="both"/>
      </w:pPr>
      <w:r>
        <w:t xml:space="preserve">Se inspeccionaron las 198 fotografías y se asignó una etiqueta suplementaria a cada una de las 889 instancias COCO, sin modificar sus cajas ni volver a ejecutar el detector. Dos lotes disjuntos fueron revisados visualmente con GPT-6 Astra y razonamiento High, sin mostrar predicciones durante el etiquetado. Como definición operativa propia para este análisis, el protocolo distingue ausencia de obstrucción externa, oclusión parcial y fuerte; los casos ambiguos se conservan como inciertos. El truncamiento por borde se registra aparte, y el tamaño pequeño o la perspectiva no se consideran por sí solos oclusión. La severidad es cualitativa y no corresponde a porcentajes medidos de superficie oculta.</w:t>
      </w:r>
    </w:p>
    <w:p>
      <w:pPr>
        <w:widowControl/>
        <w:spacing w:line="360" w:lineRule="auto" w:after="330"/>
        <w:jc w:val="both"/>
      </w:pPr>
      <w:r>
        <w:t xml:space="preserve">El autor revisó 215 de las 889 etiquetas mediante la interfaz local; se conservaron las otras 674 etiquetas asistidas por IA sin revisión individual adicional. Los dos lotes iniciales no constituyen doble revisión independiente. Se registra motivo, confianza e identificador de anotación, y se proporciona una interfaz local para corregir los casos. El análisis utiliza el emparejamiento del </w:t>
      </w:r>
      <w:r>
        <w:rPr>
          <w:i/>
        </w:rPr>
        <w:t>benchmark</w:t>
      </w:r>
      <w:r>
        <w:t xml:space="preserve"> con confianza 0,30, IoU mínimo 0,50 y coincidencia de clase. Se calcula </w:t>
      </w:r>
      <w:r>
        <w:rPr>
          <w:i/>
        </w:rPr>
        <w:t>recall</w:t>
      </w:r>
      <w:r>
        <w:t xml:space="preserve"> por nivel; los falsos positivos sin objeto de referencia no reciben una etiqueta de oclusión.</w:t>
      </w:r>
    </w:p>
    <w:p>
      <w:bookmarkStart w:id="1076" w:name="report_1076"/>
      <w:pPr>
        <w:pStyle w:val="Descripcin"/>
        <w:keepNext/>
        <w:spacing w:line="240" w:lineRule="auto" w:before="160" w:after="160"/>
        <w:jc w:val="center"/>
      </w:pPr>
      <w:r>
        <w:rPr>
          <w:sz w:val="20"/>
        </w:rPr>
        <w:t xml:space="preserve">Tabla 4.10. </w:t>
      </w:r>
      <w:r>
        <w:rPr>
          <w:i/>
          <w:sz w:val="20"/>
        </w:rPr>
        <w:t>Recall</w:t>
      </w:r>
      <w:r>
        <w:rPr>
          <w:sz w:val="20"/>
        </w:rPr>
        <w:t xml:space="preserve"> por nivel de oclusión con etiquetas asistidas por IA.</w:t>
      </w:r>
      <w:bookmarkEnd w:id="107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64"/>
        <w:gridCol w:w="864"/>
        <w:gridCol w:w="864"/>
        <w:gridCol w:w="1224"/>
        <w:gridCol w:w="2995"/>
      </w:tblGrid>
      <w:tr>
        <w:trPr>
          <w:cantSplit/>
          <w:tblHeader/>
        </w:trPr>
        <w:tc>
          <w:tcPr>
            <w:tcW w:type="dxa" w:w="1944"/>
            <w:vAlign w:val="center"/>
            <w:shd w:fill="EEEEEE"/>
          </w:tcPr>
          <w:p>
            <w:pPr>
              <w:keepNext/>
              <w:spacing w:line="240" w:lineRule="auto" w:after="60"/>
            </w:pPr>
            <w:r>
              <w:rPr>
                <w:rFonts w:ascii="Arial" w:hAnsi="Arial"/>
                <w:b/>
                <w:sz w:val="18"/>
              </w:rPr>
              <w:t>Oclusión</w:t>
            </w:r>
          </w:p>
        </w:tc>
        <w:tc>
          <w:tcPr>
            <w:tcW w:type="dxa" w:w="864"/>
            <w:vAlign w:val="center"/>
            <w:shd w:fill="EEEEEE"/>
          </w:tcPr>
          <w:p>
            <w:pPr>
              <w:keepNext/>
              <w:spacing w:line="240" w:lineRule="auto" w:after="60"/>
            </w:pPr>
            <w:r>
              <w:rPr>
                <w:rFonts w:ascii="Arial" w:hAnsi="Arial"/>
                <w:b/>
                <w:sz w:val="18"/>
              </w:rPr>
              <w:t>GT</w:t>
            </w:r>
          </w:p>
        </w:tc>
        <w:tc>
          <w:tcPr>
            <w:tcW w:type="dxa" w:w="864"/>
            <w:vAlign w:val="center"/>
            <w:shd w:fill="EEEEEE"/>
          </w:tcPr>
          <w:p>
            <w:pPr>
              <w:keepNext/>
              <w:spacing w:line="240" w:lineRule="auto" w:after="60"/>
            </w:pPr>
            <w:r>
              <w:rPr>
                <w:rFonts w:ascii="Arial" w:hAnsi="Arial"/>
                <w:b/>
                <w:sz w:val="18"/>
              </w:rPr>
              <w:t>TP</w:t>
            </w:r>
          </w:p>
        </w:tc>
        <w:tc>
          <w:tcPr>
            <w:tcW w:type="dxa" w:w="864"/>
            <w:vAlign w:val="center"/>
            <w:shd w:fill="EEEEEE"/>
          </w:tcPr>
          <w:p>
            <w:pPr>
              <w:keepNext/>
              <w:spacing w:line="240" w:lineRule="auto" w:after="60"/>
            </w:pPr>
            <w:r>
              <w:rPr>
                <w:rFonts w:ascii="Arial" w:hAnsi="Arial"/>
                <w:b/>
                <w:sz w:val="18"/>
              </w:rPr>
              <w:t>FN</w:t>
            </w:r>
          </w:p>
        </w:tc>
        <w:tc>
          <w:tcPr>
            <w:tcW w:type="dxa" w:w="1224"/>
            <w:vAlign w:val="center"/>
            <w:shd w:fill="EEEEEE"/>
          </w:tcPr>
          <w:p>
            <w:pPr>
              <w:keepNext/>
              <w:spacing w:line="240" w:lineRule="auto" w:after="60"/>
            </w:pPr>
            <w:r>
              <w:rPr>
                <w:rFonts w:ascii="Arial" w:hAnsi="Arial"/>
                <w:b/>
                <w:sz w:val="18"/>
              </w:rPr>
              <w:t>Recall</w:t>
            </w:r>
          </w:p>
        </w:tc>
        <w:tc>
          <w:tcPr>
            <w:tcW w:type="dxa" w:w="2995"/>
            <w:vAlign w:val="center"/>
            <w:shd w:fill="EEEEEE"/>
          </w:tcPr>
          <w:p>
            <w:pPr>
              <w:keepNext/>
              <w:spacing w:line="240" w:lineRule="auto" w:after="60"/>
            </w:pPr>
            <w:r>
              <w:rPr>
                <w:rFonts w:ascii="Arial" w:hAnsi="Arial"/>
                <w:b/>
                <w:sz w:val="18"/>
              </w:rPr>
              <w:t>IC 95 %</w:t>
            </w:r>
          </w:p>
        </w:tc>
      </w:tr>
      <w:tr>
        <w:trPr>
          <w:cantSplit/>
        </w:trPr>
        <w:tc>
          <w:tcPr>
            <w:tcW w:type="dxa" w:w="1944"/>
            <w:vAlign w:val="center"/>
          </w:tcPr>
          <w:p>
            <w:pPr>
              <w:keepNext/>
              <w:spacing w:line="240" w:lineRule="auto" w:after="60"/>
            </w:pPr>
            <w:r>
              <w:rPr>
                <w:rFonts w:ascii="Arial" w:hAnsi="Arial"/>
                <w:b w:val="0"/>
                <w:sz w:val="18"/>
              </w:rPr>
              <w:t>Sin oclusión</w:t>
            </w:r>
          </w:p>
        </w:tc>
        <w:tc>
          <w:tcPr>
            <w:tcW w:type="dxa" w:w="864"/>
            <w:vAlign w:val="center"/>
          </w:tcPr>
          <w:p>
            <w:pPr>
              <w:keepNext/>
              <w:spacing w:line="240" w:lineRule="auto" w:after="60"/>
            </w:pPr>
            <w:r>
              <w:rPr>
                <w:rFonts w:ascii="Arial" w:hAnsi="Arial"/>
                <w:b w:val="0"/>
                <w:sz w:val="18"/>
              </w:rPr>
              <w:t>274</w:t>
            </w:r>
          </w:p>
        </w:tc>
        <w:tc>
          <w:tcPr>
            <w:tcW w:type="dxa" w:w="864"/>
            <w:vAlign w:val="center"/>
          </w:tcPr>
          <w:p>
            <w:pPr>
              <w:keepNext/>
              <w:spacing w:line="240" w:lineRule="auto" w:after="60"/>
            </w:pPr>
            <w:r>
              <w:rPr>
                <w:rFonts w:ascii="Arial" w:hAnsi="Arial"/>
                <w:b w:val="0"/>
                <w:sz w:val="18"/>
              </w:rPr>
              <w:t>186</w:t>
            </w:r>
          </w:p>
        </w:tc>
        <w:tc>
          <w:tcPr>
            <w:tcW w:type="dxa" w:w="864"/>
            <w:vAlign w:val="center"/>
          </w:tcPr>
          <w:p>
            <w:pPr>
              <w:keepNext/>
              <w:spacing w:line="240" w:lineRule="auto" w:after="60"/>
            </w:pPr>
            <w:r>
              <w:rPr>
                <w:rFonts w:ascii="Arial" w:hAnsi="Arial"/>
                <w:b w:val="0"/>
                <w:sz w:val="18"/>
              </w:rPr>
              <w:t>88</w:t>
            </w:r>
          </w:p>
        </w:tc>
        <w:tc>
          <w:tcPr>
            <w:tcW w:type="dxa" w:w="1224"/>
            <w:vAlign w:val="center"/>
          </w:tcPr>
          <w:p>
            <w:pPr>
              <w:keepNext/>
              <w:spacing w:line="240" w:lineRule="auto" w:after="60"/>
            </w:pPr>
            <w:r>
              <w:rPr>
                <w:rFonts w:ascii="Arial" w:hAnsi="Arial"/>
                <w:b w:val="0"/>
                <w:sz w:val="18"/>
              </w:rPr>
              <w:t>67,9 %</w:t>
            </w:r>
          </w:p>
        </w:tc>
        <w:tc>
          <w:tcPr>
            <w:tcW w:type="dxa" w:w="2995"/>
            <w:vAlign w:val="center"/>
          </w:tcPr>
          <w:p>
            <w:pPr>
              <w:keepNext/>
              <w:spacing w:line="240" w:lineRule="auto" w:after="60"/>
            </w:pPr>
            <w:r>
              <w:rPr>
                <w:rFonts w:ascii="Arial" w:hAnsi="Arial"/>
                <w:b w:val="0"/>
                <w:sz w:val="18"/>
              </w:rPr>
              <w:t>[60,0 %; 75,5 %]</w:t>
            </w:r>
          </w:p>
        </w:tc>
      </w:tr>
      <w:tr>
        <w:trPr>
          <w:cantSplit/>
        </w:trPr>
        <w:tc>
          <w:tcPr>
            <w:tcW w:type="dxa" w:w="1944"/>
            <w:vAlign w:val="center"/>
          </w:tcPr>
          <w:p>
            <w:pPr>
              <w:keepNext/>
              <w:spacing w:line="240" w:lineRule="auto" w:after="60"/>
            </w:pPr>
            <w:r>
              <w:rPr>
                <w:rFonts w:ascii="Arial" w:hAnsi="Arial"/>
                <w:b w:val="0"/>
                <w:sz w:val="18"/>
              </w:rPr>
              <w:t>Parcial</w:t>
            </w:r>
          </w:p>
        </w:tc>
        <w:tc>
          <w:tcPr>
            <w:tcW w:type="dxa" w:w="864"/>
            <w:vAlign w:val="center"/>
          </w:tcPr>
          <w:p>
            <w:pPr>
              <w:keepNext/>
              <w:spacing w:line="240" w:lineRule="auto" w:after="60"/>
            </w:pPr>
            <w:r>
              <w:rPr>
                <w:rFonts w:ascii="Arial" w:hAnsi="Arial"/>
                <w:b w:val="0"/>
                <w:sz w:val="18"/>
              </w:rPr>
              <w:t>408</w:t>
            </w:r>
          </w:p>
        </w:tc>
        <w:tc>
          <w:tcPr>
            <w:tcW w:type="dxa" w:w="864"/>
            <w:vAlign w:val="center"/>
          </w:tcPr>
          <w:p>
            <w:pPr>
              <w:keepNext/>
              <w:spacing w:line="240" w:lineRule="auto" w:after="60"/>
            </w:pPr>
            <w:r>
              <w:rPr>
                <w:rFonts w:ascii="Arial" w:hAnsi="Arial"/>
                <w:b w:val="0"/>
                <w:sz w:val="18"/>
              </w:rPr>
              <w:t>217</w:t>
            </w:r>
          </w:p>
        </w:tc>
        <w:tc>
          <w:tcPr>
            <w:tcW w:type="dxa" w:w="864"/>
            <w:vAlign w:val="center"/>
          </w:tcPr>
          <w:p>
            <w:pPr>
              <w:keepNext/>
              <w:spacing w:line="240" w:lineRule="auto" w:after="60"/>
            </w:pPr>
            <w:r>
              <w:rPr>
                <w:rFonts w:ascii="Arial" w:hAnsi="Arial"/>
                <w:b w:val="0"/>
                <w:sz w:val="18"/>
              </w:rPr>
              <w:t>191</w:t>
            </w:r>
          </w:p>
        </w:tc>
        <w:tc>
          <w:tcPr>
            <w:tcW w:type="dxa" w:w="1224"/>
            <w:vAlign w:val="center"/>
          </w:tcPr>
          <w:p>
            <w:pPr>
              <w:keepNext/>
              <w:spacing w:line="240" w:lineRule="auto" w:after="60"/>
            </w:pPr>
            <w:r>
              <w:rPr>
                <w:rFonts w:ascii="Arial" w:hAnsi="Arial"/>
                <w:b w:val="0"/>
                <w:sz w:val="18"/>
              </w:rPr>
              <w:t>53,2 %</w:t>
            </w:r>
          </w:p>
        </w:tc>
        <w:tc>
          <w:tcPr>
            <w:tcW w:type="dxa" w:w="2995"/>
            <w:vAlign w:val="center"/>
          </w:tcPr>
          <w:p>
            <w:pPr>
              <w:keepNext/>
              <w:spacing w:line="240" w:lineRule="auto" w:after="60"/>
            </w:pPr>
            <w:r>
              <w:rPr>
                <w:rFonts w:ascii="Arial" w:hAnsi="Arial"/>
                <w:b w:val="0"/>
                <w:sz w:val="18"/>
              </w:rPr>
              <w:t>[46,6 %; 63,3 %]</w:t>
            </w:r>
          </w:p>
        </w:tc>
      </w:tr>
      <w:tr>
        <w:trPr>
          <w:cantSplit/>
        </w:trPr>
        <w:tc>
          <w:tcPr>
            <w:tcW w:type="dxa" w:w="1944"/>
            <w:vAlign w:val="center"/>
          </w:tcPr>
          <w:p>
            <w:pPr>
              <w:keepNext/>
              <w:spacing w:line="240" w:lineRule="auto" w:after="60"/>
            </w:pPr>
            <w:r>
              <w:rPr>
                <w:rFonts w:ascii="Arial" w:hAnsi="Arial"/>
                <w:b w:val="0"/>
                <w:sz w:val="18"/>
              </w:rPr>
              <w:t>Fuerte</w:t>
            </w:r>
          </w:p>
        </w:tc>
        <w:tc>
          <w:tcPr>
            <w:tcW w:type="dxa" w:w="864"/>
            <w:vAlign w:val="center"/>
          </w:tcPr>
          <w:p>
            <w:pPr>
              <w:keepNext/>
              <w:spacing w:line="240" w:lineRule="auto" w:after="60"/>
            </w:pPr>
            <w:r>
              <w:rPr>
                <w:rFonts w:ascii="Arial" w:hAnsi="Arial"/>
                <w:b w:val="0"/>
                <w:sz w:val="18"/>
              </w:rPr>
              <w:t>168</w:t>
            </w:r>
          </w:p>
        </w:tc>
        <w:tc>
          <w:tcPr>
            <w:tcW w:type="dxa" w:w="864"/>
            <w:vAlign w:val="center"/>
          </w:tcPr>
          <w:p>
            <w:pPr>
              <w:keepNext/>
              <w:spacing w:line="240" w:lineRule="auto" w:after="60"/>
            </w:pPr>
            <w:r>
              <w:rPr>
                <w:rFonts w:ascii="Arial" w:hAnsi="Arial"/>
                <w:b w:val="0"/>
                <w:sz w:val="18"/>
              </w:rPr>
              <w:t>18</w:t>
            </w:r>
          </w:p>
        </w:tc>
        <w:tc>
          <w:tcPr>
            <w:tcW w:type="dxa" w:w="864"/>
            <w:vAlign w:val="center"/>
          </w:tcPr>
          <w:p>
            <w:pPr>
              <w:keepNext/>
              <w:spacing w:line="240" w:lineRule="auto" w:after="60"/>
            </w:pPr>
            <w:r>
              <w:rPr>
                <w:rFonts w:ascii="Arial" w:hAnsi="Arial"/>
                <w:b w:val="0"/>
                <w:sz w:val="18"/>
              </w:rPr>
              <w:t>150</w:t>
            </w:r>
          </w:p>
        </w:tc>
        <w:tc>
          <w:tcPr>
            <w:tcW w:type="dxa" w:w="1224"/>
            <w:vAlign w:val="center"/>
          </w:tcPr>
          <w:p>
            <w:pPr>
              <w:keepNext/>
              <w:spacing w:line="240" w:lineRule="auto" w:after="60"/>
            </w:pPr>
            <w:r>
              <w:rPr>
                <w:rFonts w:ascii="Arial" w:hAnsi="Arial"/>
                <w:b w:val="0"/>
                <w:sz w:val="18"/>
              </w:rPr>
              <w:t>10,7 %</w:t>
            </w:r>
          </w:p>
        </w:tc>
        <w:tc>
          <w:tcPr>
            <w:tcW w:type="dxa" w:w="2995"/>
            <w:vAlign w:val="center"/>
          </w:tcPr>
          <w:p>
            <w:pPr>
              <w:keepNext/>
              <w:spacing w:line="240" w:lineRule="auto" w:after="60"/>
            </w:pPr>
            <w:r>
              <w:rPr>
                <w:rFonts w:ascii="Arial" w:hAnsi="Arial"/>
                <w:b w:val="0"/>
                <w:sz w:val="18"/>
              </w:rPr>
              <w:t>[5,4 %; 21,9 %]</w:t>
            </w:r>
          </w:p>
        </w:tc>
      </w:tr>
      <w:tr>
        <w:trPr>
          <w:cantSplit/>
        </w:trPr>
        <w:tc>
          <w:tcPr>
            <w:tcW w:type="dxa" w:w="1944"/>
            <w:vAlign w:val="center"/>
          </w:tcPr>
          <w:p>
            <w:pPr>
              <w:keepNext w:val="0"/>
              <w:spacing w:line="240" w:lineRule="auto" w:after="60"/>
            </w:pPr>
            <w:r>
              <w:rPr>
                <w:rFonts w:ascii="Arial" w:hAnsi="Arial"/>
                <w:b w:val="0"/>
                <w:sz w:val="18"/>
              </w:rPr>
              <w:t>Incierta</w:t>
            </w:r>
          </w:p>
        </w:tc>
        <w:tc>
          <w:tcPr>
            <w:tcW w:type="dxa" w:w="864"/>
            <w:vAlign w:val="center"/>
          </w:tcPr>
          <w:p>
            <w:pPr>
              <w:keepNext w:val="0"/>
              <w:spacing w:line="240" w:lineRule="auto" w:after="60"/>
            </w:pPr>
            <w:r>
              <w:rPr>
                <w:rFonts w:ascii="Arial" w:hAnsi="Arial"/>
                <w:b w:val="0"/>
                <w:sz w:val="18"/>
              </w:rPr>
              <w:t>39</w:t>
            </w:r>
          </w:p>
        </w:tc>
        <w:tc>
          <w:tcPr>
            <w:tcW w:type="dxa" w:w="864"/>
            <w:vAlign w:val="center"/>
          </w:tcPr>
          <w:p>
            <w:pPr>
              <w:keepNext w:val="0"/>
              <w:spacing w:line="240" w:lineRule="auto" w:after="60"/>
            </w:pPr>
            <w:r>
              <w:rPr>
                <w:rFonts w:ascii="Arial" w:hAnsi="Arial"/>
                <w:b w:val="0"/>
                <w:sz w:val="18"/>
              </w:rPr>
              <w:t>4</w:t>
            </w:r>
          </w:p>
        </w:tc>
        <w:tc>
          <w:tcPr>
            <w:tcW w:type="dxa" w:w="864"/>
            <w:vAlign w:val="center"/>
          </w:tcPr>
          <w:p>
            <w:pPr>
              <w:keepNext w:val="0"/>
              <w:spacing w:line="240" w:lineRule="auto" w:after="60"/>
            </w:pPr>
            <w:r>
              <w:rPr>
                <w:rFonts w:ascii="Arial" w:hAnsi="Arial"/>
                <w:b w:val="0"/>
                <w:sz w:val="18"/>
              </w:rPr>
              <w:t>35</w:t>
            </w:r>
          </w:p>
        </w:tc>
        <w:tc>
          <w:tcPr>
            <w:tcW w:type="dxa" w:w="1224"/>
            <w:vAlign w:val="center"/>
          </w:tcPr>
          <w:p>
            <w:pPr>
              <w:keepNext w:val="0"/>
              <w:spacing w:line="240" w:lineRule="auto" w:after="60"/>
            </w:pPr>
            <w:r>
              <w:rPr>
                <w:rFonts w:ascii="Arial" w:hAnsi="Arial"/>
                <w:b w:val="0"/>
                <w:sz w:val="18"/>
              </w:rPr>
              <w:t>10,3 %</w:t>
            </w:r>
          </w:p>
        </w:tc>
        <w:tc>
          <w:tcPr>
            <w:tcW w:type="dxa" w:w="2995"/>
            <w:vAlign w:val="center"/>
          </w:tcPr>
          <w:p>
            <w:pPr>
              <w:keepNext w:val="0"/>
              <w:spacing w:line="240" w:lineRule="auto" w:after="60"/>
            </w:pPr>
            <w:r>
              <w:rPr>
                <w:rFonts w:ascii="Arial" w:hAnsi="Arial"/>
                <w:b w:val="0"/>
                <w:sz w:val="18"/>
              </w:rPr>
              <w:t>[0,0 %; 33,3 %]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intervalos percentiles del 95 % se obtienen con 10 000 remuestreos de los 33 grupos completos (semilla 20261013). Los casos inciertos se muestran por separado y no se mezclan con los tres niveles de severidad. Los intervalos reflejan variación entre grupos, pero no incertidumbre del etiquetado ni posibles errores de la verdad de campo. El análisis incluye únicamente instancias ya anotadas, por lo que no cubre objetos completamente ocultos y ausentes de la anotación.</w:t>
      </w:r>
    </w:p>
    <w:p>
      <w:pPr>
        <w:widowControl/>
        <w:spacing w:line="360" w:lineRule="auto" w:after="330"/>
        <w:jc w:val="both"/>
      </w:pPr>
      <w:r>
        <w:t xml:space="preserve">El </w:t>
      </w:r>
      <w:r>
        <w:rPr>
          <w:i/>
        </w:rPr>
        <w:t>recall</w:t>
      </w:r>
      <w:r>
        <w:t xml:space="preserve"> observado es 67,9 % sin oclusión, 53,2 % con oclusión parcial y 10,7 % con oclusión fuerte. Estos valores describen asociaciones del conjunto; no aíslan el efecto causal de la oclusión. Se conservan desgloses por clase y tamaño aparente conjunto, configuración y truncamiento, además de análisis de sensibilidad con etiquetas de alta confianza y objetos no truncados. El tamaño aparente se define por área de caja dividida entre área de imagen: pequeño &lt; 0,01, mediano de 0,01 a &lt; 0,10 y grande ≥ 0,10; no representa el área completa de la parte oculta.</w:t>
      </w:r>
    </w:p>
    <w:p>
      <w:pPr>
        <w:widowControl/>
        <w:spacing w:line="360" w:lineRule="auto" w:after="330"/>
        <w:jc w:val="both"/>
      </w:pPr>
      <w:r>
        <w:t xml:space="preserve">La composición limita la interpretación del gradiente: 130 de las 168 instancias con oclusión fuerte son sillas y 137 tienen caja pequeña, frente a 51 de 274 sin oclusión. Dentro de sillas de tamaño mediano, el </w:t>
      </w:r>
      <w:r>
        <w:rPr>
          <w:i/>
        </w:rPr>
        <w:t>recall</w:t>
      </w:r>
      <w:r>
        <w:t xml:space="preserve"> es 75,0 % (54/72), 62,0 % (62/100), 27,3 % (6/22) para ausencia de oclusión, parcial y fuerte, respectivamente; aún varían escena, pose y tamaño dentro de la banda. En camas se obtiene 66,7 % sin oclusión y 89,7 % con oclusión parcial, por lo que el gradiente agrupado no debe asumirse universal. Al excluir objetos truncados, los valores agrupados son 77,6 %, 49,7 %, 10,7 %; con etiquetas de alta confianza son 69,9 %, 54,8 %, 11,1 %, en el mismo orden de severidad. Estas comprobaciones describen sensibilidad, pero no eliminan la confusión ni sustituyen la revisión de etiquetas.</w:t>
      </w:r>
    </w:p>
    <w:p>
      <w:pPr>
        <w:widowControl/>
        <w:spacing w:line="360" w:lineRule="auto" w:after="330"/>
        <w:jc w:val="both"/>
      </w:pPr>
      <w:r>
        <w:t>La inspección señaló posibles inconsistencias de clase, cajas que abarcan más de una instancia y duplicados; se registraron como incidencias para revisión sin corregir automáticamente la referencia original. Las celdas con menos de 15 instancias se identifican como escasas. La revisión de etiquetas no modifica las cajas ni clases originales. Antes de formular conclusiones definitivas, deben resolverse las etiquetas ambiguas y las incidencias GT, y recalcularse los resultados si cambia la referencia. Las tablas detalladas, los hashes y el protocolo se conservan en Build/Testing/occlusion/.</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77" w:name="report_1077"/>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77"/>
    </w:p>
    <w:p>
      <w:bookmarkStart w:id="1078" w:name="report_1078"/>
      <w:pPr>
        <w:pStyle w:val="Ttulo2"/>
      </w:pPr>
      <w:r>
        <w:t xml:space="preserve">5.1 Conclusiones</w:t>
      </w:r>
      <w:bookmarkEnd w:id="1078"/>
    </w:p>
    <w:p>
      <w:pPr>
        <w:pStyle w:val="Normal"/>
        <w:widowControl/>
        <w:spacing w:line="360" w:lineRule="auto" w:after="330"/>
        <w:jc w:val="both"/>
      </w:pPr>
      <w:r>
        <w:t xml:space="preserve">La comparación inicial sustentó la selección de EfficientDet-Lite2 para el Redmi Note 13: AP50 de 0,648, </w:t>
      </w:r>
      <w:r>
        <w:rPr>
          <w:i/>
        </w:rPr>
        <w:t>recall</w:t>
      </w:r>
      <w:r>
        <w:t xml:space="preserve"> de 0,677 y latencia aislada de 124,9 ms. La aplicación actual integra CameraX, LiteRT, geometría </w:t>
      </w:r>
      <w:r>
        <w:rPr>
          <w:i/>
        </w:rPr>
        <w:t>letterbox</w:t>
      </w:r>
      <w:r>
        <w:t>, localización en seis zonas y síntesis de voz local con sherpa-onnx. Las pruebas de lógica y la reproducción Android respaldan la ejecución de los componentes; no constituyen validación con usuarios finales.</w:t>
      </w:r>
    </w:p>
    <w:p>
      <w:pPr>
        <w:pStyle w:val="Normal"/>
        <w:widowControl/>
        <w:spacing w:line="360" w:lineRule="auto" w:after="330"/>
        <w:jc w:val="both"/>
      </w:pPr>
      <w:r>
        <w:t>La evaluación de captura completó 198 fotografías, 889 anotaciones revisadas y 33 grupos pareados. Gorillapod 0,5x produjo 82 detecciones correctas y recuperó al menos un objeto en 29 escenas; el arnés de pecho 1x obtuvo la mayor F1, de 61,9 %. Bajo la orientación hacia los objetos utilizada en estas capturas, la elección por cantidad favorece provisionalmente Gorillapod 0,5x, mientras la elección por equilibrio precisión-recall favorece pecho 1x. Las comparaciones no establecen un ganador universal y deben confirmarse en escenas nuevas.</w:t>
      </w:r>
      <w:r>
        <w:rPr>
          <w:i/>
        </w:rPr>
        <w:t/>
      </w:r>
      <w:r>
        <w:t xml:space="preserve"/>
      </w:r>
    </w:p>
    <w:p>
      <w:pPr>
        <w:pStyle w:val="Normal"/>
        <w:widowControl/>
        <w:spacing w:line="360" w:lineRule="auto" w:after="330"/>
        <w:jc w:val="both"/>
      </w:pPr>
      <w:r>
        <w:t xml:space="preserve">Los conteos por escena mostraron una ventaja de Gorillapod 0,5x frente a pecho 1x de 17 detecciones (0,515 por escena; IC </w:t>
      </w:r>
      <w:r>
        <w:rPr>
          <w:i/>
        </w:rPr>
        <w:t>bootstrap</w:t>
      </w:r>
      <w:r>
        <w:t xml:space="preserve"> del 95 % de 0,121 a 0,939). Frente a pecho 0,5x, el intervalo incluyó cero. Al agrupar lentes, la diferencia Gorillapod-pecho no fue significativa en la prueba t corregida (p = 0,113). El límite de dos objetos aumentó precisión y redujo </w:t>
      </w:r>
      <w:r>
        <w:rPr>
          <w:i/>
        </w:rPr>
        <w:t>recall</w:t>
      </w:r>
      <w:r>
        <w:t>; la utilidad de ese intercambio para quien escucha requiere evaluación de audio e interacción.</w:t>
      </w:r>
    </w:p>
    <w:p>
      <w:pPr>
        <w:pStyle w:val="Normal"/>
        <w:widowControl/>
        <w:spacing w:line="360" w:lineRule="auto" w:after="330"/>
        <w:jc w:val="both"/>
      </w:pPr>
      <w:r>
        <w:t xml:space="preserve">La exploración de profundidad sugiere menor </w:t>
      </w:r>
      <w:r>
        <w:rPr>
          <w:i/>
        </w:rPr>
        <w:t>recall</w:t>
      </w:r>
      <w:r>
        <w:t xml:space="preserve">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pPr>
        <w:widowControl/>
        <w:spacing w:line="360" w:lineRule="auto" w:after="330"/>
        <w:jc w:val="both"/>
      </w:pPr>
      <w:r>
        <w:t>Respecto a las fases propuestas, se documentaron la revisión, la selección del modelo y el desarrollo integrado. La evaluación incluye un análisis observacional de oclusión con etiquetas asistidas por IA con revisión parcial del autor; permanecen por evaluar claridad auditiva, iluminación controlada y tiempo completo de respuesta. El análisis adicional de tiempos obtuvo una mediana de 352,4 ms y un P95 de 419,9 ms para decodificación, preprocesamiento y detección en emulador; el brillo digital permitió describir heterogeneidad sin atribuirla a iluminancia física. Estas ampliaciones aprovechan los datos archivados y delimitan qué evidencia debe obtener el siguiente experimento.</w:t>
      </w:r>
    </w:p>
    <w:p>
      <w:bookmarkStart w:id="1079" w:name="report_1079"/>
      <w:pPr>
        <w:pStyle w:val="Ttulo2"/>
      </w:pPr>
      <w:r>
        <w:t xml:space="preserve">5.2 Recomendaciones</w:t>
      </w:r>
      <w:bookmarkEnd w:id="1079"/>
    </w:p>
    <w:p>
      <w:pPr>
        <w:pStyle w:val="Normal"/>
        <w:widowControl/>
        <w:spacing w:line="360" w:lineRule="auto" w:after="330"/>
        <w:jc w:val="both"/>
      </w:pPr>
      <w:r>
        <w:t xml:space="preserve">Se recomienda utilizar conjuntamente conteos, cobertura, precisión, </w:t>
      </w:r>
      <w:r>
        <w:rPr>
          <w:i/>
        </w:rPr>
        <w:t>recall</w:t>
      </w:r>
      <w:r>
        <w:t xml:space="preserve">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80" w:name="report_1080"/>
      <w:pPr>
        <w:pStyle w:val="Ttulo2"/>
      </w:pPr>
      <w:r>
        <w:t xml:space="preserve">5.3 Trabajo futuro</w:t>
      </w:r>
      <w:bookmarkEnd w:id="1080"/>
    </w:p>
    <w:p>
      <w:pPr>
        <w:pStyle w:val="Normal"/>
        <w:widowControl/>
        <w:spacing w:line="360" w:lineRule="auto" w:after="330"/>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pPr>
        <w:widowControl/>
        <w:spacing w:line="360" w:lineRule="auto" w:after="330"/>
        <w:jc w:val="both"/>
      </w:pPr>
      <w:r>
        <w:t>Como aprendizaje metodológico, conservar anotaciones, predicciones, temporizaciones y versiones permitió ampliar el informe sin alterar la ejecución original. El etiquetado posterior de oclusión amplía el análisis observacional, mientras que la iluminación física y la escucha requieren protocolos adicionales. Para próximos proyectos del programa, conviene definir desde el inicio los criterios de aceptación y los instrumentos de medición, separar pruebas técnicas de evaluación con usuarios y reservar un conjunto de escenas independiente para confirmar la configuración seleccionada.</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1" w:name="report_1081"/>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81"/>
    </w:p>
    <w:p>
      <w:pPr>
        <w:pStyle w:val="Normal"/>
        <w:widowControl/>
        <w:spacing w:line="360" w:lineRule="auto" w:after="330"/>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widowControl/>
        <w:spacing w:line="360" w:lineRule="auto" w:after="330"/>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w:t>
      </w:r>
      <w:r>
        <w:rPr>
          <w:i/>
        </w:rPr>
        <w:t>letterbox</w:t>
      </w:r>
      <w:r>
        <w:t xml:space="preserve"> a 640 píxeles y NMS para los modelos YOLO, y redimensionamiento directo para SSD y EfficientDet), calcula mAP50 y mAP50-95 mediante pycocotools, y precisión, </w:t>
      </w:r>
      <w:r>
        <w:rPr>
          <w:i/>
        </w:rPr>
        <w:t>recall</w:t>
      </w:r>
      <w:r>
        <w:t xml:space="preserve"> y F1 mediante un emparejamiento voraz con IoU ≥ 0.5. Genera además visualizaciones de las detecciones por modelo.</w:t>
      </w:r>
    </w:p>
    <w:p>
      <w:pPr>
        <w:pStyle w:val="Normal"/>
        <w:widowControl/>
        <w:spacing w:line="360" w:lineRule="auto" w:after="330"/>
        <w:jc w:val="both"/>
      </w:pPr>
      <w:r>
        <w:t xml:space="preserve">benchmark_models_android.sh: script de shell que ejecuta el binario de </w:t>
      </w:r>
      <w:r>
        <w:rPr>
          <w:i/>
        </w:rPr>
        <w:t>benchmark</w:t>
      </w:r>
      <w:r>
        <w:t xml:space="preserve">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widowControl/>
        <w:spacing w:line="360" w:lineRule="auto" w:after="330"/>
        <w:jc w:val="both"/>
      </w:pPr>
      <w:r>
        <w:t xml:space="preserve">Los resultados completos de ambas ejecuciones se presentan en las Tablas 2.1 a 2.4 del capítulo 2.</w:t>
      </w:r>
    </w:p>
    <w:p>
      <w:pPr>
        <w:widowControl/>
        <w:spacing w:line="360" w:lineRule="auto" w:after="330"/>
        <w:jc w:val="both"/>
      </w:pPr>
      <w:r>
        <w:t xml:space="preserve">Build/Testing conserva labels.json (anotación revisada), </w:t>
      </w:r>
      <w:r>
        <w:rPr>
          <w:i/>
        </w:rPr>
        <w:t>benchmark</w:t>
      </w:r>
      <w:r>
        <w:t xml:space="preserve">/results/android.json (predicciones) y los scripts de métricas, escenas, estadística y profundidad. Los borradores no son etiquetas finales. verify_package.py comprueba el archivo base; Documents/Review registra esta revisión. Los cálculos emplean NumPy </w:t>
      </w:r>
      <w:hyperlink w:anchor="bib_ref_47" w:history="1">
        <w:r>
          <w:t xml:space="preserve">[47]</w:t>
        </w:r>
      </w:hyperlink>
      <w:r>
        <w:t xml:space="preserve">, la evaluación COCO utiliza pycocotools </w:t>
      </w:r>
      <w:hyperlink w:anchor="bib_ref_27" w:history="1">
        <w:r>
          <w:t xml:space="preserve">[27]</w:t>
        </w:r>
      </w:hyperlink>
      <w:r>
        <w:t xml:space="preserve"> y los gráficos se generan con Matplotlib </w:t>
      </w:r>
      <w:hyperlink w:anchor="bib_ref_49" w:history="1">
        <w:r>
          <w:t xml:space="preserve">[49]</w:t>
        </w:r>
      </w:hyperlink>
      <w:r>
        <w:t xml:space="preserve">.</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2" w:name="report_1082"/>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82"/>
    </w:p>
    <w:p>
      <w:pPr>
        <w:pStyle w:val="Normal"/>
        <w:widowControl/>
        <w:spacing w:line="360" w:lineRule="auto" w:after="330"/>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widowControl/>
        <w:spacing w:line="360" w:lineRule="auto" w:after="330"/>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widowControl/>
        <w:spacing w:line="360" w:lineRule="auto" w:after="330"/>
        <w:jc w:val="both"/>
      </w:pPr>
      <w:r>
        <w:t xml:space="preserve">En el evaluador se comprueban correspondencia uno a uno, duplicados, clase incorrecta, imágenes vacías, cajas degeneradas y </w:t>
      </w:r>
      <w:r>
        <w:rPr>
          <w:i/>
        </w:rPr>
        <w:t>bootstrap</w:t>
      </w:r>
      <w:r>
        <w:t>.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widowControl/>
        <w:spacing w:line="360" w:lineRule="auto" w:after="330"/>
        <w:jc w:val="both"/>
      </w:pPr>
      <w:r>
        <w:t xml:space="preserve">Los conteos y predicciones del </w:t>
      </w:r>
      <w:r>
        <w:rPr>
          <w:i/>
        </w:rPr>
        <w:t>benchmark</w:t>
      </w:r>
      <w:r>
        <w:t xml:space="preserve"> permanecen sin cambios. La corrección estadística actualiza p-valores y su interpretación, sin repetir la inferencia ni modificar la verdad de campo.</w:t>
      </w:r>
    </w:p>
    <w:p>
      <w:bookmarkStart w:id="1083" w:name="report_1083"/>
      <w:pPr>
        <w:pStyle w:val="Subttulo"/>
        <w:pageBreakBefore/>
        <w:numPr>
          <w:numId w:val="0"/>
        </w:numPr>
      </w:pPr>
      <w:r>
        <w:t xml:space="preserve">Anexo C: Manuales técnico y de usuario</w:t>
      </w:r>
      <w:bookmarkEnd w:id="1083"/>
    </w:p>
    <w:p>
      <w:pPr>
        <w:pStyle w:val="Normal"/>
        <w:widowControl/>
        <w:spacing w:line="360" w:lineRule="auto" w:after="330"/>
        <w:jc w:val="both"/>
      </w:pPr>
      <w:r>
        <w:t xml:space="preserve">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Build/Testing/LEEME.md documenta la reproducción, los hashes y los límites de cada ejecución. La configuración y los módulos corresponden a la revisión de la app indicada en </w:t>
      </w:r>
      <w:hyperlink w:anchor="bib_ref_34" w:history="1">
        <w:r>
          <w:t xml:space="preserve">[34]</w:t>
        </w:r>
      </w:hyperlink>
      <w:r>
        <w:t xml:space="preserve">.</w:t>
      </w:r>
    </w:p>
    <w:p>
      <w:pPr>
        <w:pStyle w:val="Normal"/>
        <w:widowControl/>
        <w:spacing w:line="360" w:lineRule="auto" w:after="330"/>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84" w:name="report_1084"/>
      <w:pPr>
        <w:pStyle w:val="Ttulosposteriores"/>
        <w:pageBreakBefore/>
        <w:jc w:val="left"/>
      </w:pPr>
      <w:r w:rsidRPr="004F1FF8">
        <w:lastRenderedPageBreak/>
        <w:t>B</w:t>
      </w:r>
      <w:r w:rsidR="007D240C" w:rsidRPr="004F1FF8">
        <w:t>ibliografía</w:t>
      </w:r>
      <w:bookmarkEnd w:id="92"/>
      <w:bookmarkEnd w:id="93"/>
      <w:bookmarkEnd w:id="94"/>
      <w:bookmarkEnd w:id="95"/>
      <w:bookmarkEnd w:id="1084"/>
    </w:p>
    <w:p>
      <w:pPr>
        <w:pStyle w:val="Normal"/>
        <w:spacing w:line="360" w:lineRule="auto"/>
        <w:jc w:val="left"/>
        <w:ind w:left="720" w:hanging="720"/>
        <w:keepLines w:val="1"/>
      </w:pPr>
      <w:bookmarkStart w:id="1085" w:name="bib_ref_1"/>
      <w:r>
        <w:t xml:space="preserve">[1] World Health Organization, World report on vision. Geneva, Switzerland: World Health Organization, 2019. [Online]. Available: </w:t>
      </w:r>
      <w:hyperlink r:id="rIdBib32" w:history="1">
        <w:r>
          <w:t xml:space="preserve">https://www.who.int/publications/i/item/9789241516570</w:t>
        </w:r>
      </w:hyperlink>
      <w:r>
        <w:t xml:space="preserve">.</w:t>
      </w:r>
      <w:bookmarkEnd w:id="1085"/>
    </w:p>
    <w:p>
      <w:pPr>
        <w:pStyle w:val="Normal"/>
        <w:spacing w:line="360" w:lineRule="auto"/>
        <w:jc w:val="left"/>
        <w:ind w:left="720" w:hanging="720"/>
        <w:keepLines w:val="1"/>
      </w:pPr>
      <w:bookmarkStart w:id="1086" w:name="bib_ref_2"/>
      <w:r>
        <w:t xml:space="preserve">[2] S. S. More, N. Patil, V. B. Lobo, N. Shet, D. Goswami, and P. Rane, “Empowering the Visually Impaired: YOLOv8-based Object Detection in Android Applications,” Procedia Computer Science, vol. 252, pp. 457–469, 2025. doi: </w:t>
      </w:r>
      <w:hyperlink r:id="rIdBib33" w:history="1">
        <w:r>
          <w:t xml:space="preserve">10.1016/j.procs.2025.01.005</w:t>
        </w:r>
      </w:hyperlink>
      <w:r>
        <w:t xml:space="preserve">.</w:t>
      </w:r>
      <w:bookmarkEnd w:id="1086"/>
    </w:p>
    <w:p>
      <w:pPr>
        <w:pStyle w:val="Normal"/>
        <w:spacing w:line="360" w:lineRule="auto"/>
        <w:jc w:val="left"/>
        <w:ind w:left="720" w:hanging="720"/>
        <w:keepLines w:val="1"/>
      </w:pPr>
      <w:bookmarkStart w:id="1087" w:name="bib_ref_3"/>
      <w:r>
        <w:t xml:space="preserve">[3] R. Meenakshi, R. Ponnusamy, S. Alghamdi, O. I. Khalaf, and Y. Alotaibi, “Development of Mobile App to Support the Mobility of Visually Impaired People,” Computers, Materials &amp; Continua, vol. 73, no. 2, pp. 3473–3495, 2022. doi: </w:t>
      </w:r>
      <w:hyperlink r:id="rIdBib10" w:history="1">
        <w:r>
          <w:t xml:space="preserve">10.32604/cmc.2022.028540</w:t>
        </w:r>
      </w:hyperlink>
      <w:r>
        <w:t xml:space="preserve">.</w:t>
      </w:r>
      <w:bookmarkEnd w:id="1087"/>
    </w:p>
    <w:p>
      <w:pPr>
        <w:pStyle w:val="Normal"/>
        <w:spacing w:line="360" w:lineRule="auto"/>
        <w:jc w:val="left"/>
        <w:ind w:left="720" w:hanging="720"/>
        <w:keepLines w:val="1"/>
      </w:pPr>
      <w:bookmarkStart w:id="1088" w:name="bib_ref_4"/>
      <w:r>
        <w:t xml:space="preserve">[4] K. Guravaiah, Y. S. Bhavadeesh, P. Shwejan, A. H. Vardhan, and S. Lavanya, “Third Eye: Object Recognition and Speech Generation for Visually Impaired,” Procedia Computer Science, vol. 218, pp. 1144–1155, 2023. doi: </w:t>
      </w:r>
      <w:hyperlink r:id="rIdBib11" w:history="1">
        <w:r>
          <w:t xml:space="preserve">10.1016/j.procs.2023.01.093</w:t>
        </w:r>
      </w:hyperlink>
      <w:r>
        <w:t xml:space="preserve">.</w:t>
      </w:r>
      <w:bookmarkEnd w:id="1088"/>
    </w:p>
    <w:p>
      <w:pPr>
        <w:pStyle w:val="Normal"/>
        <w:spacing w:line="360" w:lineRule="auto"/>
        <w:jc w:val="left"/>
        <w:ind w:left="720" w:hanging="720"/>
        <w:keepLines w:val="1"/>
      </w:pPr>
      <w:bookmarkStart w:id="1089" w:name="bib_ref_5"/>
      <w:r>
        <w:t xml:space="preserve">[5] TensorFlow, “TensorFlow Lite,” TensorFlow. [Online]. Available: </w:t>
      </w:r>
      <w:hyperlink r:id="rIdBib3" w:history="1">
        <w:r>
          <w:t xml:space="preserve">https://www.tensorflow.org/lite/guide</w:t>
        </w:r>
      </w:hyperlink>
      <w:r>
        <w:t xml:space="preserve">.</w:t>
      </w:r>
      <w:bookmarkEnd w:id="1089"/>
    </w:p>
    <w:p>
      <w:pPr>
        <w:pStyle w:val="Normal"/>
        <w:spacing w:line="360" w:lineRule="auto"/>
        <w:jc w:val="left"/>
        <w:ind w:left="720" w:hanging="720"/>
        <w:keepLines w:val="1"/>
      </w:pPr>
      <w:bookmarkStart w:id="1090" w:name="bib_ref_6"/>
      <w:r>
        <w:t xml:space="preserve">[6] S. Ren, K. He, R. Girshick, and J. Sun, “Faster R-CNN: Towards Real-Time Object Detection with Region Proposal Networks,” </w:t>
      </w:r>
      <w:hyperlink r:id="rIdBib4" w:history="1">
        <w:r>
          <w:t xml:space="preserve">arXiv:1506.01497</w:t>
        </w:r>
      </w:hyperlink>
      <w:r>
        <w:t xml:space="preserve">, 2015. doi: </w:t>
      </w:r>
      <w:hyperlink r:id="rIdBib5" w:history="1">
        <w:r>
          <w:t xml:space="preserve">10.48550/arXiv.1506.01497</w:t>
        </w:r>
      </w:hyperlink>
      <w:r>
        <w:t xml:space="preserve">.</w:t>
      </w:r>
      <w:bookmarkEnd w:id="1090"/>
    </w:p>
    <w:p>
      <w:pPr>
        <w:pStyle w:val="Normal"/>
        <w:spacing w:line="360" w:lineRule="auto"/>
        <w:jc w:val="left"/>
        <w:ind w:left="720" w:hanging="720"/>
        <w:keepLines w:val="1"/>
      </w:pPr>
      <w:bookmarkStart w:id="1091" w:name="bib_ref_7"/>
      <w:r>
        <w:t xml:space="preserve">[7] J. Redmon, S. Divvala, R. Girshick, and A. Farhadi, “You Only Look Once: Unified, Real-Time Object Detection,” in 2016 IEEE Conference on Computer Vision and Pattern Recognition (CVPR), Jun. 2016, pp. 779–788. doi: </w:t>
      </w:r>
      <w:hyperlink r:id="rIdBib6" w:history="1">
        <w:r>
          <w:t xml:space="preserve">10.1109/CVPR.2016.91</w:t>
        </w:r>
      </w:hyperlink>
      <w:r>
        <w:t xml:space="preserve">.</w:t>
      </w:r>
      <w:bookmarkEnd w:id="1091"/>
    </w:p>
    <w:p>
      <w:pPr>
        <w:pStyle w:val="Normal"/>
        <w:spacing w:line="360" w:lineRule="auto"/>
        <w:jc w:val="left"/>
        <w:ind w:left="720" w:hanging="720"/>
        <w:keepLines w:val="1"/>
      </w:pPr>
      <w:bookmarkStart w:id="1092" w:name="bib_ref_8"/>
      <w:r>
        <w:t xml:space="preserve">[8] W. Liu et al., “SSD: Single Shot MultiBox Detector,” in Computer Vision – ECCV 2016, Cham: Springer International Publishing, 2016, pp. 21–37. doi: </w:t>
      </w:r>
      <w:hyperlink r:id="rIdBib7" w:history="1">
        <w:r>
          <w:t xml:space="preserve">10.1007/978-3-319-46448-0_2</w:t>
        </w:r>
      </w:hyperlink>
      <w:r>
        <w:t xml:space="preserve">.</w:t>
      </w:r>
      <w:bookmarkEnd w:id="1092"/>
    </w:p>
    <w:p>
      <w:pPr>
        <w:pStyle w:val="Normal"/>
        <w:spacing w:line="360" w:lineRule="auto"/>
        <w:jc w:val="left"/>
        <w:ind w:left="720" w:hanging="720"/>
        <w:keepLines w:val="1"/>
      </w:pPr>
      <w:bookmarkStart w:id="1093" w:name="bib_ref_9"/>
      <w:r>
        <w:t xml:space="preserve">[9] M. Tan, R. Pang, and Q. V. Le, “EfficientDet: Scalable and Efficient Object Detection,” in 2020 IEEE/CVF Conference on Computer Vision and Pattern Recognition (CVPR), Jun. 2020, pp. 10781–10790. doi: </w:t>
      </w:r>
      <w:hyperlink r:id="rIdBib8" w:history="1">
        <w:r>
          <w:t xml:space="preserve">10.1109/CVPR42600.2020.01079</w:t>
        </w:r>
      </w:hyperlink>
      <w:r>
        <w:t xml:space="preserve">.</w:t>
      </w:r>
      <w:bookmarkEnd w:id="1093"/>
    </w:p>
    <w:p>
      <w:pPr>
        <w:jc w:val="left"/>
        <w:keepLines w:val="1"/>
      </w:pPr>
      <w:bookmarkStart w:id="1094" w:name="bib_ref_10"/>
      <w:r>
        <w:t>[10] D. F. Cerda Leon, “Sistema de identificación y localización espacial de objetos basado en visión por computador para asistencia a personas con discapacidad visual,” Propuesta de pasantía en investigación, Universidad del Magdalena, documento del proyecto. Disponible en Documents/Propuesta Pasantia de Investigación - Diomedes Cerda.pdf.</w:t>
      </w:r>
      <w:bookmarkEnd w:id="1094"/>
    </w:p>
    <w:p>
      <w:pPr>
        <w:pStyle w:val="Normal"/>
        <w:spacing w:line="360" w:lineRule="auto"/>
        <w:jc w:val="left"/>
        <w:ind w:left="720" w:hanging="720"/>
        <w:keepLines w:val="1"/>
      </w:pPr>
      <w:bookmarkStart w:id="1095" w:name="bib_ref_11"/>
      <w:r>
        <w:t>[11] Universidad del Magdalena, “Plan de Desarrollo UNIMAGDALENA Comprometida 2020–2030,” Santa Marta, Colombia, 2020.</w:t>
      </w:r>
      <w:bookmarkEnd w:id="1095"/>
    </w:p>
    <w:p>
      <w:pPr>
        <w:pStyle w:val="Normal"/>
        <w:spacing w:line="360" w:lineRule="auto"/>
        <w:jc w:val="left"/>
        <w:ind w:left="720" w:hanging="720"/>
        <w:keepLines w:val="1"/>
      </w:pPr>
      <w:bookmarkStart w:id="1096" w:name="bib_ref_12"/>
      <w:r>
        <w:t>[12] Universidad del Magdalena, “Plan de Gobierno Rectoral 2024–2028,” Santa Marta, Colombia, 2024.</w:t>
      </w:r>
      <w:bookmarkEnd w:id="1096"/>
    </w:p>
    <w:p>
      <w:pPr>
        <w:pStyle w:val="Normal"/>
        <w:spacing w:line="360" w:lineRule="auto"/>
        <w:jc w:val="left"/>
        <w:ind w:left="720" w:hanging="720"/>
        <w:keepLines w:val="1"/>
      </w:pPr>
      <w:bookmarkStart w:id="1097" w:name="bib_ref_13"/>
      <w:r>
        <w:t xml:space="preserve">[13] D. R. Pawar, “Deep Learning-Driven Assistive Technology for Blind Users: Real-Time Object Detection and Speech Feedback on Android,” preprint, may. 2025. doi: </w:t>
      </w:r>
      <w:hyperlink r:id="rIdBib34" w:history="1">
        <w:r>
          <w:t xml:space="preserve">10.13140/RG.2.2.28125.12005</w:t>
        </w:r>
      </w:hyperlink>
      <w:r>
        <w:t xml:space="preserve">.</w:t>
      </w:r>
      <w:bookmarkEnd w:id="1097"/>
    </w:p>
    <w:p>
      <w:pPr>
        <w:pStyle w:val="Normal"/>
        <w:spacing w:line="360" w:lineRule="auto"/>
        <w:jc w:val="left"/>
        <w:ind w:left="720" w:hanging="720"/>
        <w:keepLines w:val="1"/>
      </w:pPr>
      <w:bookmarkStart w:id="1098" w:name="bib_ref_14"/>
      <w:r>
        <w:t xml:space="preserve">[14] J. Figura, R. Kuźmiczuk, and M. Badurowicz, “Analysis of object recognition systems using augmented reality glasses,” Journal of Computer Sciences Institute, vol. 34, pp. 8–13, 2025. doi: </w:t>
      </w:r>
      <w:hyperlink r:id="rIdBib35" w:history="1">
        <w:r>
          <w:t xml:space="preserve">10.35784/jcsi.6469</w:t>
        </w:r>
      </w:hyperlink>
      <w:r>
        <w:t xml:space="preserve">.</w:t>
      </w:r>
      <w:bookmarkEnd w:id="1098"/>
    </w:p>
    <w:p>
      <w:pPr>
        <w:pStyle w:val="Normal"/>
        <w:spacing w:line="360" w:lineRule="auto"/>
        <w:jc w:val="left"/>
        <w:ind w:left="720" w:hanging="720"/>
        <w:keepLines w:val="1"/>
      </w:pPr>
      <w:bookmarkStart w:id="1099" w:name="bib_ref_15"/>
      <w:r>
        <w:t xml:space="preserve">[15] A. G. Howard, M. Zhu, B. Chen, D. Kalenichenko, W. Wang, T. Weyand, M. Andreetto, and H. Adam, “MobileNets: Efficient Convolutional Neural Networks for Mobile Vision Applications,” </w:t>
      </w:r>
      <w:hyperlink r:id="rIdBib13" w:history="1">
        <w:r>
          <w:t xml:space="preserve">arXiv:1704.04861</w:t>
        </w:r>
      </w:hyperlink>
      <w:r>
        <w:t xml:space="preserve">, 2017.</w:t>
      </w:r>
      <w:bookmarkEnd w:id="1099"/>
    </w:p>
    <w:p>
      <w:pPr>
        <w:pStyle w:val="Normal"/>
        <w:spacing w:line="360" w:lineRule="auto"/>
        <w:jc w:val="left"/>
        <w:ind w:left="720" w:hanging="720"/>
        <w:keepLines w:val="1"/>
      </w:pPr>
      <w:bookmarkStart w:id="1100" w:name="bib_ref_16"/>
      <w:r>
        <w:t xml:space="preserve">[16] M. Sandler, A. Howard, M. Zhu, A. Zhmoginov, and L.-C. Chen, “MobileNetV2: Inverted Residuals and Linear Bottlenecks,” in 2018 IEEE/CVF Conference on Computer Vision and Pattern Recognition (CVPR), Jun. 2018, pp. 4510–4520. doi: </w:t>
      </w:r>
      <w:hyperlink r:id="rIdBib14" w:history="1">
        <w:r>
          <w:t xml:space="preserve">10.1109/CVPR.2018.00474</w:t>
        </w:r>
      </w:hyperlink>
      <w:r>
        <w:t xml:space="preserve">.</w:t>
      </w:r>
      <w:bookmarkEnd w:id="1100"/>
    </w:p>
    <w:p>
      <w:pPr>
        <w:pStyle w:val="Normal"/>
        <w:spacing w:line="360" w:lineRule="auto"/>
        <w:jc w:val="left"/>
        <w:ind w:left="720" w:hanging="720"/>
        <w:keepLines w:val="1"/>
      </w:pPr>
      <w:bookmarkStart w:id="1101" w:name="bib_ref_17"/>
      <w:r>
        <w:t xml:space="preserve">[17] J. Dai, “Real-time and accurate object detection on edge device with TensorFlow Lite,” Journal of Physics: Conference Series, vol. 1651, no. 1, Art. no. 012114, 2020. doi: </w:t>
      </w:r>
      <w:hyperlink r:id="rIdBib15" w:history="1">
        <w:r>
          <w:t xml:space="preserve">10.1088/1742-6596/1651/1/012114</w:t>
        </w:r>
      </w:hyperlink>
      <w:r>
        <w:t xml:space="preserve">.</w:t>
      </w:r>
      <w:bookmarkEnd w:id="1101"/>
    </w:p>
    <w:p>
      <w:pPr>
        <w:pStyle w:val="Normal"/>
        <w:spacing w:line="360" w:lineRule="auto"/>
        <w:jc w:val="left"/>
        <w:ind w:left="720" w:hanging="720"/>
        <w:keepLines w:val="1"/>
      </w:pPr>
      <w:bookmarkStart w:id="1102" w:name="bib_ref_18"/>
      <w:r>
        <w:t xml:space="preserve">[18] A. Magdy, M. S. Moustafa, H. M. Ebied, and M. F. Tolba, “Lightweight faster R-CNN for object detection in optical remote sensing images,” Scientific Reports, vol. 15, Art. no. 16163, 2025. doi: </w:t>
      </w:r>
      <w:hyperlink r:id="rIdBib16" w:history="1">
        <w:r>
          <w:t xml:space="preserve">10.1038/s41598-025-99242-y</w:t>
        </w:r>
      </w:hyperlink>
      <w:r>
        <w:t xml:space="preserve">.</w:t>
      </w:r>
      <w:bookmarkEnd w:id="1102"/>
    </w:p>
    <w:p>
      <w:pPr>
        <w:pStyle w:val="Normal"/>
        <w:spacing w:line="360" w:lineRule="auto"/>
        <w:jc w:val="left"/>
        <w:ind w:left="720" w:hanging="720"/>
        <w:keepLines w:val="1"/>
      </w:pPr>
      <w:bookmarkStart w:id="1103" w:name="bib_ref_19"/>
      <w:r>
        <w:t xml:space="preserve">[19] Google, “Object Detection with TensorFlow Lite Model Maker,” Google AI Edge. [Online]. Available: </w:t>
      </w:r>
      <w:hyperlink r:id="rIdBib36" w:history="1">
        <w:r>
          <w:t xml:space="preserve">https://developers.google.com/edge/litert/libraries/modify/object_detection</w:t>
        </w:r>
      </w:hyperlink>
      <w:r>
        <w:t xml:space="preserve">. Consultado: 20 oct. 2026.</w:t>
      </w:r>
      <w:bookmarkEnd w:id="1103"/>
    </w:p>
    <w:p>
      <w:pPr>
        <w:pStyle w:val="Normal"/>
        <w:spacing w:line="360" w:lineRule="auto"/>
        <w:jc w:val="left"/>
        <w:ind w:left="720" w:hanging="720"/>
        <w:keepLines w:val="1"/>
      </w:pPr>
      <w:bookmarkStart w:id="1104" w:name="bib_ref_20"/>
      <w:r>
        <w:t xml:space="preserve">[20] Ultralytics, “Explore Ultralytics YOLOv8,” Ultralytics documentation. [Online]. Available: </w:t>
      </w:r>
      <w:hyperlink r:id="rIdBib37" w:history="1">
        <w:r>
          <w:t xml:space="preserve">https://docs.ultralytics.com/models/yolov8/</w:t>
        </w:r>
      </w:hyperlink>
      <w:r>
        <w:t xml:space="preserve">. Consultado: 20 oct. 2026.</w:t>
      </w:r>
      <w:bookmarkEnd w:id="1104"/>
    </w:p>
    <w:p>
      <w:pPr>
        <w:pStyle w:val="Normal"/>
        <w:spacing w:line="360" w:lineRule="auto"/>
        <w:jc w:val="left"/>
        <w:ind w:left="720" w:hanging="720"/>
        <w:keepLines w:val="1"/>
      </w:pPr>
      <w:bookmarkStart w:id="1105" w:name="bib_ref_21"/>
      <w:r>
        <w:t xml:space="preserve">[21] Ultralytics, “Ultralytics YOLO11,” Ultralytics documentation. [Online]. Available: </w:t>
      </w:r>
      <w:hyperlink r:id="rIdBib38" w:history="1">
        <w:r>
          <w:t xml:space="preserve">https://docs.ultralytics.com/models/yolo11/</w:t>
        </w:r>
      </w:hyperlink>
      <w:r>
        <w:t xml:space="preserve">. Consultado: 20 oct. 2026.</w:t>
      </w:r>
      <w:bookmarkEnd w:id="1105"/>
    </w:p>
    <w:p>
      <w:pPr>
        <w:pStyle w:val="Normal"/>
        <w:spacing w:line="360" w:lineRule="auto"/>
        <w:jc w:val="left"/>
        <w:ind w:left="720" w:hanging="720"/>
        <w:keepLines w:val="1"/>
      </w:pPr>
      <w:bookmarkStart w:id="1106" w:name="bib_ref_22"/>
      <w:r>
        <w:t xml:space="preserve">[22] T.-Y. Lin et al., “Microsoft COCO: Common Objects in Context,” in Computer Vision – ECCV 2014, Cham: Springer International Publishing, 2014, pp. 740–755. doi: </w:t>
      </w:r>
      <w:hyperlink r:id="rIdBib12" w:history="1">
        <w:r>
          <w:t xml:space="preserve">10.1007/978-3-319-10602-1_48</w:t>
        </w:r>
      </w:hyperlink>
      <w:r>
        <w:t xml:space="preserve">.</w:t>
      </w:r>
      <w:bookmarkEnd w:id="1106"/>
    </w:p>
    <w:p>
      <w:pPr>
        <w:pStyle w:val="Normal"/>
        <w:spacing w:line="360" w:lineRule="auto"/>
        <w:jc w:val="left"/>
        <w:ind w:left="720" w:hanging="720"/>
        <w:keepLines w:val="1"/>
      </w:pPr>
      <w:bookmarkStart w:id="1107" w:name="bib_ref_23"/>
      <w:r>
        <w:t xml:space="preserve">[23] A. Kuznetsova et al., “The Open Images Dataset V4: Unified image classification, object detection, and visual relationship detection at scale,” International Journal of Computer Vision, vol. 128, pp. 1956–1981, 2020. doi: </w:t>
      </w:r>
      <w:hyperlink r:id="rIdBib17" w:history="1">
        <w:r>
          <w:t xml:space="preserve">10.1007/s11263-020-01316-z</w:t>
        </w:r>
      </w:hyperlink>
      <w:r>
        <w:t xml:space="preserve">.</w:t>
      </w:r>
      <w:bookmarkEnd w:id="1107"/>
    </w:p>
    <w:p>
      <w:pPr>
        <w:pStyle w:val="Normal"/>
        <w:spacing w:line="360" w:lineRule="auto"/>
        <w:jc w:val="left"/>
        <w:ind w:left="720" w:hanging="720"/>
        <w:keepLines w:val="1"/>
      </w:pPr>
      <w:bookmarkStart w:id="1108" w:name="bib_ref_24"/>
      <w:r>
        <w:t xml:space="preserve">[24] “ONNX Runtime,” ONNX Runtime. [Online]. Available: </w:t>
      </w:r>
      <w:hyperlink r:id="rIdBib18" w:history="1">
        <w:r>
          <w:t xml:space="preserve">https://onnxruntime.ai/docs/</w:t>
        </w:r>
      </w:hyperlink>
      <w:r>
        <w:t xml:space="preserve">.</w:t>
      </w:r>
      <w:bookmarkEnd w:id="1108"/>
    </w:p>
    <w:p>
      <w:pPr>
        <w:pStyle w:val="Normal"/>
        <w:spacing w:line="360" w:lineRule="auto"/>
        <w:jc w:val="left"/>
        <w:ind w:left="720" w:hanging="720"/>
        <w:keepLines w:val="1"/>
      </w:pPr>
      <w:bookmarkStart w:id="1109" w:name="bib_ref_25"/>
      <w:r>
        <w:t xml:space="preserve">[25] “ExecuTorch Documentation,” PyTorch. [Online]. Available: </w:t>
      </w:r>
      <w:hyperlink r:id="rIdBib19" w:history="1">
        <w:r>
          <w:t xml:space="preserve">https://pytorch.org/executorch/stable/</w:t>
        </w:r>
      </w:hyperlink>
      <w:r>
        <w:t xml:space="preserve">.</w:t>
      </w:r>
      <w:bookmarkEnd w:id="1109"/>
    </w:p>
    <w:p>
      <w:pPr>
        <w:pStyle w:val="Normal"/>
        <w:spacing w:line="360" w:lineRule="auto"/>
        <w:jc w:val="left"/>
        <w:ind w:left="720" w:hanging="720"/>
        <w:keepLines w:val="1"/>
      </w:pPr>
      <w:bookmarkStart w:id="1110" w:name="bib_ref_26"/>
      <w:r>
        <w:t xml:space="preserve">[26] N. Carion, F. Massa, G. Synnaeve, N. Usunier, A. Kirillov, and S. Zagoruyko, “End-to-End Object Detection with Transformers,” in Computer Vision – ECCV 2020, Cham: Springer International Publishing, 2020, pp. 213–229. doi: </w:t>
      </w:r>
      <w:hyperlink r:id="rIdBib20" w:history="1">
        <w:r>
          <w:t xml:space="preserve">10.1007/978-3-030-58452-8_13</w:t>
        </w:r>
      </w:hyperlink>
      <w:r>
        <w:t xml:space="preserve">.</w:t>
      </w:r>
      <w:bookmarkEnd w:id="1110"/>
    </w:p>
    <w:p>
      <w:pPr>
        <w:pStyle w:val="Normal"/>
        <w:spacing w:line="360" w:lineRule="auto"/>
        <w:jc w:val="left"/>
        <w:ind w:left="720" w:hanging="720"/>
        <w:keepLines w:val="1"/>
      </w:pPr>
      <w:bookmarkStart w:id="1111" w:name="bib_ref_27"/>
      <w:r>
        <w:t xml:space="preserve">[27] COCO dataset contributors, “COCO API: PythonAPI/pycocotools/cocoeval.py,” repositorio de software. [Online]. Available: </w:t>
      </w:r>
      <w:hyperlink r:id="rIdBib39" w:history="1">
        <w:r>
          <w:t xml:space="preserve">https://github.com/cocodataset/cocoapi/blob/master/PythonAPI/pycocotools/cocoeval.py</w:t>
        </w:r>
      </w:hyperlink>
      <w:r>
        <w:t xml:space="preserve">. Consultado: 20 oct. 2026.</w:t>
      </w:r>
      <w:bookmarkEnd w:id="1111"/>
    </w:p>
    <w:p>
      <w:pPr>
        <w:pStyle w:val="Normal"/>
        <w:spacing w:line="360" w:lineRule="auto"/>
        <w:jc w:val="left"/>
        <w:ind w:left="720" w:hanging="720"/>
        <w:keepLines w:val="1"/>
      </w:pPr>
      <w:bookmarkStart w:id="1112" w:name="bib_ref_28"/>
      <w:r>
        <w:t xml:space="preserve">[28] C. D. Manning, P. Raghavan, and H. Schütze, Introduction to Information Retrieval. Cambridge University Press, 2008, sec. 8.3. [Online]. Available: </w:t>
      </w:r>
      <w:hyperlink r:id="rIdBib40" w:history="1">
        <w:r>
          <w:t xml:space="preserve">https://nlp.stanford.edu/IR-book/html/htmledition/evaluation-of-unranked-retrieval-sets-1.html</w:t>
        </w:r>
      </w:hyperlink>
      <w:r>
        <w:t xml:space="preserve">.</w:t>
      </w:r>
      <w:bookmarkEnd w:id="1112"/>
    </w:p>
    <w:p>
      <w:pPr>
        <w:pStyle w:val="Normal"/>
        <w:spacing w:line="360" w:lineRule="auto"/>
        <w:jc w:val="left"/>
        <w:ind w:left="720" w:hanging="720"/>
        <w:keepLines w:val="1"/>
      </w:pPr>
      <w:bookmarkStart w:id="1113" w:name="bib_ref_29"/>
      <w:r>
        <w:t xml:space="preserve">[29] TensorFlow contributors, “Performance measurement,” TensorFlow Lite documentation, archivo performance/measurement.md. [Online]. Available: </w:t>
      </w:r>
      <w:hyperlink r:id="rIdBib41" w:history="1">
        <w:r>
          <w:t xml:space="preserve">https://github.com/tensorflow/tensorflow/blob/master/tensorflow/lite/g3doc/performance/measurement.md</w:t>
        </w:r>
      </w:hyperlink>
      <w:r>
        <w:t xml:space="preserve">. Consultado: 20 oct. 2026.</w:t>
      </w:r>
      <w:bookmarkEnd w:id="1113"/>
    </w:p>
    <w:p>
      <w:pPr>
        <w:pStyle w:val="Normal"/>
        <w:spacing w:line="360" w:lineRule="auto"/>
        <w:jc w:val="left"/>
        <w:ind w:left="720" w:hanging="720"/>
        <w:keepLines w:val="1"/>
      </w:pPr>
      <w:bookmarkStart w:id="1114" w:name="bib_ref_30"/>
      <w:r>
        <w:t xml:space="preserve">[30] Android Developers, “Android Debug Bridge (adb),” Android Studio. [Online]. Available: </w:t>
      </w:r>
      <w:hyperlink r:id="rIdBib22" w:history="1">
        <w:r>
          <w:t xml:space="preserve">https://developer.android.com/tools/adb</w:t>
        </w:r>
      </w:hyperlink>
      <w:r>
        <w:t xml:space="preserve">.</w:t>
      </w:r>
      <w:bookmarkEnd w:id="1114"/>
    </w:p>
    <w:p>
      <w:pPr>
        <w:pStyle w:val="Normal"/>
        <w:spacing w:line="360" w:lineRule="auto"/>
        <w:jc w:val="left"/>
        <w:ind w:left="720" w:hanging="720"/>
        <w:keepLines w:val="1"/>
      </w:pPr>
      <w:bookmarkStart w:id="1115" w:name="bib_ref_31"/>
      <w:r>
        <w:t xml:space="preserve">[31] Google, “GPU acceleration delegate with Interpreter API,” Google AI Edge. [Online]. Available: </w:t>
      </w:r>
      <w:hyperlink r:id="rIdBib23" w:history="1">
        <w:r>
          <w:t xml:space="preserve">https://developers.google.com/edge/litert/android/gpu</w:t>
        </w:r>
      </w:hyperlink>
      <w:r>
        <w:t xml:space="preserve">.</w:t>
      </w:r>
      <w:bookmarkEnd w:id="1115"/>
    </w:p>
    <w:p>
      <w:pPr>
        <w:pStyle w:val="Normal"/>
        <w:spacing w:line="360" w:lineRule="auto"/>
        <w:jc w:val="left"/>
        <w:ind w:left="720" w:hanging="720"/>
        <w:keepLines w:val="1"/>
      </w:pPr>
      <w:bookmarkStart w:id="1116" w:name="bib_ref_32"/>
      <w:r>
        <w:t xml:space="preserve">[32] Khronos Group, “OpenCL – The Open Standard for Parallel Programming of Heterogeneous Systems.” [Online]. Available: </w:t>
      </w:r>
      <w:hyperlink r:id="rIdBib25" w:history="1">
        <w:r>
          <w:t xml:space="preserve">https://www.khronos.org/opencl/</w:t>
        </w:r>
      </w:hyperlink>
      <w:r>
        <w:t xml:space="preserve">.</w:t>
      </w:r>
      <w:bookmarkEnd w:id="1116"/>
    </w:p>
    <w:p>
      <w:pPr>
        <w:pStyle w:val="Normal"/>
        <w:spacing w:line="360" w:lineRule="auto"/>
        <w:jc w:val="left"/>
        <w:ind w:left="720" w:hanging="720"/>
        <w:keepLines w:val="1"/>
      </w:pPr>
      <w:bookmarkStart w:id="1117" w:name="bib_ref_33"/>
      <w:r>
        <w:t xml:space="preserve">[33] Roboflow, “Roboflow: Computer vision tools for developers and enterprises.” [Online]. Available: </w:t>
      </w:r>
      <w:hyperlink r:id="rIdBib24" w:history="1">
        <w:r>
          <w:t xml:space="preserve">https://roboflow.com/</w:t>
        </w:r>
      </w:hyperlink>
      <w:r>
        <w:t xml:space="preserve">.</w:t>
      </w:r>
      <w:bookmarkEnd w:id="1117"/>
    </w:p>
    <w:p>
      <w:pPr>
        <w:jc w:val="left"/>
        <w:keepLines w:val="1"/>
      </w:pPr>
      <w:bookmarkStart w:id="1118" w:name="bib_ref_34"/>
      <w:r>
        <w:t xml:space="preserve">[34] D. Cerda, “AssistiveVision,” código fuente, revisión 85c852ddcb543bce1bd69ad0db307f895d597881. [Online]. Available: </w:t>
      </w:r>
      <w:hyperlink r:id="rIdBib30" w:history="1">
        <w:r>
          <w:t xml:space="preserve">https://github.com/diomedescerda/AssistiveVision</w:t>
        </w:r>
      </w:hyperlink>
      <w:r>
        <w:t xml:space="preserve">.</w:t>
      </w:r>
      <w:bookmarkEnd w:id="1118"/>
    </w:p>
    <w:p>
      <w:pPr>
        <w:pStyle w:val="Normal"/>
        <w:spacing w:line="360" w:lineRule="auto"/>
        <w:jc w:val="left"/>
        <w:ind w:left="720" w:hanging="720"/>
        <w:keepLines w:val="1"/>
      </w:pPr>
      <w:bookmarkStart w:id="1119" w:name="bib_ref_35"/>
      <w:r>
        <w:t xml:space="preserve">[35] Google, “CameraX,” Android Developers. [Online]. Available: </w:t>
      </w:r>
      <w:hyperlink r:id="rIdBib26" w:history="1">
        <w:r>
          <w:t xml:space="preserve">https://developer.android.com/media/camera/camerax</w:t>
        </w:r>
      </w:hyperlink>
      <w:r>
        <w:t xml:space="preserve">.</w:t>
      </w:r>
      <w:bookmarkEnd w:id="1119"/>
    </w:p>
    <w:p>
      <w:pPr>
        <w:jc w:val="left"/>
        <w:keepLines w:val="1"/>
      </w:pPr>
      <w:bookmarkStart w:id="1120" w:name="bib_ref_36"/>
      <w:r>
        <w:t xml:space="preserve">[36] Google, “LiteRT for Android,” Google AI Edge. [Online]. Available: </w:t>
      </w:r>
      <w:hyperlink r:id="rIdBib29" w:history="1">
        <w:r>
          <w:t xml:space="preserve">https://developers.google.com/edge/litert/android</w:t>
        </w:r>
      </w:hyperlink>
      <w:r>
        <w:t xml:space="preserve">. Consultado: 14 oct. 2026.</w:t>
      </w:r>
      <w:bookmarkEnd w:id="1120"/>
    </w:p>
    <w:p>
      <w:pPr>
        <w:jc w:val="left"/>
        <w:keepLines w:val="1"/>
      </w:pPr>
      <w:bookmarkStart w:id="1121" w:name="bib_ref_37"/>
      <w:r>
        <w:t xml:space="preserve">[37] k2-fsa, “Text-to-speech,” sherpa-onnx documentation. [Online]. Available: </w:t>
      </w:r>
      <w:hyperlink r:id="rIdBib28" w:history="1">
        <w:r>
          <w:t xml:space="preserve">https://k2-fsa.github.io/sherpa/onnx/tts/index.html</w:t>
        </w:r>
      </w:hyperlink>
      <w:r>
        <w:t xml:space="preserve">. Consultado: 14 oct. 2026.</w:t>
      </w:r>
      <w:bookmarkEnd w:id="1121"/>
    </w:p>
    <w:p>
      <w:pPr>
        <w:pStyle w:val="Normal"/>
        <w:spacing w:line="360" w:lineRule="auto"/>
        <w:jc w:val="left"/>
        <w:ind w:left="720" w:hanging="720"/>
        <w:keepLines w:val="1"/>
      </w:pPr>
      <w:bookmarkStart w:id="1122" w:name="bib_ref_38"/>
      <w:r>
        <w:t xml:space="preserve">[38] J. Kim, J. Kong, and J. Son, “Conditional Variational Autoencoder with Adversarial Learning for End-to-End Text-to-Speech,” </w:t>
      </w:r>
      <w:hyperlink r:id="rIdBib42" w:history="1">
        <w:r>
          <w:t xml:space="preserve">arXiv:2106.06103</w:t>
        </w:r>
      </w:hyperlink>
      <w:r>
        <w:t xml:space="preserve">, 2021. doi: </w:t>
      </w:r>
      <w:hyperlink r:id="rIdBib43" w:history="1">
        <w:r>
          <w:t xml:space="preserve">10.48550/arXiv.2106.06103</w:t>
        </w:r>
      </w:hyperlink>
      <w:r>
        <w:t xml:space="preserve">.</w:t>
      </w:r>
      <w:bookmarkEnd w:id="1122"/>
    </w:p>
    <w:p>
      <w:pPr>
        <w:pStyle w:val="Normal"/>
        <w:spacing w:line="360" w:lineRule="auto"/>
        <w:jc w:val="left"/>
        <w:ind w:left="720" w:hanging="720"/>
        <w:keepLines w:val="1"/>
      </w:pPr>
      <w:bookmarkStart w:id="1123" w:name="bib_ref_39"/>
      <w:r>
        <w:t xml:space="preserve">[39] Rhasspy contributors, “Piper: A fast, local neural text to speech system,” repositorio de software. [Online]. Available: </w:t>
      </w:r>
      <w:hyperlink r:id="rIdBib44" w:history="1">
        <w:r>
          <w:t xml:space="preserve">https://github.com/rhasspy/piper</w:t>
        </w:r>
      </w:hyperlink>
      <w:r>
        <w:t xml:space="preserve">. Consultado: 20 oct. 2026.</w:t>
      </w:r>
      <w:bookmarkEnd w:id="1123"/>
    </w:p>
    <w:p>
      <w:pPr>
        <w:pStyle w:val="Normal"/>
        <w:spacing w:line="360" w:lineRule="auto"/>
        <w:jc w:val="left"/>
        <w:ind w:left="720" w:hanging="720"/>
        <w:keepLines w:val="1"/>
      </w:pPr>
      <w:bookmarkStart w:id="1124" w:name="bib_ref_40"/>
      <w:r>
        <w:t xml:space="preserve">[40] Google, “AudioTrack,” Android Developers. [Online]. Available: </w:t>
      </w:r>
      <w:hyperlink r:id="rIdBib45" w:history="1">
        <w:r>
          <w:t xml:space="preserve">https://developer.android.com/reference/android/media/AudioTrack</w:t>
        </w:r>
      </w:hyperlink>
      <w:r>
        <w:t xml:space="preserve">. Consultado: 20 oct. 2026.</w:t>
      </w:r>
      <w:bookmarkEnd w:id="1124"/>
    </w:p>
    <w:p>
      <w:pPr>
        <w:pStyle w:val="Normal"/>
        <w:spacing w:line="360" w:lineRule="auto"/>
        <w:jc w:val="left"/>
        <w:ind w:left="720" w:hanging="720"/>
        <w:keepLines w:val="1"/>
      </w:pPr>
      <w:bookmarkStart w:id="1125" w:name="bib_ref_41"/>
      <w:r>
        <w:t xml:space="preserve">[41] Google, “DataStore,” Android Developers. [Online]. Available: </w:t>
      </w:r>
      <w:hyperlink r:id="rIdBib46" w:history="1">
        <w:r>
          <w:t xml:space="preserve">https://developer.android.com/topic/libraries/architecture/datastore</w:t>
        </w:r>
      </w:hyperlink>
      <w:r>
        <w:t xml:space="preserve">. Consultado: 20 oct. 2026.</w:t>
      </w:r>
      <w:bookmarkEnd w:id="1125"/>
    </w:p>
    <w:p>
      <w:pPr>
        <w:pStyle w:val="Normal"/>
        <w:spacing w:line="360" w:lineRule="auto"/>
        <w:jc w:val="left"/>
        <w:ind w:left="720" w:hanging="720"/>
        <w:keepLines w:val="1"/>
      </w:pPr>
      <w:bookmarkStart w:id="1126" w:name="bib_ref_42"/>
      <w:r>
        <w:t xml:space="preserve">[42] NIST/SEMATECH, “Analysis of paired observations,” e-Handbook of Statistical Methods, sec. 7.3.1.1. [Online]. Available: </w:t>
      </w:r>
      <w:hyperlink r:id="rIdBib47" w:history="1">
        <w:r>
          <w:t xml:space="preserve">https://www.itl.nist.gov/div898/handbook/prc/section3/prc311.htm</w:t>
        </w:r>
      </w:hyperlink>
      <w:r>
        <w:t xml:space="preserve">. Consultado: 20 oct. 2026.</w:t>
      </w:r>
      <w:bookmarkEnd w:id="1126"/>
    </w:p>
    <w:p>
      <w:pPr>
        <w:pStyle w:val="Normal"/>
        <w:spacing w:line="360" w:lineRule="auto"/>
        <w:jc w:val="left"/>
        <w:ind w:left="720" w:hanging="720"/>
        <w:keepLines w:val="1"/>
      </w:pPr>
      <w:bookmarkStart w:id="1127" w:name="bib_ref_43"/>
      <w:r>
        <w:t xml:space="preserve">[43] B. Efron, “Bootstrap Methods: Another Look at the Jackknife,” The Annals of Statistics, vol. 7, no. 1, pp. 1–26, 1979. doi: </w:t>
      </w:r>
      <w:hyperlink r:id="rIdBib48" w:history="1">
        <w:r>
          <w:t xml:space="preserve">10.1214/aos/1176344552</w:t>
        </w:r>
      </w:hyperlink>
      <w:r>
        <w:t xml:space="preserve">.</w:t>
      </w:r>
      <w:bookmarkEnd w:id="1127"/>
    </w:p>
    <w:p>
      <w:pPr>
        <w:pStyle w:val="Normal"/>
        <w:spacing w:line="360" w:lineRule="auto"/>
        <w:jc w:val="left"/>
        <w:ind w:left="720" w:hanging="720"/>
        <w:keepLines w:val="1"/>
      </w:pPr>
      <w:bookmarkStart w:id="1128" w:name="bib_ref_44"/>
      <w:r>
        <w:t xml:space="preserve">[44] C. A. Field and A. H. Welsh, “Bootstrapping clustered data,” Journal of the Royal Statistical Society: Series B (Statistical Methodology), vol. 69, no. 3, pp. 369–390, 2007. doi: </w:t>
      </w:r>
      <w:hyperlink r:id="rIdBib49" w:history="1">
        <w:r>
          <w:t xml:space="preserve">10.1111/j.1467-9868.2007.00593.x</w:t>
        </w:r>
      </w:hyperlink>
      <w:r>
        <w:t xml:space="preserve">.</w:t>
      </w:r>
      <w:bookmarkEnd w:id="1128"/>
    </w:p>
    <w:p>
      <w:pPr>
        <w:pStyle w:val="Normal"/>
        <w:spacing w:line="360" w:lineRule="auto"/>
        <w:jc w:val="left"/>
        <w:ind w:left="720" w:hanging="720"/>
        <w:keepLines w:val="1"/>
      </w:pPr>
      <w:bookmarkStart w:id="1129" w:name="bib_ref_45"/>
      <w:r>
        <w:t xml:space="preserve">[45] R. Szeliski, “Computer Vision: Algorithms and Applications,” Springer-Verlag, Heidelberg, Berlin, 2010. [Online]. Available: </w:t>
      </w:r>
      <w:hyperlink r:id="rIdBib1" w:history="1">
        <w:r>
          <w:t xml:space="preserve">https://dl.acm.org/doi/book/10.5555/1941882</w:t>
        </w:r>
      </w:hyperlink>
      <w:r>
        <w:t xml:space="preserve">.</w:t>
      </w:r>
      <w:bookmarkEnd w:id="1129"/>
    </w:p>
    <w:p>
      <w:pPr>
        <w:pStyle w:val="Normal"/>
        <w:spacing w:line="360" w:lineRule="auto"/>
        <w:jc w:val="left"/>
        <w:ind w:left="720" w:hanging="720"/>
        <w:keepLines w:val="1"/>
      </w:pPr>
      <w:bookmarkStart w:id="1130" w:name="bib_ref_46"/>
      <w:r>
        <w:t xml:space="preserve">[46] Camera &amp; Imaging Products Association, Exif 2.31 metadata for XMP, borrador CIPA DC-X010-2017, 2017, campo FocalLengthIn35mmFilm. [Online]. Available: </w:t>
      </w:r>
      <w:hyperlink r:id="rIdBib50" w:history="1">
        <w:r>
          <w:t xml:space="preserve">https://www.cipa.jp/std/documents/e/DC-X010-2017.pdf</w:t>
        </w:r>
      </w:hyperlink>
      <w:r>
        <w:t xml:space="preserve">.</w:t>
      </w:r>
      <w:bookmarkEnd w:id="1130"/>
    </w:p>
    <w:p>
      <w:pPr>
        <w:pStyle w:val="Normal"/>
        <w:spacing w:line="360" w:lineRule="auto"/>
        <w:jc w:val="left"/>
        <w:ind w:left="720" w:hanging="720"/>
        <w:keepLines w:val="1"/>
      </w:pPr>
      <w:bookmarkStart w:id="1131" w:name="bib_ref_47"/>
      <w:r>
        <w:t xml:space="preserve">[47] NumPy developers, “numpy.quantile,” NumPy documentation. [Online]. Available: </w:t>
      </w:r>
      <w:hyperlink r:id="rIdBib51" w:history="1">
        <w:r>
          <w:t xml:space="preserve">https://numpy.org/doc/stable/reference/generated/numpy.quantile.html</w:t>
        </w:r>
      </w:hyperlink>
      <w:r>
        <w:t xml:space="preserve">. Consultado: 20 oct. 2026.</w:t>
      </w:r>
      <w:bookmarkEnd w:id="1131"/>
    </w:p>
    <w:p>
      <w:pPr>
        <w:jc w:val="left"/>
        <w:keepLines w:val="1"/>
      </w:pPr>
      <w:bookmarkStart w:id="1132" w:name="bib_ref_48"/>
      <w:r>
        <w:t xml:space="preserve">[48] Pillow contributors, “Image.convert and ImageStat,” Pillow documentation. [Online]. Available: </w:t>
      </w:r>
      <w:hyperlink r:id="rIdBib52" w:history="1">
        <w:r>
          <w:t xml:space="preserve">https://pillow.readthedocs.io/en/stable/reference/Image.html#PIL.Image.Image.convert</w:t>
        </w:r>
      </w:hyperlink>
      <w:r>
        <w:t xml:space="preserve"> and </w:t>
      </w:r>
      <w:hyperlink r:id="rIdBib31" w:history="1">
        <w:r>
          <w:t xml:space="preserve">https://pillow.readthedocs.io/en/stable/reference/ImageStat.html</w:t>
        </w:r>
      </w:hyperlink>
      <w:r>
        <w:t xml:space="preserve">. Consultado: 20 oct. 2026.</w:t>
      </w:r>
      <w:bookmarkEnd w:id="1132"/>
    </w:p>
    <w:p>
      <w:pPr>
        <w:pStyle w:val="Normal"/>
        <w:spacing w:line="360" w:lineRule="auto"/>
        <w:jc w:val="left"/>
        <w:ind w:left="720" w:hanging="720"/>
        <w:keepLines w:val="1"/>
      </w:pPr>
      <w:bookmarkStart w:id="1133" w:name="bib_ref_49"/>
      <w:r>
        <w:t xml:space="preserve">[49] J. D. Hunter, “Matplotlib: A 2D Graphics Environment,” Computing in Science &amp; Engineering, vol. 9, no. 3, pp. 90–95, 2007. doi: </w:t>
      </w:r>
      <w:hyperlink r:id="rIdBib53" w:history="1">
        <w:r>
          <w:t xml:space="preserve">10.1109/MCSE.2007.55</w:t>
        </w:r>
      </w:hyperlink>
      <w:r>
        <w:t xml:space="preserve">.</w:t>
      </w:r>
      <w:bookmarkEnd w:id="1133"/>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000" w:after="480" w:line="240" w:lineRule="auto"/>
      <w:ind w:left="0" w:right="0" w:firstLine="0"/>
      <w:outlineLvl w:val="0"/>
    </w:pPr>
    <w:rPr>
      <w:rFonts w:cs="Arial" w:ascii="Arial" w:hAnsi="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after="200"/>
      <w:ind w:left="0" w:right="0" w:firstLine="0"/>
      <w:outlineLvl w:val="1"/>
    </w:pPr>
    <w:rPr>
      <w:rFonts w:eastAsiaTheme="majorEastAsia" w:cstheme="majorBidi" w:ascii="Arial" w:hAnsi="Arial"/>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after="200"/>
      <w:ind w:left="0" w:right="0" w:firstLine="0"/>
      <w:outlineLvl w:val="2"/>
    </w:pPr>
    <w:rPr>
      <w:rFonts w:eastAsiaTheme="majorEastAsia" w:cstheme="majorBidi" w:ascii="Arial" w:hAnsi="Arial"/>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footer" Target="footer4.xml"/><Relationship Id="rIdBib1" Type="http://schemas.openxmlformats.org/officeDocument/2006/relationships/hyperlink" Target="https://dl.acm.org/doi/book/10.5555/1941882" TargetMode="External"/><Relationship Id="rIdBib2" Type="http://schemas.openxmlformats.org/officeDocument/2006/relationships/hyperlink" Target="https://www.who.int/publications-detail/world-report-on-vision" TargetMode="External"/><Relationship Id="rIdBib3" Type="http://schemas.openxmlformats.org/officeDocument/2006/relationships/hyperlink" Target="https://www.tensorflow.org/lite/guide" TargetMode="External"/><Relationship Id="rIdBib4" Type="http://schemas.openxmlformats.org/officeDocument/2006/relationships/hyperlink" Target="https://arxiv.org/abs/1506.01497" TargetMode="External"/><Relationship Id="rIdBib5" Type="http://schemas.openxmlformats.org/officeDocument/2006/relationships/hyperlink" Target="https://doi.org/10.48550/arXiv.1506.01497" TargetMode="External"/><Relationship Id="rIdBib6" Type="http://schemas.openxmlformats.org/officeDocument/2006/relationships/hyperlink" Target="https://doi.org/10.1109/CVPR.2016.91" TargetMode="External"/><Relationship Id="rIdBib7" Type="http://schemas.openxmlformats.org/officeDocument/2006/relationships/hyperlink" Target="https://doi.org/10.1007/978-3-319-46448-0_2" TargetMode="External"/><Relationship Id="rIdBib8" Type="http://schemas.openxmlformats.org/officeDocument/2006/relationships/hyperlink" Target="https://doi.org/10.1109/CVPR42600.2020.01079" TargetMode="External"/><Relationship Id="rIdBib9" Type="http://schemas.openxmlformats.org/officeDocument/2006/relationships/hyperlink" Target="https://doi.org/10.1016/j.procs.2025.01.054" TargetMode="External"/><Relationship Id="rIdBib10" Type="http://schemas.openxmlformats.org/officeDocument/2006/relationships/hyperlink" Target="https://doi.org/10.32604/cmc.2022.028540" TargetMode="External"/><Relationship Id="rIdBib11" Type="http://schemas.openxmlformats.org/officeDocument/2006/relationships/hyperlink" Target="https://doi.org/10.1016/j.procs.2023.01.093" TargetMode="External"/><Relationship Id="rIdBib12" Type="http://schemas.openxmlformats.org/officeDocument/2006/relationships/hyperlink" Target="https://doi.org/10.1007/978-3-319-10602-1_48" TargetMode="External"/><Relationship Id="rIdBib13" Type="http://schemas.openxmlformats.org/officeDocument/2006/relationships/hyperlink" Target="https://arxiv.org/abs/1704.04861" TargetMode="External"/><Relationship Id="rIdBib14" Type="http://schemas.openxmlformats.org/officeDocument/2006/relationships/hyperlink" Target="https://doi.org/10.1109/CVPR.2018.00474" TargetMode="External"/><Relationship Id="rIdBib15" Type="http://schemas.openxmlformats.org/officeDocument/2006/relationships/hyperlink" Target="https://doi.org/10.1088/1742-6596/1651/1/012114" TargetMode="External"/><Relationship Id="rIdBib16" Type="http://schemas.openxmlformats.org/officeDocument/2006/relationships/hyperlink" Target="https://doi.org/10.1038/s41598-025-99242-y" TargetMode="External"/><Relationship Id="rIdBib17" Type="http://schemas.openxmlformats.org/officeDocument/2006/relationships/hyperlink" Target="https://doi.org/10.1007/s11263-020-01316-z" TargetMode="External"/><Relationship Id="rIdBib18" Type="http://schemas.openxmlformats.org/officeDocument/2006/relationships/hyperlink" Target="https://onnxruntime.ai/docs/" TargetMode="External"/><Relationship Id="rIdBib19" Type="http://schemas.openxmlformats.org/officeDocument/2006/relationships/hyperlink" Target="https://pytorch.org/executorch/stable/" TargetMode="External"/><Relationship Id="rIdBib20" Type="http://schemas.openxmlformats.org/officeDocument/2006/relationships/hyperlink" Target="https://doi.org/10.1007/978-3-030-58452-8_13" TargetMode="External"/><Relationship Id="rIdBib21" Type="http://schemas.openxmlformats.org/officeDocument/2006/relationships/hyperlink" Target="https://developers.google.com/edge/litert/next/benchmark" TargetMode="External"/><Relationship Id="rIdBib22" Type="http://schemas.openxmlformats.org/officeDocument/2006/relationships/hyperlink" Target="https://developer.android.com/tools/adb" TargetMode="External"/><Relationship Id="rIdBib23" Type="http://schemas.openxmlformats.org/officeDocument/2006/relationships/hyperlink" Target="https://developers.google.com/edge/litert/android/gpu" TargetMode="External"/><Relationship Id="rIdBib24" Type="http://schemas.openxmlformats.org/officeDocument/2006/relationships/hyperlink" Target="https://roboflow.com/" TargetMode="External"/><Relationship Id="rIdBib25" Type="http://schemas.openxmlformats.org/officeDocument/2006/relationships/hyperlink" Target="https://www.khronos.org/opencl/" TargetMode="External"/><Relationship Id="rIdBib26" Type="http://schemas.openxmlformats.org/officeDocument/2006/relationships/hyperlink" Target="https://developer.android.com/media/camera/camerax" TargetMode="External"/><Relationship Id="rIdBib27" Type="http://schemas.openxmlformats.org/officeDocument/2006/relationships/hyperlink" Target="https://developer.android.com/reference/android/speech/tts/TextToSpeech" TargetMode="External"/><Relationship Id="rIdBib28" Type="http://schemas.openxmlformats.org/officeDocument/2006/relationships/hyperlink" Target="https://k2-fsa.github.io/sherpa/onnx/tts/index.html" TargetMode="External"/><Relationship Id="rIdBib29" Type="http://schemas.openxmlformats.org/officeDocument/2006/relationships/hyperlink" Target="https://developers.google.com/edge/litert/android" TargetMode="External"/><Relationship Id="rIdBib30" Type="http://schemas.openxmlformats.org/officeDocument/2006/relationships/hyperlink" Target="https://github.com/diomedescerda/AssistiveVision" TargetMode="External"/><Relationship Id="rIdBib31" Type="http://schemas.openxmlformats.org/officeDocument/2006/relationships/hyperlink" Target="https://pillow.readthedocs.io/en/stable/reference/ImageStat.html" TargetMode="External"/><Relationship Id="rIdBib32" Type="http://schemas.openxmlformats.org/officeDocument/2006/relationships/hyperlink" Target="https://www.who.int/publications/i/item/9789241516570" TargetMode="External"/><Relationship Id="rIdBib33" Type="http://schemas.openxmlformats.org/officeDocument/2006/relationships/hyperlink" Target="https://doi.org/10.1016/j.procs.2025.01.005" TargetMode="External"/><Relationship Id="rIdBib34" Type="http://schemas.openxmlformats.org/officeDocument/2006/relationships/hyperlink" Target="https://doi.org/10.13140/RG.2.2.28125.12005" TargetMode="External"/><Relationship Id="rIdBib35" Type="http://schemas.openxmlformats.org/officeDocument/2006/relationships/hyperlink" Target="https://doi.org/10.35784/jcsi.6469" TargetMode="External"/><Relationship Id="rIdBib36" Type="http://schemas.openxmlformats.org/officeDocument/2006/relationships/hyperlink" Target="https://developers.google.com/edge/litert/libraries/modify/object_detection" TargetMode="External"/><Relationship Id="rIdBib37" Type="http://schemas.openxmlformats.org/officeDocument/2006/relationships/hyperlink" Target="https://docs.ultralytics.com/models/yolov8/" TargetMode="External"/><Relationship Id="rIdBib38" Type="http://schemas.openxmlformats.org/officeDocument/2006/relationships/hyperlink" Target="https://docs.ultralytics.com/models/yolo11/" TargetMode="External"/><Relationship Id="rIdBib39" Type="http://schemas.openxmlformats.org/officeDocument/2006/relationships/hyperlink" Target="https://github.com/cocodataset/cocoapi/blob/master/PythonAPI/pycocotools/cocoeval.py" TargetMode="External"/><Relationship Id="rIdBib40" Type="http://schemas.openxmlformats.org/officeDocument/2006/relationships/hyperlink" Target="https://nlp.stanford.edu/IR-book/html/htmledition/evaluation-of-unranked-retrieval-sets-1.html" TargetMode="External"/><Relationship Id="rIdBib41" Type="http://schemas.openxmlformats.org/officeDocument/2006/relationships/hyperlink" Target="https://github.com/tensorflow/tensorflow/blob/master/tensorflow/lite/g3doc/performance/measurement.md" TargetMode="External"/><Relationship Id="rIdBib42" Type="http://schemas.openxmlformats.org/officeDocument/2006/relationships/hyperlink" Target="https://arxiv.org/abs/2106.06103" TargetMode="External"/><Relationship Id="rIdBib43" Type="http://schemas.openxmlformats.org/officeDocument/2006/relationships/hyperlink" Target="https://doi.org/10.48550/arXiv.2106.06103" TargetMode="External"/><Relationship Id="rIdBib44" Type="http://schemas.openxmlformats.org/officeDocument/2006/relationships/hyperlink" Target="https://github.com/rhasspy/piper" TargetMode="External"/><Relationship Id="rIdBib45" Type="http://schemas.openxmlformats.org/officeDocument/2006/relationships/hyperlink" Target="https://developer.android.com/reference/android/media/AudioTrack" TargetMode="External"/><Relationship Id="rIdBib46" Type="http://schemas.openxmlformats.org/officeDocument/2006/relationships/hyperlink" Target="https://developer.android.com/topic/libraries/architecture/datastore" TargetMode="External"/><Relationship Id="rIdBib47" Type="http://schemas.openxmlformats.org/officeDocument/2006/relationships/hyperlink" Target="https://www.itl.nist.gov/div898/handbook/prc/section3/prc311.htm" TargetMode="External"/><Relationship Id="rIdBib48" Type="http://schemas.openxmlformats.org/officeDocument/2006/relationships/hyperlink" Target="https://doi.org/10.1214/aos/1176344552" TargetMode="External"/><Relationship Id="rIdBib49" Type="http://schemas.openxmlformats.org/officeDocument/2006/relationships/hyperlink" Target="https://doi.org/10.1111/j.1467-9868.2007.00593.x" TargetMode="External"/><Relationship Id="rIdBib50" Type="http://schemas.openxmlformats.org/officeDocument/2006/relationships/hyperlink" Target="https://www.cipa.jp/std/documents/e/DC-X010-2017.pdf" TargetMode="External"/><Relationship Id="rIdBib51" Type="http://schemas.openxmlformats.org/officeDocument/2006/relationships/hyperlink" Target="https://numpy.org/doc/stable/reference/generated/numpy.quantile.html" TargetMode="External"/><Relationship Id="rIdBib52" Type="http://schemas.openxmlformats.org/officeDocument/2006/relationships/hyperlink" Target="https://pillow.readthedocs.io/en/stable/reference/Image.html#PIL.Image.Image.convert" TargetMode="External"/><Relationship Id="rIdBib53" Type="http://schemas.openxmlformats.org/officeDocument/2006/relationships/hyperlink" Target="https://doi.org/10.1109/MCSE.2007.5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