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w:t>
      </w:r>
      <w:hyperlink w:anchor="bib_ref_2" w:history="1">
        <w:r>
          <w:t xml:space="preserve">[2]</w:t>
        </w:r>
      </w:hyperlink>
      <w:r>
        <w:t xml:space="preserve">. Frente a esta situación, los sistemas de asistencia basados en visión por computador se han consolidado como una alternativa tecnológica viable para apoyar la percepción del entorno, al convertir la información visual capturada por una cámara en descripciones auditivas útiles para el usuario.</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w:t>
      </w:r>
      <w:hyperlink w:anchor="bib_ref_3" w:history="1">
        <w:r>
          <w:t xml:space="preserve">[3]</w:t>
        </w:r>
      </w:hyperlink>
      <w:r>
        <w:t xml:space="preserve">,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w:t>
      </w:r>
      <w:hyperlink w:anchor="bib_ref_4" w:history="1">
        <w:r>
          <w:t xml:space="preserve">[4]</w:t>
        </w:r>
      </w:hyperlink>
      <w:r>
        <w:t xml:space="preserve">, hasta detectores de una etapa orientados al tiempo real, como YOLO </w:t>
      </w:r>
      <w:hyperlink w:anchor="bib_ref_5" w:history="1">
        <w:r>
          <w:t xml:space="preserve">[5]</w:t>
        </w:r>
      </w:hyperlink>
      <w:r>
        <w:t xml:space="preserve">, SSD </w:t>
      </w:r>
      <w:hyperlink w:anchor="bib_ref_6" w:history="1">
        <w:r>
          <w:t xml:space="preserve">[6]</w:t>
        </w:r>
      </w:hyperlink>
      <w:r>
        <w:t xml:space="preserve"> y EfficientDet </w:t>
      </w:r>
      <w:hyperlink w:anchor="bib_ref_7" w:history="1">
        <w:r>
          <w:t xml:space="preserve">[7]</w:t>
        </w:r>
      </w:hyperlink>
      <w:r>
        <w:t xml:space="preserve">,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w:t>
      </w:r>
      <w:hyperlink w:anchor="bib_ref_8" w:history="1">
        <w:r>
          <w:t xml:space="preserve">[8]</w:t>
        </w:r>
      </w:hyperlink>
      <w:r>
        <w:t xml:space="preserve">,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w:t>
      </w:r>
      <w:hyperlink w:anchor="bib_ref_34" w:history="1">
        <w:r>
          <w:t xml:space="preserve">[34]</w:t>
        </w:r>
      </w:hyperlink>
      <w:r>
        <w:t xml:space="preserve">.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con revisión parcial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w:t>
      </w:r>
      <w:hyperlink w:anchor="bib_ref_9" w:history="1">
        <w:r>
          <w:t xml:space="preserve">[9]</w:t>
        </w:r>
      </w:hyperlink>
      <w:r>
        <w:t xml:space="preserve"> y en el Plan de Gobierno Rectoral 2024-2028 </w:t>
      </w:r>
      <w:hyperlink w:anchor="bib_ref_10" w:history="1">
        <w:r>
          <w:t xml:space="preserve">[10]</w:t>
        </w:r>
      </w:hyperlink>
      <w:r>
        <w:t xml:space="preserve">.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w:t>
      </w:r>
      <w:hyperlink w:anchor="bib_ref_11" w:history="1">
        <w:r>
          <w:t xml:space="preserve">[11]</w:t>
        </w:r>
      </w:hyperlink>
      <w:r>
        <w:t xml:space="preserve">.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w:t>
      </w:r>
      <w:hyperlink w:anchor="bib_ref_12" w:history="1">
        <w:r>
          <w:t xml:space="preserve">[12]</w:t>
        </w:r>
      </w:hyperlink>
      <w:r>
        <w:t xml:space="preserve">. El conjunto combina MS COCO con quince clases adicionales de interés para el entorno cotidiano, como puertas, ventanas, casilleros y señales, para un total de noventa y cinco clases </w:t>
      </w:r>
      <w:hyperlink w:anchor="bib_ref_13" w:history="1">
        <w:r>
          <w:t xml:space="preserve">[13]</w:t>
        </w:r>
      </w:hyperlink>
      <w:r>
        <w:t xml:space="preserve">.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Pawar estudió una aplicación Android basada en TensorFlow Object Detection API y SSD MobileNet, ajustada mediante transferencia de aprendizaje para reconocer ochenta categorías </w:t>
      </w:r>
      <w:hyperlink w:anchor="bib_ref_14" w:history="1">
        <w:r>
          <w:t xml:space="preserve">[14]</w:t>
        </w:r>
      </w:hyperlink>
      <w:r>
        <w:t xml:space="preserve">.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confirma la viabilidad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w:t>
      </w:r>
      <w:hyperlink w:anchor="bib_ref_15" w:history="1">
        <w:r>
          <w:t xml:space="preserve">[15]</w:t>
        </w:r>
      </w:hyperlink>
      <w:r>
        <w:t xml:space="preserve">. Evaluaron velocidad, precisión, consumo de recursos y eficiencia energética. Sus resultados muestran que los detectores de una etapa son más apropiados para ejecución directa en el dispositivo; YOLOv8s obtuvo la mejor combinación de precisión y velocidad entre los modelos analizados,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w:t>
      </w:r>
      <w:hyperlink w:anchor="bib_ref_8" w:history="1">
        <w:r>
          <w:t xml:space="preserve">[8]</w:t>
        </w:r>
      </w:hyperlink>
      <w:r>
        <w:t xml:space="preserve">.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Los modelos de detección de objetos basados en redes neuronales profundas se clasifican en dos grandes categorías según su arquitectura </w:t>
      </w:r>
      <w:hyperlink w:anchor="bib_ref_1" w:history="1">
        <w:r>
          <w:t xml:space="preserve">[1]</w:t>
        </w:r>
      </w:hyperlink>
      <w:r>
        <w:t xml:space="preserve">.</w:t>
      </w:r>
    </w:p>
    <w:p>
      <w:pPr>
        <w:pStyle w:val="Normal"/>
        <w:widowControl/>
        <w:spacing w:line="360" w:lineRule="auto" w:after="330"/>
        <w:jc w:val="both"/>
      </w:pPr>
      <w:r>
        <w:t xml:space="preserve">Los detectores de dos etapas dividen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w:t>
      </w:r>
      <w:hyperlink w:anchor="bib_ref_4" w:history="1">
        <w:r>
          <w:t xml:space="preserve">[4]</w:t>
        </w:r>
      </w:hyperlink>
      <w:r>
        <w:t xml:space="preserve">. Ejemplos de esta arquitectura incluyen la familia R-CNN, específicamente Faster R-CNN y Mask R-CNN.</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w:t>
      </w:r>
      <w:hyperlink w:anchor="bib_ref_5" w:history="1">
        <w:r>
          <w:t xml:space="preserve">[5]</w:t>
        </w:r>
      </w:hyperlink>
      <w:r>
        <w:t xml:space="preserve">, </w:t>
      </w:r>
      <w:hyperlink w:anchor="bib_ref_6" w:history="1">
        <w:r>
          <w:t xml:space="preserve">[6]</w:t>
        </w:r>
      </w:hyperlink>
      <w:r>
        <w:t xml:space="preserve">. Una red convolucional extrae mapas de características espaciales y semánticas, sobre los cuales el modelo predice coordenadas y probabilidades de clase. YOLO prioriza la velocidad </w:t>
      </w:r>
      <w:hyperlink w:anchor="bib_ref_5" w:history="1">
        <w:r>
          <w:t xml:space="preserve">[5]</w:t>
        </w:r>
      </w:hyperlink>
      <w:r>
        <w:t xml:space="preserve">, SSD utiliza mapas multiescala y cajas predefinidas </w:t>
      </w:r>
      <w:hyperlink w:anchor="bib_ref_6" w:history="1">
        <w:r>
          <w:t xml:space="preserve">[6]</w:t>
        </w:r>
      </w:hyperlink>
      <w:r>
        <w:t xml:space="preserve">, y EfficientDet incorpora una fusión bidireccional de características y un escalamiento compuesto </w:t>
      </w:r>
      <w:hyperlink w:anchor="bib_ref_7" w:history="1">
        <w:r>
          <w:t xml:space="preserve">[7]</w:t>
        </w:r>
      </w:hyperlink>
      <w:r>
        <w:t xml:space="preserve">.</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la resolución de entrada, la representación numérica y las técnicas de compresión.</w:t>
      </w:r>
    </w:p>
    <w:p>
      <w:pPr>
        <w:pStyle w:val="Normal"/>
        <w:widowControl/>
        <w:spacing w:line="360" w:lineRule="auto" w:after="330"/>
        <w:jc w:val="both"/>
      </w:pPr>
      <w:r>
        <w:t xml:space="preserve">Howard et al. propusieron MobileNets como una familia de redes para visión móvil basada en convoluciones separables en profundidad </w:t>
      </w:r>
      <w:hyperlink w:anchor="bib_ref_16" w:history="1">
        <w:r>
          <w:t xml:space="preserve">[16]</w:t>
        </w:r>
      </w:hyperlink>
      <w:r>
        <w:t xml:space="preserve">.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w:t>
      </w:r>
      <w:hyperlink w:anchor="bib_ref_17" w:history="1">
        <w:r>
          <w:t xml:space="preserve">[17]</w:t>
        </w:r>
      </w:hyperlink>
      <w:r>
        <w:t xml:space="preserve">.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estudió la ejecución de detectores en dispositivos de borde mediante TensorFlow Lite y la conversión de modelos Float32 a uint8 </w:t>
      </w:r>
      <w:hyperlink w:anchor="bib_ref_18" w:history="1">
        <w:r>
          <w:t xml:space="preserve">[18]</w:t>
        </w:r>
      </w:hyperlink>
      <w:r>
        <w:t xml:space="preserve">. En sus experimentos sobre MS COCO, SSD300 alcanzó 58 FPS con un mAP de 72,1 %, mientras SSD500 alcanzó 23 FPS con un mAP de 75,1 %; Faster R-CNN obtuvo 7 FPS con un mAP de 73,2 %. Aunque las condiciones de hardware y el protocolo no son idénticos a los de este trabajo, la comparación evidencia el efecto de la cuantización y del tamaño de entrada sobre la velocidad.</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w:t>
      </w:r>
      <w:hyperlink w:anchor="bib_ref_19" w:history="1">
        <w:r>
          <w:t xml:space="preserve">[19]</w:t>
        </w:r>
      </w:hyperlink>
      <w:r>
        <w:t xml:space="preserve">.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mensajes que reduzcan la confianza, mientras un modelo exacto pero lento no entrega información oportuna. Por ello,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w:t>
      </w:r>
      <w:hyperlink w:anchor="bib_ref_19" w:history="1">
        <w:r>
          <w:t xml:space="preserve">[19]</w:t>
        </w:r>
      </w:hyperlink>
      <w:r>
        <w:t xml:space="preserve">,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w:t>
      </w:r>
      <w:hyperlink w:anchor="bib_ref_6" w:history="1">
        <w:r>
          <w:t xml:space="preserve">[6]</w:t>
        </w:r>
      </w:hyperlink>
      <w:r>
        <w:t xml:space="preserve">, </w:t>
      </w:r>
      <w:hyperlink w:anchor="bib_ref_16" w:history="1">
        <w:r>
          <w:t xml:space="preserve">[16]</w:t>
        </w:r>
      </w:hyperlink>
      <w:r>
        <w:t xml:space="preserve">, </w:t>
      </w:r>
      <w:hyperlink w:anchor="bib_ref_17" w:history="1">
        <w:r>
          <w:t xml:space="preserve">[17]</w:t>
        </w:r>
      </w:hyperlink>
      <w:r>
        <w:t xml:space="preserve">.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w:t>
      </w:r>
      <w:hyperlink w:anchor="bib_ref_7" w:history="1">
        <w:r>
          <w:t xml:space="preserve">[7]</w:t>
        </w:r>
      </w:hyperlink>
      <w:r>
        <w:t xml:space="preserve">. Sus variantes Lite fueron diseñadas para dispositivos móviles y </w:t>
      </w:r>
      <w:r>
        <w:rPr>
          <w:i/>
        </w:rPr>
        <w:t>edge</w:t>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w:t>
      </w:r>
      <w:hyperlink w:anchor="bib_ref_5" w:history="1">
        <w:r>
          <w:t xml:space="preserve">[5]</w:t>
        </w:r>
      </w:hyperlink>
      <w:r>
        <w:t xml:space="preserve">. Su ventaja principal es la velocidad,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w:t>
      </w:r>
      <w:hyperlink w:anchor="bib_ref_13" w:history="1">
        <w:r>
          <w:t xml:space="preserve">[13]</w:t>
        </w:r>
      </w:hyperlink>
      <w:r>
        <w:t xml:space="preserve">. También se revisó Open Images como fuente de categorías y anotaciones de gran escala </w:t>
      </w:r>
      <w:hyperlink w:anchor="bib_ref_20" w:history="1">
        <w:r>
          <w:t xml:space="preserve">[20]</w:t>
        </w:r>
      </w:hyperlink>
      <w:r>
        <w:t xml:space="preserve">.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w:t>
      </w:r>
      <w:hyperlink w:anchor="bib_ref_3" w:history="1">
        <w:r>
          <w:t xml:space="preserve">[3]</w:t>
        </w:r>
      </w:hyperlink>
      <w:r>
        <w:t xml:space="preserve">, mientras ONNX Runtime y ExecuTorch representan alternativas para otros ecosistemas de despliegue </w:t>
      </w:r>
      <w:hyperlink w:anchor="bib_ref_21" w:history="1">
        <w:r>
          <w:t xml:space="preserve">[21]</w:t>
        </w:r>
      </w:hyperlink>
      <w:r>
        <w:t xml:space="preserve">, </w:t>
      </w:r>
      <w:hyperlink w:anchor="bib_ref_22" w:history="1">
        <w:r>
          <w:t xml:space="preserve">[22]</w:t>
        </w:r>
      </w:hyperlink>
      <w:r>
        <w:t xml:space="preserve">.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w:t>
      </w:r>
      <w:hyperlink w:anchor="bib_ref_23" w:history="1">
        <w:r>
          <w:t xml:space="preserve">[23]</w:t>
        </w:r>
      </w:hyperlink>
      <w:r>
        <w:t xml:space="preserve">. El modelo procesa la imagen completa y utiliza object queries para producir predicciones directas, sin seguir explícitamente el esquema clásico de una o dos etapas. Su formulación reduce componentes como las cajas predefinidas y la supresión no máxima, pero su costo computacional y la exigencia de datos y hardware limitan su conveniencia para el teléfono de gama media utilizado en este proyecto.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w:t>
      </w:r>
      <w:hyperlink w:anchor="bib_ref_13" w:history="1">
        <w:r>
          <w:t xml:space="preserve">[13]</w:t>
        </w:r>
      </w:hyperlink>
      <w:r>
        <w:t xml:space="preserve">.</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penaliza ambas métricas por igual. Para el sistema propuesto, mAP50-95 indica la precisión geométrica de las detecciones </w:t>
      </w:r>
      <w:hyperlink w:anchor="bib_ref_13" w:history="1">
        <w:r>
          <w:t xml:space="preserve">[13]</w:t>
        </w:r>
      </w:hyperlink>
      <w:r>
        <w:t xml:space="preserve">.</w:t>
      </w:r>
    </w:p>
    <w:p>
      <w:pPr>
        <w:pStyle w:val="Normal"/>
        <w:widowControl/>
        <w:spacing w:line="360" w:lineRule="auto" w:after="330"/>
        <w:jc w:val="both"/>
      </w:pPr>
      <w:r>
        <w:t xml:space="preserve">Precisión (Precision). La precisión indica, de todas las detecciones realizadas por el modelo, qué porcentaje fue correcto, midiendo la tasa de falsos positivos: Precision = TP / (TP + FP), donde TP corresponde a verdaderos positivos y FP a falsos positivos. Para el sistema propuesto, si el modelo anuncia la presencia de una silla cuando no hay ninguna silla en la escena, el usuario recibe una indicación errónea y pierde confianza en el sistema, por lo que una precisión alta resulta fundamental </w:t>
      </w:r>
      <w:hyperlink w:anchor="bib_ref_1" w:history="1">
        <w:r>
          <w:t xml:space="preserve">[1]</w:t>
        </w:r>
      </w:hyperlink>
      <w:r>
        <w:t xml:space="preserve">.</w:t>
      </w:r>
    </w:p>
    <w:p>
      <w:pPr>
        <w:pStyle w:val="Normal"/>
        <w:widowControl/>
        <w:spacing w:line="360" w:lineRule="auto" w:after="330"/>
        <w:jc w:val="both"/>
      </w:pPr>
      <w:r>
        <w:rPr>
          <w:i/>
        </w:rPr>
        <w:t>Recall</w:t>
      </w:r>
      <w:r>
        <w:t xml:space="preserve">, o exhaustividad, es la proporción de instancias anotadas visibles que el detector recupera: TP/(TP+FN).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xml:space="preserve">). A diferencia de la media aritmética, penaliza el desequilibrio entre ambas métricas, por lo que resulta útil como métrica única de exactitud global cuando se requiere un compromiso entre falsos positivos y falsos negativos </w:t>
      </w:r>
      <w:hyperlink w:anchor="bib_ref_1" w:history="1">
        <w:r>
          <w:t xml:space="preserve">[1]</w:t>
        </w:r>
      </w:hyperlink>
      <w:r>
        <w:t xml:space="preserve">.</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Ambas métricas están inversamente relacionadas: a mayor latencia, menor FPS.</w:t>
      </w:r>
    </w:p>
    <w:p>
      <w:pPr>
        <w:pStyle w:val="Normal"/>
        <w:widowControl/>
        <w:spacing w:line="360" w:lineRule="auto" w:after="330"/>
        <w:jc w:val="both"/>
      </w:pPr>
      <w:r>
        <w:t xml:space="preserve">Consumo de memoria RAM. El consumo de memoria RAM corresponde a la memoria ocupada por el modelo y sus tensores intermedios durante la inicialización y la inferencia. Esta métrica determina la compatibilidad del sistema con dispositivos de gama baja, donde la memoria disponible es limitada y el sistema operativo puede terminar aplicaciones que excedan los recursos disponibles. Se reporta en megabytes (MB) mediante el perfilador de memoria de la </w:t>
      </w:r>
      <w:r>
        <w:rPr>
          <w:i/>
        </w:rPr>
        <w:t>Benchmark</w:t>
      </w:r>
      <w:r>
        <w:t xml:space="preserve"> Tool </w:t>
      </w:r>
      <w:hyperlink w:anchor="bib_ref_24" w:history="1">
        <w:r>
          <w:t xml:space="preserve">[24]</w:t>
        </w:r>
      </w:hyperlink>
      <w:r>
        <w:t xml:space="preserve">.</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w:t>
      </w:r>
      <w:hyperlink w:anchor="bib_ref_24" w:history="1">
        <w:r>
          <w:t xml:space="preserve">[24]</w:t>
        </w:r>
      </w:hyperlink>
      <w:r>
        <w:t xml:space="preserve">.</w:t>
      </w:r>
    </w:p>
    <w:p>
      <w:pPr>
        <w:pStyle w:val="Ttulo3"/>
      </w:pPr>
      <w:r>
        <w:t xml:space="preserve">2.2.2 Cuantización de modelos: Float32 y Float16</w:t>
      </w:r>
    </w:p>
    <w:p>
      <w:pPr>
        <w:pStyle w:val="Normal"/>
        <w:widowControl/>
        <w:spacing w:line="360" w:lineRule="auto" w:after="330"/>
        <w:jc w:val="both"/>
      </w:pPr>
      <w:r>
        <w:t xml:space="preserve">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w:t>
      </w:r>
      <w:hyperlink w:anchor="bib_ref_3" w:history="1">
        <w:r>
          <w:t xml:space="preserve">[3]</w:t>
        </w:r>
      </w:hyperlink>
      <w:r>
        <w:t xml:space="preserve">.</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w:t>
      </w:r>
      <w:hyperlink w:anchor="bib_ref_3" w:history="1">
        <w:r>
          <w:t xml:space="preserve">[3]</w:t>
        </w:r>
      </w:hyperlink>
      <w:r>
        <w:t xml:space="preserve">.</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w:t>
      </w:r>
      <w:hyperlink w:anchor="bib_ref_13" w:history="1">
        <w:r>
          <w:t xml:space="preserve">[13]</w:t>
        </w:r>
      </w:hyperlink>
      <w:r>
        <w:t xml:space="preserve">.</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garantizando mediciones aisladas y reproducibles. Se ejecutaron 50 iteraciones por modelo con 4 hilos de procesamiento </w:t>
      </w:r>
      <w:hyperlink w:anchor="bib_ref_24" w:history="1">
        <w:r>
          <w:t xml:space="preserve">[24]</w:t>
        </w:r>
      </w:hyperlink>
      <w:r>
        <w:t xml:space="preserve">.</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garantizando un procedimiento reproducible sin intervención manual sobre el teléfono </w:t>
      </w:r>
      <w:hyperlink w:anchor="bib_ref_25" w:history="1">
        <w:r>
          <w:t xml:space="preserve">[25]</w:t>
        </w:r>
      </w:hyperlink>
      <w:r>
        <w:t xml:space="preserve">.</w:t>
      </w:r>
    </w:p>
    <w:p>
      <w:pPr>
        <w:pStyle w:val="Normal"/>
        <w:widowControl/>
        <w:spacing w:line="360" w:lineRule="auto" w:after="330"/>
        <w:jc w:val="both"/>
      </w:pPr>
      <w:r>
        <w:t xml:space="preserve">El GPU Delegate es una extensión de TFLite que redirige los cálculos de la CPU a la GPU del dispositivo mediante la API OpenCL. El objetivo es aprovechar el paralelismo masivo de la GPU para acelerar la inferencia. Sin embargo, no todas las operaciones son compatibles con el GPU Delegate: operaciones personalizadas como TFLite_Detection_PostProcess (presente en SSD y EfficientDet) deben ejecutarse en CPU, creando un cuello de botella por la transferencia de datos entre ambos procesadores </w:t>
      </w:r>
      <w:hyperlink w:anchor="bib_ref_26" w:history="1">
        <w:r>
          <w:t xml:space="preserve">[26]</w:t>
        </w:r>
      </w:hyperlink>
      <w:r>
        <w:t xml:space="preserve">.</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w:t>
      </w:r>
      <w:hyperlink w:anchor="bib_ref_5" w:history="1">
        <w:r>
          <w:t xml:space="preserve">[5]</w:t>
        </w:r>
      </w:hyperlink>
      <w:r>
        <w:t xml:space="preserve">, YOLO11n en variantes Float32 y Float16 </w:t>
      </w:r>
      <w:hyperlink w:anchor="bib_ref_5" w:history="1">
        <w:r>
          <w:t xml:space="preserve">[5]</w:t>
        </w:r>
      </w:hyperlink>
      <w:r>
        <w:t xml:space="preserve">, SSD MobileNetV1 </w:t>
      </w:r>
      <w:hyperlink w:anchor="bib_ref_6" w:history="1">
        <w:r>
          <w:t xml:space="preserve">[6]</w:t>
        </w:r>
      </w:hyperlink>
      <w:r>
        <w:t xml:space="preserve"> y EfficientDet-Lite2 </w:t>
      </w:r>
      <w:hyperlink w:anchor="bib_ref_7" w:history="1">
        <w:r>
          <w:t xml:space="preserve">[7]</w:t>
        </w:r>
      </w:hyperlink>
      <w:r>
        <w:t xml:space="preserve">.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La evaluación de precisión se realizó sobre un conjunto de imágenes propias capturadas en entornos interiores reales, complementadas con imágenes de dominio público. Las imágenes fueron anotadas manualmente mediante la plataforma Roboflow </w:t>
      </w:r>
      <w:hyperlink w:anchor="bib_ref_27" w:history="1">
        <w:r>
          <w:t xml:space="preserve">[27]</w:t>
        </w:r>
      </w:hyperlink>
      <w:r>
        <w:t xml:space="preserve">, generando un total de 80 imágenes con 257 anotaciones en formato COCO JSON </w:t>
      </w:r>
      <w:hyperlink w:anchor="bib_ref_13" w:history="1">
        <w:r>
          <w:t xml:space="preserve">[13]</w:t>
        </w:r>
      </w:hyperlink>
      <w:r>
        <w:t xml:space="preserve">.</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w:t>
      </w:r>
      <w:hyperlink w:anchor="bib_ref_13" w:history="1">
        <w:r>
          <w:t xml:space="preserve">[13]</w:t>
        </w:r>
      </w:hyperlink>
      <w:r>
        <w:t xml:space="preserve">.</w:t>
      </w:r>
    </w:p>
    <w:p>
      <w:pPr>
        <w:pStyle w:val="Normal"/>
        <w:widowControl/>
        <w:spacing w:line="360" w:lineRule="auto" w:after="330"/>
        <w:jc w:val="both"/>
      </w:pPr>
      <w:r>
        <w:t xml:space="preserve">Las métricas de precisión fueron calculadas mediante la librería pycocotools, que implementa el protocolo oficial de evaluación COCO </w:t>
      </w:r>
      <w:hyperlink w:anchor="bib_ref_13" w:history="1">
        <w:r>
          <w:t xml:space="preserve">[13]</w:t>
        </w:r>
      </w:hyperlink>
      <w:r>
        <w:t xml:space="preserve">.</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revela dos causas concretas del bajo rendimiento con GPU Delegate.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refleja el costo de compilar y cargar los </w:t>
      </w:r>
      <w:r>
        <w:rPr>
          <w:i/>
        </w:rPr>
        <w:t>kernels</w:t>
      </w:r>
      <w:r>
        <w:t xml:space="preserve"> OpenCL </w:t>
      </w:r>
      <w:hyperlink w:anchor="bib_ref_28" w:history="1">
        <w:r>
          <w:t xml:space="preserve">[28]</w:t>
        </w:r>
      </w:hyperlink>
      <w:r>
        <w:t xml:space="preserve"> en la GPU Adreno 610 </w:t>
      </w:r>
      <w:hyperlink w:anchor="bib_ref_26" w:history="1">
        <w:r>
          <w:t xml:space="preserve">[26]</w:t>
        </w:r>
      </w:hyperlink>
      <w:r>
        <w:t xml:space="preserve">.</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debido a la duplicación de búferes entre ambos procesadores.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Este soporte permite al usuario orientar libremente el celular y elegir qué parte de la escena explorar. En las capturas de este estudio se apuntó la cámara hacia los objetos de interés.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 xml:space="preserve">CameraX 1.6.1 gestiona la cámara y su ciclo de vida </w:t>
      </w:r>
      <w:hyperlink w:anchor="bib_ref_29" w:history="1">
        <w:r>
          <w:t xml:space="preserve">[29]</w:t>
        </w:r>
      </w:hyperlink>
      <w:r>
        <w:t xml:space="preserve">.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w:t>
      </w:r>
    </w:p>
    <w:p>
      <w:bookmarkStart w:id="1039" w:name="report_1039"/>
      <w:pPr>
        <w:pStyle w:val="Ttulo2"/>
      </w:pPr>
      <w:r>
        <w:t xml:space="preserve">3.5 Módulo de detección</w:t>
      </w:r>
      <w:bookmarkEnd w:id="1039"/>
    </w:p>
    <w:p>
      <w:pPr>
        <w:pStyle w:val="Normal"/>
        <w:widowControl/>
        <w:spacing w:line="360" w:lineRule="auto" w:after="330"/>
        <w:jc w:val="both"/>
      </w:pPr>
      <w:r>
        <w:t xml:space="preserve">DetectionModule utiliza la API Interpreter del paquete LiteRT 1.4.2 y el archivo efficientdet-lite2-detection-metadata.tflite, cargado mediante un MappedByteBuffer </w:t>
      </w:r>
      <w:hyperlink w:anchor="bib_ref_32" w:history="1">
        <w:r>
          <w:t xml:space="preserve">[32]</w:t>
        </w:r>
      </w:hyperlink>
      <w:r>
        <w:t xml:space="preserve">.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LocalizationModule asigna la zona según el centro de la caja en coordenadas del fotograma original. Los límites horizontales son 0,35 y 0,65 del ancho; el límite vertical es la mitad de la altura. Estas divisiones producen seis zonas y no constituyen tercios exactos ni posiciones métricas en el espacio. La Tabla 3.2 y la Figura 3.2 muestran esta partición.</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0"/>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0"/>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w:t>
      </w:r>
      <w:hyperlink w:anchor="bib_ref_13" w:history="1">
        <w:r>
          <w:t xml:space="preserve">[13]</w:t>
        </w:r>
      </w:hyperlink>
      <w:r>
        <w:t xml:space="preserve">. No procede de un estudio de necesidades con usuarios ni establece una jerarquía clínica o de riesgo. La propuesta menciona puertas, sillas y escritorios como ejemplos </w:t>
      </w:r>
      <w:hyperlink w:anchor="bib_ref_34" w:history="1">
        <w:r>
          <w:t xml:space="preserve">[34]</w:t>
        </w:r>
      </w:hyperlink>
      <w:r>
        <w:t xml:space="preserve">;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w:t>
      </w:r>
      <w:hyperlink w:anchor="bib_ref_20" w:history="1">
        <w:r>
          <w:t xml:space="preserve">[20]</w:t>
        </w:r>
      </w:hyperlink>
      <w:r>
        <w:t xml:space="preserve">,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 xml:space="preserve">AudioModule utiliza sherpa-onnx v1.13.6 para sintetizar voz local a partir de modelos VITS/Piper empaquetados con la aplicación </w:t>
      </w:r>
      <w:hyperlink w:anchor="bib_ref_31" w:history="1">
        <w:r>
          <w:t xml:space="preserve">[31]</w:t>
        </w:r>
      </w:hyperlink>
      <w:r>
        <w:t xml:space="preserve">.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pendiente.</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En este último se orientó libremente la cámara hacia los objetos de interés; la altura y la inclinación no se midieron.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r>
        <w:rPr>
          <w:i/>
        </w:rPr>
        <w:t/>
      </w:r>
      <w:r>
        <w:t xml:space="preserve"/>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La prueba t pareada por escena (lentes agrupadas) contrasta las posiciones dentro de cada grupo de captura; con gl = 32 el valor crítico a dos colas es t = 2,04 (α = 0,05).</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 Además, la orientación dirigida hacia los objetos con el Gorillapod forma parte de la condición evaluada: la comparación combina soporte y estrategia de encuadre, sin aislar sus efectos.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 xml:space="preserve">La propuesta incluye iluminación y oclusión como condiciones de evaluación </w:t>
      </w:r>
      <w:hyperlink w:anchor="bib_ref_34" w:history="1">
        <w:r>
          <w:t xml:space="preserve">[34]</w:t>
        </w:r>
      </w:hyperlink>
      <w:r>
        <w:t xml:space="preserve">.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w:t>
      </w:r>
      <w:hyperlink w:anchor="bib_ref_35" w:history="1">
        <w:r>
          <w:t xml:space="preserve">[35]</w:t>
        </w:r>
      </w:hyperlink>
      <w:r>
        <w:t xml:space="preserve">.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El autor revisó 215 de las 889 etiquetas mediante la interfaz local; se conservaron las otras 674 etiquetas asistidas por IA sin revisión individual adicional. Los dos lotes iniciales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408</w:t>
            </w:r>
          </w:p>
        </w:tc>
        <w:tc>
          <w:tcPr>
            <w:tcW w:type="dxa" w:w="864"/>
            <w:vAlign w:val="center"/>
          </w:tcPr>
          <w:p>
            <w:pPr>
              <w:keepNext/>
              <w:spacing w:line="240" w:lineRule="auto" w:after="60"/>
            </w:pPr>
            <w:r>
              <w:rPr>
                <w:rFonts w:ascii="Arial" w:hAnsi="Arial"/>
                <w:b w:val="0"/>
                <w:sz w:val="18"/>
              </w:rPr>
              <w:t>217</w:t>
            </w:r>
          </w:p>
        </w:tc>
        <w:tc>
          <w:tcPr>
            <w:tcW w:type="dxa" w:w="864"/>
            <w:vAlign w:val="center"/>
          </w:tcPr>
          <w:p>
            <w:pPr>
              <w:keepNext/>
              <w:spacing w:line="240" w:lineRule="auto" w:after="60"/>
            </w:pPr>
            <w:r>
              <w:rPr>
                <w:rFonts w:ascii="Arial" w:hAnsi="Arial"/>
                <w:b w:val="0"/>
                <w:sz w:val="18"/>
              </w:rPr>
              <w:t>191</w:t>
            </w:r>
          </w:p>
        </w:tc>
        <w:tc>
          <w:tcPr>
            <w:tcW w:type="dxa" w:w="1224"/>
            <w:vAlign w:val="center"/>
          </w:tcPr>
          <w:p>
            <w:pPr>
              <w:keepNext/>
              <w:spacing w:line="240" w:lineRule="auto" w:after="60"/>
            </w:pPr>
            <w:r>
              <w:rPr>
                <w:rFonts w:ascii="Arial" w:hAnsi="Arial"/>
                <w:b w:val="0"/>
                <w:sz w:val="18"/>
              </w:rPr>
              <w:t>53,2 %</w:t>
            </w:r>
          </w:p>
        </w:tc>
        <w:tc>
          <w:tcPr>
            <w:tcW w:type="dxa" w:w="2995"/>
            <w:vAlign w:val="center"/>
          </w:tcPr>
          <w:p>
            <w:pPr>
              <w:keepNext/>
              <w:spacing w:line="240" w:lineRule="auto" w:after="60"/>
            </w:pPr>
            <w:r>
              <w:rPr>
                <w:rFonts w:ascii="Arial" w:hAnsi="Arial"/>
                <w:b w:val="0"/>
                <w:sz w:val="18"/>
              </w:rPr>
              <w:t>[46,6 %; 63,3 %]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168</w:t>
            </w:r>
          </w:p>
        </w:tc>
        <w:tc>
          <w:tcPr>
            <w:tcW w:type="dxa" w:w="864"/>
            <w:vAlign w:val="center"/>
          </w:tcPr>
          <w:p>
            <w:pPr>
              <w:keepNext/>
              <w:spacing w:line="240" w:lineRule="auto" w:after="60"/>
            </w:pPr>
            <w:r>
              <w:rPr>
                <w:rFonts w:ascii="Arial" w:hAnsi="Arial"/>
                <w:b w:val="0"/>
                <w:sz w:val="18"/>
              </w:rPr>
              <w:t>18</w:t>
            </w:r>
          </w:p>
        </w:tc>
        <w:tc>
          <w:tcPr>
            <w:tcW w:type="dxa" w:w="864"/>
            <w:vAlign w:val="center"/>
          </w:tcPr>
          <w:p>
            <w:pPr>
              <w:keepNext/>
              <w:spacing w:line="240" w:lineRule="auto" w:after="60"/>
            </w:pPr>
            <w:r>
              <w:rPr>
                <w:rFonts w:ascii="Arial" w:hAnsi="Arial"/>
                <w:b w:val="0"/>
                <w:sz w:val="18"/>
              </w:rPr>
              <w:t>150</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[5,4 %; 21,9 %]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33,3 %]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53,2 %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168 instancias con oclusión fuerte son sillas y 137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49,7 %, 10,7 %; con etiquetas de alta confianza son 69,9 %, 54,8 %, 11,1 %,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La revisión de etiquetas no modifica las cajas ni clases originales. Antes de formular conclusiones definitivas, deben resolverse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Bajo la orientación hacia los objetos utilizada en estas capturas, la elección por cantidad favorece provisionalmente Gorillapod 0,5x, mientras la elección por equilibrio precisión-recall favorece pecho 1x. Las comparaciones no establecen un ganador universal y deben confirmarse en escenas nuevas.</w:t>
      </w:r>
      <w:r>
        <w:rPr>
          <w:i/>
        </w:rPr>
        <w:t/>
      </w:r>
      <w:r>
        <w:t xml:space="preserve"/>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con revisión parcial del autor;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/results/android.json (predicciones) y los scripts de métricas, escenas, estadística y profundidad. Los borradores no son etiquetas finales. verify_package.py comprueba el archivo base; Documents/Review registra esta revisión.</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Build/Testing/README.md documenta la reproducción, los hashes y los límites de cada ejecución.</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pPr>
      <w:bookmarkStart w:id="1085" w:name="bib_ref_1"/>
      <w:r>
        <w:t xml:space="preserve">[1] R. Szeliski, “Computer Vision: Algorithms and Applications,” Springer-Verlag, Heidelberg, Berlin, 2010. [Online]. Available: </w:t>
      </w:r>
      <w:hyperlink r:id="rIdBib1" w:history="1">
        <w:r>
          <w:t xml:space="preserve">https://dl.acm.org/doi/book/10.5555/1941882</w:t>
        </w:r>
      </w:hyperlink>
      <w:r>
        <w:t xml:space="preserve">.</w:t>
      </w:r>
      <w:bookmarkEnd w:id="1085"/>
    </w:p>
    <w:p>
      <w:pPr>
        <w:pStyle w:val="Normal"/>
        <w:spacing w:line="360" w:lineRule="auto"/>
        <w:jc w:val="left"/>
        <w:ind w:left="720" w:hanging="720"/>
      </w:pPr>
      <w:bookmarkStart w:id="1086" w:name="bib_ref_2"/>
      <w:r>
        <w:t xml:space="preserve">[2] World Health Organization, “World report on vision,” Geneva, Switzerland: World Health Organization, 2019. [Online]. Available: </w:t>
      </w:r>
      <w:hyperlink r:id="rIdBib2" w:history="1">
        <w:r>
          <w:t xml:space="preserve">https://www.who.int/publications-detail/world-report-on-vision</w:t>
        </w:r>
      </w:hyperlink>
      <w:r>
        <w:t xml:space="preserve">.</w:t>
      </w:r>
      <w:bookmarkEnd w:id="1086"/>
    </w:p>
    <w:p>
      <w:pPr>
        <w:pStyle w:val="Normal"/>
        <w:spacing w:line="360" w:lineRule="auto"/>
        <w:jc w:val="left"/>
        <w:ind w:left="720" w:hanging="720"/>
      </w:pPr>
      <w:bookmarkStart w:id="1087" w:name="bib_ref_3"/>
      <w:r>
        <w:t xml:space="preserve">[3] TensorFlow, “TensorFlow Lite,” TensorFlow. [Online]. Available: </w:t>
      </w:r>
      <w:hyperlink r:id="rIdBib3" w:history="1">
        <w:r>
          <w:t xml:space="preserve">https://www.tensorflow.org/lite/guide</w:t>
        </w:r>
      </w:hyperlink>
      <w:r>
        <w:t xml:space="preserve">.</w:t>
      </w:r>
      <w:bookmarkEnd w:id="1087"/>
    </w:p>
    <w:p>
      <w:pPr>
        <w:pStyle w:val="Normal"/>
        <w:spacing w:line="360" w:lineRule="auto"/>
        <w:jc w:val="left"/>
        <w:ind w:left="720" w:hanging="720"/>
      </w:pPr>
      <w:bookmarkStart w:id="1088" w:name="bib_ref_4"/>
      <w:r>
        <w:t xml:space="preserve">[4] S. Ren, K. He, R. Girshick, and J. Sun, “Faster R-CNN: Towards Real-Time Object Detection with Region Proposal Networks,” Jan. 06, 2016, </w:t>
      </w:r>
      <w:hyperlink r:id="rIdBib4" w:history="1">
        <w:r>
          <w:t xml:space="preserve">arXiv:1506.01497</w:t>
        </w:r>
      </w:hyperlink>
      <w:r>
        <w:t xml:space="preserve">. doi: </w:t>
      </w:r>
      <w:hyperlink r:id="rIdBib5" w:history="1">
        <w:r>
          <w:t xml:space="preserve">10.48550/arXiv.1506.01497</w:t>
        </w:r>
      </w:hyperlink>
      <w:r>
        <w:t xml:space="preserve">.</w:t>
      </w:r>
      <w:bookmarkEnd w:id="1088"/>
    </w:p>
    <w:p>
      <w:pPr>
        <w:pStyle w:val="Normal"/>
        <w:spacing w:line="360" w:lineRule="auto"/>
        <w:jc w:val="left"/>
        <w:ind w:left="720" w:hanging="720"/>
      </w:pPr>
      <w:bookmarkStart w:id="1089" w:name="bib_ref_5"/>
      <w:r>
        <w:t xml:space="preserve">[5] J. Redmon, S. Divvala, R. Girshick, and A. Farhadi, “You Only Look Once: Unified, Real-Time Object Detection,” in 2016 IEEE Conference on Computer Vision and Pattern Recognition (CVPR), Jun. 2016, pp. 779–788. doi: </w:t>
      </w:r>
      <w:hyperlink r:id="rIdBib6" w:history="1">
        <w:r>
          <w:t xml:space="preserve">10.1109/CVPR.2016.91</w:t>
        </w:r>
      </w:hyperlink>
      <w:r>
        <w:t xml:space="preserve">.</w:t>
      </w:r>
      <w:bookmarkEnd w:id="1089"/>
    </w:p>
    <w:p>
      <w:pPr>
        <w:pStyle w:val="Normal"/>
        <w:spacing w:line="360" w:lineRule="auto"/>
        <w:jc w:val="left"/>
        <w:ind w:left="720" w:hanging="720"/>
      </w:pPr>
      <w:bookmarkStart w:id="1090" w:name="bib_ref_6"/>
      <w:r>
        <w:t xml:space="preserve">[6] W. Liu et al., “SSD: Single Shot MultiBox Detector,” in Computer Vision – ECCV 2016, Cham: Springer International Publishing, 2016, pp. 21–37. doi: </w:t>
      </w:r>
      <w:hyperlink r:id="rIdBib7" w:history="1">
        <w:r>
          <w:t xml:space="preserve">10.1007/978-3-319-46448-0_2</w:t>
        </w:r>
      </w:hyperlink>
      <w:r>
        <w:t xml:space="preserve">.</w:t>
      </w:r>
      <w:bookmarkEnd w:id="1090"/>
    </w:p>
    <w:p>
      <w:pPr>
        <w:pStyle w:val="Normal"/>
        <w:spacing w:line="360" w:lineRule="auto"/>
        <w:jc w:val="left"/>
        <w:ind w:left="720" w:hanging="720"/>
      </w:pPr>
      <w:bookmarkStart w:id="1091" w:name="bib_ref_7"/>
      <w:r>
        <w:t xml:space="preserve">[7] M. Tan, R. Pang, and Q. V. Le, “EfficientDet: Scalable and Efficient Object Detection,” in 2020 IEEE/CVF Conference on Computer Vision and Pattern Recognition (CVPR), Jun. 2020, pp. 10781–10790. doi: </w:t>
      </w:r>
      <w:hyperlink r:id="rIdBib8" w:history="1">
        <w:r>
          <w:t xml:space="preserve">10.1109/CVPR42600.2020.01079</w:t>
        </w:r>
      </w:hyperlink>
      <w:r>
        <w:t xml:space="preserve">.</w:t>
      </w:r>
      <w:bookmarkEnd w:id="1091"/>
    </w:p>
    <w:p>
      <w:pPr>
        <w:pStyle w:val="Normal"/>
        <w:spacing w:line="360" w:lineRule="auto"/>
        <w:jc w:val="left"/>
        <w:ind w:left="720" w:hanging="720"/>
      </w:pPr>
      <w:bookmarkStart w:id="1092" w:name="bib_ref_8"/>
      <w:r>
        <w:t xml:space="preserve">[8] S. S. More, N. Patil, V. B. Lobo, N. Shet, D. Goswami, and P. Rane, “Empowering the Visually Impaired: YOLOv8-based Object Detection in Android Applications,” Procedia Computer Science, vol. 252, pp. 457–469, 2025. doi: </w:t>
      </w:r>
      <w:hyperlink r:id="rIdBib9" w:history="1">
        <w:r>
          <w:t xml:space="preserve">10.1016/j.procs.2025.01.054</w:t>
        </w:r>
      </w:hyperlink>
      <w:r>
        <w:t xml:space="preserve">.</w:t>
      </w:r>
      <w:bookmarkEnd w:id="1092"/>
    </w:p>
    <w:p>
      <w:pPr>
        <w:pStyle w:val="Normal"/>
        <w:spacing w:line="360" w:lineRule="auto"/>
        <w:jc w:val="left"/>
        <w:ind w:left="720" w:hanging="720"/>
      </w:pPr>
      <w:bookmarkStart w:id="1093" w:name="bib_ref_9"/>
      <w:r>
        <w:t xml:space="preserve">[9] Universidad del Magdalena, “Plan de Desarrollo UNIMAGDALENA Comprometida 2020–2030,” Santa Marta, Colombia, 2020.</w:t>
      </w:r>
      <w:bookmarkEnd w:id="1093"/>
    </w:p>
    <w:p>
      <w:pPr>
        <w:pStyle w:val="Normal"/>
        <w:spacing w:line="360" w:lineRule="auto"/>
        <w:jc w:val="left"/>
        <w:ind w:left="720" w:hanging="720"/>
      </w:pPr>
      <w:bookmarkStart w:id="1094" w:name="bib_ref_10"/>
      <w:r>
        <w:t xml:space="preserve">[10] Universidad del Magdalena, “Plan de Gobierno Rectoral 2024–2028,” Santa Marta, Colombia, 2024.</w:t>
      </w:r>
      <w:bookmarkEnd w:id="1094"/>
    </w:p>
    <w:p>
      <w:pPr>
        <w:pStyle w:val="Normal"/>
        <w:spacing w:line="360" w:lineRule="auto"/>
        <w:jc w:val="left"/>
        <w:ind w:left="720" w:hanging="720"/>
      </w:pPr>
      <w:bookmarkStart w:id="1095" w:name="bib_ref_11"/>
      <w:r>
        <w:t xml:space="preserve">[11] R. Meenakshi, R. Ponnusamy, S. Alghamdi, O. I. Khalaf, and Y. Alotaibi, “Development of Mobile App to Support the Mobility of Visually Impaired People,” Computers, Materials &amp; Continua, vol. 73, no. 2, pp. 3473–3495, 2022. doi: </w:t>
      </w:r>
      <w:hyperlink r:id="rIdBib10" w:history="1">
        <w:r>
          <w:t xml:space="preserve">10.32604/cmc.2022.028540</w:t>
        </w:r>
      </w:hyperlink>
      <w:r>
        <w:t xml:space="preserve">.</w:t>
      </w:r>
      <w:bookmarkEnd w:id="1095"/>
    </w:p>
    <w:p>
      <w:pPr>
        <w:pStyle w:val="Normal"/>
        <w:spacing w:line="360" w:lineRule="auto"/>
        <w:jc w:val="left"/>
        <w:ind w:left="720" w:hanging="720"/>
      </w:pPr>
      <w:bookmarkStart w:id="1096" w:name="bib_ref_12"/>
      <w:r>
        <w:t xml:space="preserve">[12] K. Guravaiah, Y. S. Bhavadeesha, P. Shwejana, A. H. Vardhan, and L. Saa, “Third Eye: Object Recognition and Speech Generation for Visually Impaired,” Procedia Computer Science, vol. 218, pp. 1144–1155, 2023. doi: </w:t>
      </w:r>
      <w:hyperlink r:id="rIdBib11" w:history="1">
        <w:r>
          <w:t xml:space="preserve">10.1016/j.procs.2023.01.093</w:t>
        </w:r>
      </w:hyperlink>
      <w:r>
        <w:t xml:space="preserve">.</w:t>
      </w:r>
      <w:bookmarkEnd w:id="1096"/>
    </w:p>
    <w:p>
      <w:pPr>
        <w:pStyle w:val="Normal"/>
        <w:spacing w:line="360" w:lineRule="auto"/>
        <w:jc w:val="left"/>
        <w:ind w:left="720" w:hanging="720"/>
      </w:pPr>
      <w:bookmarkStart w:id="1097" w:name="bib_ref_13"/>
      <w:r>
        <w:t xml:space="preserve">[13] T.-Y. Lin et al., “Microsoft COCO: Common Objects in Context,” in Computer Vision – ECCV 2014, Cham: Springer International Publishing, 2014, pp. 740–755. doi: </w:t>
      </w:r>
      <w:hyperlink r:id="rIdBib12" w:history="1">
        <w:r>
          <w:t xml:space="preserve">10.1007/978-3-319-10602-1_48</w:t>
        </w:r>
      </w:hyperlink>
      <w:r>
        <w:t xml:space="preserve">.</w:t>
      </w:r>
      <w:bookmarkEnd w:id="1097"/>
    </w:p>
    <w:p>
      <w:pPr>
        <w:pStyle w:val="Normal"/>
        <w:spacing w:line="360" w:lineRule="auto"/>
        <w:jc w:val="left"/>
        <w:ind w:left="720" w:hanging="720"/>
      </w:pPr>
      <w:bookmarkStart w:id="1098" w:name="bib_ref_14"/>
      <w:r>
        <w:t xml:space="preserve">[14] D. R. Pawar, “Deep Learning-Driven Assistive Technology for Blind Users: Real-Time Object Detection and Speech Feedback on Android,” 2025.</w:t>
      </w:r>
      <w:bookmarkEnd w:id="1098"/>
    </w:p>
    <w:p>
      <w:pPr>
        <w:pStyle w:val="Normal"/>
        <w:spacing w:line="360" w:lineRule="auto"/>
        <w:jc w:val="left"/>
        <w:ind w:left="720" w:hanging="720"/>
      </w:pPr>
      <w:bookmarkStart w:id="1099" w:name="bib_ref_15"/>
      <w:r>
        <w:t xml:space="preserve">[15] J. Figura, R. Kuźmiczuk, and M. Badurowicz, “Analysis of object recognition systems using augmented reality glasses,” Journal of Computer Sciences Institute, vol. 34, pp. 8–13, 2025.</w:t>
      </w:r>
      <w:bookmarkEnd w:id="1099"/>
    </w:p>
    <w:p>
      <w:pPr>
        <w:pStyle w:val="Normal"/>
        <w:spacing w:line="360" w:lineRule="auto"/>
        <w:jc w:val="left"/>
        <w:ind w:left="720" w:hanging="720"/>
      </w:pPr>
      <w:bookmarkStart w:id="1100" w:name="bib_ref_16"/>
      <w:r>
        <w:t xml:space="preserve">[16] A. G. Howard, M. Zhu, B. Chen, D. Kalenichenko, W. Wang, T. Weyand, M. Andreetto, and H. Adam, “MobileNets: Efficient Convolutional Neural Networks for Mobile Vision Applications,” </w:t>
      </w:r>
      <w:hyperlink r:id="rIdBib13" w:history="1">
        <w:r>
          <w:t xml:space="preserve">arXiv:1704.04861</w:t>
        </w:r>
      </w:hyperlink>
      <w:r>
        <w:t xml:space="preserve">, 2017.</w:t>
      </w:r>
      <w:bookmarkEnd w:id="1100"/>
    </w:p>
    <w:p>
      <w:pPr>
        <w:pStyle w:val="Normal"/>
        <w:spacing w:line="360" w:lineRule="auto"/>
        <w:jc w:val="left"/>
        <w:ind w:left="720" w:hanging="720"/>
      </w:pPr>
      <w:bookmarkStart w:id="1101" w:name="bib_ref_17"/>
      <w:r>
        <w:t xml:space="preserve">[17] M. Sandler, A. Howard, M. Zhu, A. Zhmoginov, and L.-C. Chen, “MobileNetV2: Inverted Residuals and Linear Bottlenecks,” in 2018 IEEE/CVF Conference on Computer Vision and Pattern Recognition (CVPR), Jun. 2018, pp. 4510–4520. doi: </w:t>
      </w:r>
      <w:hyperlink r:id="rIdBib14" w:history="1">
        <w:r>
          <w:t xml:space="preserve">10.1109/CVPR.2018.00474</w:t>
        </w:r>
      </w:hyperlink>
      <w:r>
        <w:t xml:space="preserve">.</w:t>
      </w:r>
      <w:bookmarkEnd w:id="1101"/>
    </w:p>
    <w:p>
      <w:pPr>
        <w:pStyle w:val="Normal"/>
        <w:spacing w:line="360" w:lineRule="auto"/>
        <w:jc w:val="left"/>
        <w:ind w:left="720" w:hanging="720"/>
      </w:pPr>
      <w:bookmarkStart w:id="1102" w:name="bib_ref_18"/>
      <w:r>
        <w:t xml:space="preserve">[18] J. Dai, “Real-time and accurate object detection on edge device with TensorFlow Lite,” Journal of Physics: Conference Series, vol. 1651, no. 1, Art. no. 012114, 2020. doi: </w:t>
      </w:r>
      <w:hyperlink r:id="rIdBib15" w:history="1">
        <w:r>
          <w:t xml:space="preserve">10.1088/1742-6596/1651/1/012114</w:t>
        </w:r>
      </w:hyperlink>
      <w:r>
        <w:t xml:space="preserve">.</w:t>
      </w:r>
      <w:bookmarkEnd w:id="1102"/>
    </w:p>
    <w:p>
      <w:pPr>
        <w:pStyle w:val="Normal"/>
        <w:spacing w:line="360" w:lineRule="auto"/>
        <w:jc w:val="left"/>
        <w:ind w:left="720" w:hanging="720"/>
      </w:pPr>
      <w:bookmarkStart w:id="1103" w:name="bib_ref_19"/>
      <w:r>
        <w:t xml:space="preserve">[19] A. Magdy, M. S. Moustafa, H. M. Ebied, and M. F. Tolba, “Lightweight faster R-CNN for object detection in optical remote sensing images,” Scientific Reports, vol. 15, Art. no. 16163, 2025. doi: </w:t>
      </w:r>
      <w:hyperlink r:id="rIdBib16" w:history="1">
        <w:r>
          <w:t xml:space="preserve">10.1038/s41598-025-99242-y</w:t>
        </w:r>
      </w:hyperlink>
      <w:r>
        <w:t xml:space="preserve">.</w:t>
      </w:r>
      <w:bookmarkEnd w:id="1103"/>
    </w:p>
    <w:p>
      <w:pPr>
        <w:pStyle w:val="Normal"/>
        <w:spacing w:line="360" w:lineRule="auto"/>
        <w:jc w:val="left"/>
        <w:ind w:left="720" w:hanging="720"/>
      </w:pPr>
      <w:bookmarkStart w:id="1104" w:name="bib_ref_20"/>
      <w:r>
        <w:t xml:space="preserve">[20] A. Kuznetsova et al., “The Open Images Dataset V4: Unified image classification, object detection, and visual relationship detection at scale,” International Journal of Computer Vision, vol. 128, pp. 1956–1981, 2020. doi: </w:t>
      </w:r>
      <w:hyperlink r:id="rIdBib17" w:history="1">
        <w:r>
          <w:t xml:space="preserve">10.1007/s11263-020-01316-z</w:t>
        </w:r>
      </w:hyperlink>
      <w:r>
        <w:t xml:space="preserve">.</w:t>
      </w:r>
      <w:bookmarkEnd w:id="1104"/>
    </w:p>
    <w:p>
      <w:pPr>
        <w:pStyle w:val="Normal"/>
        <w:spacing w:line="360" w:lineRule="auto"/>
        <w:jc w:val="left"/>
        <w:ind w:left="720" w:hanging="720"/>
      </w:pPr>
      <w:bookmarkStart w:id="1105" w:name="bib_ref_21"/>
      <w:r>
        <w:t xml:space="preserve">[21] “ONNX Runtime,” ONNX Runtime. [Online]. Available: </w:t>
      </w:r>
      <w:hyperlink r:id="rIdBib18" w:history="1">
        <w:r>
          <w:t xml:space="preserve">https://onnxruntime.ai/docs/</w:t>
        </w:r>
      </w:hyperlink>
      <w:r>
        <w:t xml:space="preserve">.</w:t>
      </w:r>
      <w:bookmarkEnd w:id="1105"/>
    </w:p>
    <w:p>
      <w:pPr>
        <w:pStyle w:val="Normal"/>
        <w:spacing w:line="360" w:lineRule="auto"/>
        <w:jc w:val="left"/>
        <w:ind w:left="720" w:hanging="720"/>
      </w:pPr>
      <w:bookmarkStart w:id="1106" w:name="bib_ref_22"/>
      <w:r>
        <w:t xml:space="preserve">[22] “ExecuTorch Documentation,” PyTorch. [Online]. Available: </w:t>
      </w:r>
      <w:hyperlink r:id="rIdBib19" w:history="1">
        <w:r>
          <w:t xml:space="preserve">https://pytorch.org/executorch/stable/</w:t>
        </w:r>
      </w:hyperlink>
      <w:r>
        <w:t xml:space="preserve">.</w:t>
      </w:r>
      <w:bookmarkEnd w:id="1106"/>
    </w:p>
    <w:p>
      <w:pPr>
        <w:pStyle w:val="Normal"/>
        <w:spacing w:line="360" w:lineRule="auto"/>
        <w:jc w:val="left"/>
        <w:ind w:left="720" w:hanging="720"/>
      </w:pPr>
      <w:bookmarkStart w:id="1107" w:name="bib_ref_23"/>
      <w:r>
        <w:t xml:space="preserve">[23] N. Carion, F. Massa, G. Synnaeve, N. Usunier, A. Kirillov, and S. Zagoruyko, “End-to-End Object Detection with Transformers,” in Computer Vision – ECCV 2020, Cham: Springer International Publishing, 2020, pp. 213–229. doi: </w:t>
      </w:r>
      <w:hyperlink r:id="rIdBib20" w:history="1">
        <w:r>
          <w:t xml:space="preserve">10.1007/978-3-030-58452-8_13</w:t>
        </w:r>
      </w:hyperlink>
      <w:r>
        <w:t xml:space="preserve">.</w:t>
      </w:r>
      <w:bookmarkEnd w:id="1107"/>
    </w:p>
    <w:p>
      <w:pPr>
        <w:pStyle w:val="Normal"/>
        <w:spacing w:line="360" w:lineRule="auto"/>
        <w:jc w:val="left"/>
        <w:ind w:left="720" w:hanging="720"/>
      </w:pPr>
      <w:bookmarkStart w:id="1108" w:name="bib_ref_24"/>
      <w:r>
        <w:t xml:space="preserve">[24] Google, “Benchmark CompiledModel API,” Google AI Edge. [Online]. Available: </w:t>
      </w:r>
      <w:hyperlink r:id="rIdBib21" w:history="1">
        <w:r>
          <w:t xml:space="preserve">https://developers.google.com/edge/litert/next/benchmark</w:t>
        </w:r>
      </w:hyperlink>
      <w:r>
        <w:t xml:space="preserve">.</w:t>
      </w:r>
      <w:bookmarkEnd w:id="1108"/>
    </w:p>
    <w:p>
      <w:pPr>
        <w:pStyle w:val="Normal"/>
        <w:spacing w:line="360" w:lineRule="auto"/>
        <w:jc w:val="left"/>
        <w:ind w:left="720" w:hanging="720"/>
      </w:pPr>
      <w:bookmarkStart w:id="1109" w:name="bib_ref_25"/>
      <w:r>
        <w:t xml:space="preserve">[25] Android Developers, “Android Debug Bridge (adb),” Android Studio. [Online]. Available: </w:t>
      </w:r>
      <w:hyperlink r:id="rIdBib22" w:history="1">
        <w:r>
          <w:t xml:space="preserve">https://developer.android.com/tools/adb</w:t>
        </w:r>
      </w:hyperlink>
      <w:r>
        <w:t xml:space="preserve">.</w:t>
      </w:r>
      <w:bookmarkEnd w:id="1109"/>
    </w:p>
    <w:p>
      <w:pPr>
        <w:pStyle w:val="Normal"/>
        <w:spacing w:line="360" w:lineRule="auto"/>
        <w:jc w:val="left"/>
        <w:ind w:left="720" w:hanging="720"/>
      </w:pPr>
      <w:bookmarkStart w:id="1110" w:name="bib_ref_26"/>
      <w:r>
        <w:t xml:space="preserve">[26] Google, “GPU acceleration delegate with Interpreter API,” Google AI Edge. [Online]. Available: </w:t>
      </w:r>
      <w:hyperlink r:id="rIdBib23" w:history="1">
        <w:r>
          <w:t xml:space="preserve">https://developers.google.com/edge/litert/android/gpu</w:t>
        </w:r>
      </w:hyperlink>
      <w:r>
        <w:t xml:space="preserve">.</w:t>
      </w:r>
      <w:bookmarkEnd w:id="1110"/>
    </w:p>
    <w:p>
      <w:pPr>
        <w:pStyle w:val="Normal"/>
        <w:spacing w:line="360" w:lineRule="auto"/>
        <w:jc w:val="left"/>
        <w:ind w:left="720" w:hanging="720"/>
      </w:pPr>
      <w:bookmarkStart w:id="1111" w:name="bib_ref_27"/>
      <w:r>
        <w:t xml:space="preserve">[27] Roboflow, “Roboflow: Computer vision tools for developers and enterprises.” [Online]. Available: </w:t>
      </w:r>
      <w:hyperlink r:id="rIdBib24" w:history="1">
        <w:r>
          <w:t xml:space="preserve">https://roboflow.com/</w:t>
        </w:r>
      </w:hyperlink>
      <w:r>
        <w:t xml:space="preserve">.</w:t>
      </w:r>
      <w:bookmarkEnd w:id="1111"/>
    </w:p>
    <w:p>
      <w:pPr>
        <w:pStyle w:val="Normal"/>
        <w:spacing w:line="360" w:lineRule="auto"/>
        <w:jc w:val="left"/>
        <w:ind w:left="720" w:hanging="720"/>
      </w:pPr>
      <w:bookmarkStart w:id="1112" w:name="bib_ref_28"/>
      <w:r>
        <w:t xml:space="preserve">[28] Khronos Group, “OpenCL – The Open Standard for Parallel Programming of Heterogeneous Systems.” [Online]. Available: </w:t>
      </w:r>
      <w:hyperlink r:id="rIdBib25" w:history="1">
        <w:r>
          <w:t xml:space="preserve">https://www.khronos.org/opencl/</w:t>
        </w:r>
      </w:hyperlink>
      <w:r>
        <w:t xml:space="preserve">.</w:t>
      </w:r>
      <w:bookmarkEnd w:id="1112"/>
    </w:p>
    <w:p>
      <w:pPr>
        <w:pStyle w:val="Normal"/>
        <w:spacing w:line="360" w:lineRule="auto"/>
        <w:jc w:val="left"/>
        <w:ind w:left="720" w:hanging="720"/>
      </w:pPr>
      <w:bookmarkStart w:id="1113" w:name="bib_ref_29"/>
      <w:r>
        <w:t xml:space="preserve">[29] Google, “CameraX,” Android Developers. [Online]. Available: </w:t>
      </w:r>
      <w:hyperlink r:id="rIdBib26" w:history="1">
        <w:r>
          <w:t xml:space="preserve">https://developer.android.com/media/camera/camerax</w:t>
        </w:r>
      </w:hyperlink>
      <w:r>
        <w:t xml:space="preserve">.</w:t>
      </w:r>
      <w:bookmarkEnd w:id="1113"/>
    </w:p>
    <w:p>
      <w:pPr>
        <w:pStyle w:val="Normal"/>
        <w:spacing w:line="360" w:lineRule="auto"/>
        <w:jc w:val="left"/>
        <w:ind w:left="720" w:hanging="720"/>
      </w:pPr>
      <w:bookmarkStart w:id="1114" w:name="bib_ref_30"/>
      <w:r>
        <w:t xml:space="preserve">[30] Google, “TextToSpeech,” Android Developers. [Online]. Available: </w:t>
      </w:r>
      <w:hyperlink r:id="rIdBib27" w:history="1">
        <w:r>
          <w:t xml:space="preserve">https://developer.android.com/reference/android/speech/tts/TextToSpeech</w:t>
        </w:r>
      </w:hyperlink>
      <w:r>
        <w:t xml:space="preserve">.</w:t>
      </w:r>
      <w:bookmarkEnd w:id="1114"/>
    </w:p>
    <w:p>
      <w:pPr>
        <w:jc w:val="left"/>
      </w:pPr>
      <w:bookmarkStart w:id="1115" w:name="bib_ref_31"/>
      <w:r>
        <w:t xml:space="preserve">[31] k2-fsa, “Text-to-speech,” sherpa-onnx documentation. [Online]. Available: </w:t>
      </w:r>
      <w:hyperlink r:id="rIdBib28" w:history="1">
        <w:r>
          <w:t xml:space="preserve">https://k2-fsa.github.io/sherpa/onnx/tts/index.html</w:t>
        </w:r>
      </w:hyperlink>
      <w:r>
        <w:t xml:space="preserve">. Consultado: 14 oct. 2026.</w:t>
      </w:r>
      <w:bookmarkEnd w:id="1115"/>
    </w:p>
    <w:p>
      <w:pPr>
        <w:jc w:val="left"/>
      </w:pPr>
      <w:bookmarkStart w:id="1116" w:name="bib_ref_32"/>
      <w:r>
        <w:t xml:space="preserve">[32] Google, “LiteRT for Android,” Google AI Edge. [Online]. Available: </w:t>
      </w:r>
      <w:hyperlink r:id="rIdBib29" w:history="1">
        <w:r>
          <w:t xml:space="preserve">https://developers.google.com/edge/litert/android</w:t>
        </w:r>
      </w:hyperlink>
      <w:r>
        <w:t xml:space="preserve">. Consultado: 14 oct. 2026.</w:t>
      </w:r>
      <w:bookmarkEnd w:id="1116"/>
    </w:p>
    <w:p>
      <w:pPr>
        <w:jc w:val="left"/>
      </w:pPr>
      <w:bookmarkStart w:id="1117" w:name="bib_ref_33"/>
      <w:r>
        <w:t xml:space="preserve">[33] D. Cerda, “AssistiveVision,” código fuente, revisión 85c852ddcb543bce1bd69ad0db307f895d597881. [Online]. Available: </w:t>
      </w:r>
      <w:hyperlink r:id="rIdBib30" w:history="1">
        <w:r>
          <w:t xml:space="preserve">https://github.com/diomedescerda/AssistiveVision</w:t>
        </w:r>
      </w:hyperlink>
      <w:r>
        <w:t xml:space="preserve">.</w:t>
      </w:r>
      <w:bookmarkEnd w:id="1117"/>
    </w:p>
    <w:p>
      <w:pPr>
        <w:jc w:val="left"/>
      </w:pPr>
      <w:bookmarkStart w:id="1118" w:name="bib_ref_34"/>
      <w:r>
        <w:t>[34]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bookmarkEnd w:id="1118"/>
    </w:p>
    <w:p>
      <w:pPr>
        <w:jc w:val="left"/>
      </w:pPr>
      <w:bookmarkStart w:id="1119" w:name="bib_ref_35"/>
      <w:r>
        <w:t xml:space="preserve">[35] Pillow contributors, “ImageStat module,” Pillow documentation. [Online]. Available: </w:t>
      </w:r>
      <w:hyperlink r:id="rIdBib31" w:history="1">
        <w:r>
          <w:t xml:space="preserve">https://pillow.readthedocs.io/en/stable/reference/ImageStat.html</w:t>
        </w:r>
      </w:hyperlink>
      <w:r>
        <w:t xml:space="preserve">. El análisis utiliza conversión RGB a L y media de píxeles.</w:t>
      </w:r>
      <w:bookmarkEnd w:id="1119"/>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 Id="rIdBib1" Type="http://schemas.openxmlformats.org/officeDocument/2006/relationships/hyperlink" Target="https://dl.acm.org/doi/book/10.5555/1941882" TargetMode="External"/><Relationship Id="rIdBib2" Type="http://schemas.openxmlformats.org/officeDocument/2006/relationships/hyperlink" Target="https://www.who.int/publications-detail/world-report-on-vision" TargetMode="External"/><Relationship Id="rIdBib3" Type="http://schemas.openxmlformats.org/officeDocument/2006/relationships/hyperlink" Target="https://www.tensorflow.org/lite/guide" TargetMode="External"/><Relationship Id="rIdBib4" Type="http://schemas.openxmlformats.org/officeDocument/2006/relationships/hyperlink" Target="https://arxiv.org/abs/1506.01497" TargetMode="External"/><Relationship Id="rIdBib5" Type="http://schemas.openxmlformats.org/officeDocument/2006/relationships/hyperlink" Target="https://doi.org/10.48550/arXiv.1506.01497" TargetMode="External"/><Relationship Id="rIdBib6" Type="http://schemas.openxmlformats.org/officeDocument/2006/relationships/hyperlink" Target="https://doi.org/10.1109/CVPR.2016.91" TargetMode="External"/><Relationship Id="rIdBib7" Type="http://schemas.openxmlformats.org/officeDocument/2006/relationships/hyperlink" Target="https://doi.org/10.1007/978-3-319-46448-0_2" TargetMode="External"/><Relationship Id="rIdBib8" Type="http://schemas.openxmlformats.org/officeDocument/2006/relationships/hyperlink" Target="https://doi.org/10.1109/CVPR42600.2020.01079" TargetMode="External"/><Relationship Id="rIdBib9" Type="http://schemas.openxmlformats.org/officeDocument/2006/relationships/hyperlink" Target="https://doi.org/10.1016/j.procs.2025.01.054" TargetMode="External"/><Relationship Id="rIdBib10" Type="http://schemas.openxmlformats.org/officeDocument/2006/relationships/hyperlink" Target="https://doi.org/10.32604/cmc.2022.028540" TargetMode="External"/><Relationship Id="rIdBib11" Type="http://schemas.openxmlformats.org/officeDocument/2006/relationships/hyperlink" Target="https://doi.org/10.1016/j.procs.2023.01.093" TargetMode="External"/><Relationship Id="rIdBib12" Type="http://schemas.openxmlformats.org/officeDocument/2006/relationships/hyperlink" Target="https://doi.org/10.1007/978-3-319-10602-1_48" TargetMode="External"/><Relationship Id="rIdBib13" Type="http://schemas.openxmlformats.org/officeDocument/2006/relationships/hyperlink" Target="https://arxiv.org/abs/1704.04861" TargetMode="External"/><Relationship Id="rIdBib14" Type="http://schemas.openxmlformats.org/officeDocument/2006/relationships/hyperlink" Target="https://doi.org/10.1109/CVPR.2018.00474" TargetMode="External"/><Relationship Id="rIdBib15" Type="http://schemas.openxmlformats.org/officeDocument/2006/relationships/hyperlink" Target="https://doi.org/10.1088/1742-6596/1651/1/012114" TargetMode="External"/><Relationship Id="rIdBib16" Type="http://schemas.openxmlformats.org/officeDocument/2006/relationships/hyperlink" Target="https://doi.org/10.1038/s41598-025-99242-y" TargetMode="External"/><Relationship Id="rIdBib17" Type="http://schemas.openxmlformats.org/officeDocument/2006/relationships/hyperlink" Target="https://doi.org/10.1007/s11263-020-01316-z" TargetMode="External"/><Relationship Id="rIdBib18" Type="http://schemas.openxmlformats.org/officeDocument/2006/relationships/hyperlink" Target="https://onnxruntime.ai/docs/" TargetMode="External"/><Relationship Id="rIdBib19" Type="http://schemas.openxmlformats.org/officeDocument/2006/relationships/hyperlink" Target="https://pytorch.org/executorch/stable/" TargetMode="External"/><Relationship Id="rIdBib20" Type="http://schemas.openxmlformats.org/officeDocument/2006/relationships/hyperlink" Target="https://doi.org/10.1007/978-3-030-58452-8_13" TargetMode="External"/><Relationship Id="rIdBib21" Type="http://schemas.openxmlformats.org/officeDocument/2006/relationships/hyperlink" Target="https://developers.google.com/edge/litert/next/benchmark" TargetMode="External"/><Relationship Id="rIdBib22" Type="http://schemas.openxmlformats.org/officeDocument/2006/relationships/hyperlink" Target="https://developer.android.com/tools/adb" TargetMode="External"/><Relationship Id="rIdBib23" Type="http://schemas.openxmlformats.org/officeDocument/2006/relationships/hyperlink" Target="https://developers.google.com/edge/litert/android/gpu" TargetMode="External"/><Relationship Id="rIdBib24" Type="http://schemas.openxmlformats.org/officeDocument/2006/relationships/hyperlink" Target="https://roboflow.com/" TargetMode="External"/><Relationship Id="rIdBib25" Type="http://schemas.openxmlformats.org/officeDocument/2006/relationships/hyperlink" Target="https://www.khronos.org/opencl/" TargetMode="External"/><Relationship Id="rIdBib26" Type="http://schemas.openxmlformats.org/officeDocument/2006/relationships/hyperlink" Target="https://developer.android.com/media/camera/camerax" TargetMode="External"/><Relationship Id="rIdBib27" Type="http://schemas.openxmlformats.org/officeDocument/2006/relationships/hyperlink" Target="https://developer.android.com/reference/android/speech/tts/TextToSpeech" TargetMode="External"/><Relationship Id="rIdBib28" Type="http://schemas.openxmlformats.org/officeDocument/2006/relationships/hyperlink" Target="https://k2-fsa.github.io/sherpa/onnx/tts/index.html" TargetMode="External"/><Relationship Id="rIdBib29" Type="http://schemas.openxmlformats.org/officeDocument/2006/relationships/hyperlink" Target="https://developers.google.com/edge/litert/android" TargetMode="External"/><Relationship Id="rIdBib30" Type="http://schemas.openxmlformats.org/officeDocument/2006/relationships/hyperlink" Target="https://github.com/diomedescerda/AssistiveVision" TargetMode="External"/><Relationship Id="rIdBib31" Type="http://schemas.openxmlformats.org/officeDocument/2006/relationships/hyperlink" Target="https://pillow.readthedocs.io/en/stable/reference/ImageSta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