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Compatibility Probe</w:t>
      </w:r>
    </w:p>
    <w:p>
      <w:pPr>
        <w:pStyle w:val="Heading1"/>
      </w:pPr>
      <w:r>
        <w:t>Heading 1 sample</w:t>
      </w:r>
    </w:p>
    <w:p>
      <w:r>
        <w:t xml:space="preserve">Plain text with </w:t>
      </w:r>
      <w:r>
        <w:rPr>
          <w:b/>
        </w:rPr>
        <w:t>bold</w:t>
      </w:r>
      <w:r>
        <w:t xml:space="preserve">, </w:t>
      </w:r>
      <w:r>
        <w:rPr>
          <w:i/>
        </w:rPr>
        <w:t>italic</w:t>
      </w:r>
      <w:r>
        <w:t xml:space="preserve"> and </w:t>
      </w:r>
      <w:r>
        <w:rPr>
          <w:color w:val="C00000"/>
        </w:rPr>
        <w:t>colored</w:t>
      </w:r>
      <w:r>
        <w:t xml:space="preserve"> and </w:t>
      </w:r>
      <w:r>
        <w:rPr>
          <w:highlight w:val="yellow"/>
        </w:rPr>
        <w:t>highlighted</w:t>
      </w:r>
    </w:p>
    <w:p>
      <w:pPr>
        <w:pStyle w:val="IntenseQuote"/>
        <w:jc w:val="center"/>
      </w:pPr>
      <w:r>
        <w:t>Centered paragraph</w:t>
      </w:r>
    </w:p>
    <w:p>
      <w:pPr>
        <w:pStyle w:val="ListBullet"/>
      </w:pPr>
      <w:r>
        <w:t>Bullet one</w:t>
      </w:r>
    </w:p>
    <w:p>
      <w:pPr>
        <w:pStyle w:val="ListBullet"/>
      </w:pPr>
      <w:r>
        <w:t>Bullet two</w:t>
      </w:r>
    </w:p>
    <w:p>
      <w:pPr>
        <w:pStyle w:val="ListNumber"/>
      </w:pPr>
      <w:r>
        <w:t>Numbered one</w:t>
      </w:r>
    </w:p>
    <w:p>
      <w:pPr>
        <w:pStyle w:val="ListNumber"/>
      </w:pPr>
      <w:r>
        <w:t>Numbered two</w:t>
      </w:r>
    </w:p>
    <w:p>
      <w:r>
        <w:drawing>
          <wp:inline xmlns:a="http://schemas.openxmlformats.org/drawingml/2006/main" xmlns:pic="http://schemas.openxmlformats.org/drawingml/2006/picture">
            <wp:extent cx="720000" cy="7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72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cell 0,0</w:t>
            </w:r>
          </w:p>
        </w:tc>
        <w:tc>
          <w:tcPr>
            <w:tcW w:type="dxa" w:w="2880"/>
          </w:tcPr>
          <w:p>
            <w:r>
              <w:t>cell 0,1</w:t>
            </w:r>
          </w:p>
        </w:tc>
        <w:tc>
          <w:tcPr>
            <w:tcW w:type="dxa" w:w="2880"/>
          </w:tcPr>
          <w:p>
            <w:r>
              <w:t>cell 0,2</w:t>
            </w:r>
          </w:p>
        </w:tc>
      </w:tr>
      <w:tr>
        <w:tc>
          <w:tcPr>
            <w:tcW w:type="dxa" w:w="2880"/>
          </w:tcPr>
          <w:p>
            <w:r>
              <w:t>cell 1,0</w:t>
            </w:r>
          </w:p>
        </w:tc>
        <w:tc>
          <w:tcPr>
            <w:tcW w:type="dxa" w:w="2880"/>
          </w:tcPr>
          <w:p>
            <w:r>
              <w:t>cell 1,1</w:t>
            </w:r>
          </w:p>
        </w:tc>
        <w:tc>
          <w:tcPr>
            <w:tcW w:type="dxa" w:w="2880"/>
          </w:tcPr>
          <w:p>
            <w:r>
              <w:t>cell 1,2</w:t>
            </w:r>
          </w:p>
        </w:tc>
      </w:tr>
      <w:tr>
        <w:tc>
          <w:tcPr>
            <w:tcW w:type="dxa" w:w="8640"/>
            <w:gridSpan w:val="3"/>
          </w:tcPr>
          <w:p>
            <w:r>
              <w:t>merged row</w:t>
            </w:r>
          </w:p>
        </w:tc>
      </w:tr>
    </w:tbl>
    <w:p>
      <w:pPr>
        <w:sectPr>
          <w:headerReference w:type="default" r:id="rId10"/>
          <w:footerReference w:type="default" r:id="rId11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>Landscape section text</w:t>
      </w:r>
    </w:p>
    <w:p>
      <w:r>
        <w:br w:type="page"/>
      </w:r>
    </w:p>
    <w:p>
      <w:r>
        <w:t>After page break</w:t>
      </w:r>
    </w:p>
    <w:sectPr w:rsidR="00FC693F" w:rsidRPr="0006063C" w:rsidSect="00034616">
      <w:pgSz w:w="16838" w:h="11906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Word footer text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Word header text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