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5EA2" w14:textId="196220EE" w:rsidR="00EB4F80" w:rsidRDefault="00EB4F80"/>
    <w:p w14:paraId="64960727" w14:textId="6A9D5051" w:rsidR="00EB4F80" w:rsidRDefault="00EB4F80"/>
    <w:p w14:paraId="3603598E" w14:textId="4D2A2DBA" w:rsidR="007F70C3" w:rsidRDefault="007F70C3"/>
    <w:p w14:paraId="7BB40FF9" w14:textId="45D5B6EC" w:rsidR="007F70C3" w:rsidRDefault="007F70C3"/>
    <w:p w14:paraId="10605C7A" w14:textId="77777777" w:rsidR="00E5652E" w:rsidRPr="00BF2110" w:rsidRDefault="00E5652E" w:rsidP="00E5652E">
      <w:pPr>
        <w:pBdr>
          <w:bottom w:val="single" w:sz="4" w:space="1" w:color="auto"/>
        </w:pBdr>
        <w:jc w:val="center"/>
        <w:rPr>
          <w:rFonts w:ascii="Century Gothic" w:hAnsi="Century Gothic"/>
          <w:b/>
          <w:bCs/>
          <w:sz w:val="72"/>
          <w:szCs w:val="72"/>
          <w:lang w:val="en-US"/>
        </w:rPr>
      </w:pPr>
      <w:r>
        <w:rPr>
          <w:rFonts w:ascii="Century Gothic" w:hAnsi="Century Gothic"/>
          <w:b/>
          <w:bCs/>
          <w:noProof/>
          <w:sz w:val="72"/>
          <w:szCs w:val="72"/>
          <w:lang w:val="fr-FR" w:eastAsia="fr-FR"/>
        </w:rPr>
        <w:drawing>
          <wp:inline distT="0" distB="0" distL="0" distR="0" wp14:anchorId="5BC87A74" wp14:editId="350E8E94">
            <wp:extent cx="3695484" cy="2946400"/>
            <wp:effectExtent l="0" t="0" r="635"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95484" cy="2946400"/>
                    </a:xfrm>
                    <a:prstGeom prst="rect">
                      <a:avLst/>
                    </a:prstGeom>
                    <a:noFill/>
                  </pic:spPr>
                </pic:pic>
              </a:graphicData>
            </a:graphic>
          </wp:inline>
        </w:drawing>
      </w:r>
    </w:p>
    <w:p w14:paraId="0CCED70C" w14:textId="77777777" w:rsidR="00E5652E" w:rsidRDefault="00E5652E">
      <w:pPr>
        <w:rPr>
          <w:rFonts w:ascii="Candara" w:eastAsia="Times New Roman" w:hAnsi="Candara" w:cs="Calibri"/>
          <w:b/>
          <w:bCs/>
          <w:color w:val="000000"/>
          <w:sz w:val="28"/>
          <w:szCs w:val="28"/>
          <w:lang w:eastAsia="fr-CA"/>
        </w:rPr>
      </w:pPr>
      <w:r>
        <w:rPr>
          <w:rFonts w:ascii="Candara" w:eastAsia="Times New Roman" w:hAnsi="Candara" w:cs="Calibri"/>
          <w:b/>
          <w:bCs/>
          <w:color w:val="000000"/>
          <w:sz w:val="28"/>
          <w:szCs w:val="28"/>
          <w:lang w:eastAsia="fr-CA"/>
        </w:rPr>
        <w:t xml:space="preserve">            </w:t>
      </w:r>
    </w:p>
    <w:p w14:paraId="3716C24C" w14:textId="12C2A114" w:rsidR="00E5652E" w:rsidRPr="00DF5A0D" w:rsidRDefault="00A46A6E" w:rsidP="00DF5A0D">
      <w:pPr>
        <w:jc w:val="center"/>
        <w:rPr>
          <w:rFonts w:ascii="Arial" w:eastAsia="Times New Roman" w:hAnsi="Arial" w:cs="Arial"/>
          <w:b/>
          <w:bCs/>
          <w:color w:val="4472C4" w:themeColor="accent1"/>
          <w:sz w:val="48"/>
          <w:szCs w:val="48"/>
          <w:lang w:eastAsia="fr-CA"/>
        </w:rPr>
      </w:pPr>
      <w:r w:rsidRPr="00DF5A0D">
        <w:rPr>
          <w:rFonts w:ascii="Arial" w:eastAsia="Times New Roman" w:hAnsi="Arial" w:cs="Arial"/>
          <w:b/>
          <w:bCs/>
          <w:color w:val="4472C4" w:themeColor="accent1"/>
          <w:sz w:val="48"/>
          <w:szCs w:val="48"/>
          <w:lang w:eastAsia="fr-CA"/>
        </w:rPr>
        <w:t>POINT 4</w:t>
      </w:r>
    </w:p>
    <w:p w14:paraId="56EBD334" w14:textId="1E32A100" w:rsidR="007F70C3" w:rsidRPr="00DF5A0D" w:rsidRDefault="00E5652E" w:rsidP="00DF5A0D">
      <w:pPr>
        <w:jc w:val="center"/>
        <w:rPr>
          <w:rFonts w:ascii="Arial" w:hAnsi="Arial" w:cs="Arial"/>
          <w:color w:val="4472C4" w:themeColor="accent1"/>
          <w:sz w:val="48"/>
          <w:szCs w:val="48"/>
        </w:rPr>
      </w:pPr>
      <w:r w:rsidRPr="00DF5A0D">
        <w:rPr>
          <w:rFonts w:ascii="Arial" w:eastAsia="Times New Roman" w:hAnsi="Arial" w:cs="Arial"/>
          <w:b/>
          <w:bCs/>
          <w:color w:val="4472C4" w:themeColor="accent1"/>
          <w:sz w:val="48"/>
          <w:szCs w:val="48"/>
          <w:lang w:eastAsia="fr-CA"/>
        </w:rPr>
        <w:t xml:space="preserve">POINT SUR LA MISE EN ŒUVRE DES </w:t>
      </w:r>
      <w:r w:rsidR="00DF5A0D" w:rsidRPr="00DF5A0D">
        <w:rPr>
          <w:rFonts w:ascii="Arial" w:eastAsia="Times New Roman" w:hAnsi="Arial" w:cs="Arial"/>
          <w:b/>
          <w:bCs/>
          <w:color w:val="4472C4" w:themeColor="accent1"/>
          <w:sz w:val="48"/>
          <w:szCs w:val="48"/>
          <w:lang w:eastAsia="fr-CA"/>
        </w:rPr>
        <w:t>RECOMMANDATIONS</w:t>
      </w:r>
      <w:r w:rsidRPr="00DF5A0D">
        <w:rPr>
          <w:rFonts w:ascii="Arial" w:eastAsia="Times New Roman" w:hAnsi="Arial" w:cs="Arial"/>
          <w:b/>
          <w:bCs/>
          <w:color w:val="4472C4" w:themeColor="accent1"/>
          <w:sz w:val="48"/>
          <w:szCs w:val="48"/>
          <w:lang w:eastAsia="fr-CA"/>
        </w:rPr>
        <w:t xml:space="preserve"> DU 3</w:t>
      </w:r>
      <w:r w:rsidRPr="00DF5A0D">
        <w:rPr>
          <w:rFonts w:ascii="Arial" w:eastAsia="Times New Roman" w:hAnsi="Arial" w:cs="Arial"/>
          <w:b/>
          <w:bCs/>
          <w:color w:val="4472C4" w:themeColor="accent1"/>
          <w:sz w:val="48"/>
          <w:szCs w:val="48"/>
          <w:vertAlign w:val="superscript"/>
          <w:lang w:eastAsia="fr-CA"/>
        </w:rPr>
        <w:t xml:space="preserve">eme </w:t>
      </w:r>
      <w:r w:rsidRPr="00DF5A0D">
        <w:rPr>
          <w:rFonts w:ascii="Arial" w:eastAsia="Times New Roman" w:hAnsi="Arial" w:cs="Arial"/>
          <w:b/>
          <w:bCs/>
          <w:color w:val="4472C4" w:themeColor="accent1"/>
          <w:sz w:val="48"/>
          <w:szCs w:val="48"/>
          <w:lang w:eastAsia="fr-CA"/>
        </w:rPr>
        <w:t>CONSEIL D’ADMINISTRATION</w:t>
      </w:r>
    </w:p>
    <w:p w14:paraId="799A5660" w14:textId="77777777" w:rsidR="00EB4F80" w:rsidRDefault="00EB4F80"/>
    <w:tbl>
      <w:tblPr>
        <w:tblW w:w="13863" w:type="dxa"/>
        <w:jc w:val="center"/>
        <w:tblCellMar>
          <w:left w:w="70" w:type="dxa"/>
          <w:right w:w="70" w:type="dxa"/>
        </w:tblCellMar>
        <w:tblLook w:val="04A0" w:firstRow="1" w:lastRow="0" w:firstColumn="1" w:lastColumn="0" w:noHBand="0" w:noVBand="1"/>
      </w:tblPr>
      <w:tblGrid>
        <w:gridCol w:w="462"/>
        <w:gridCol w:w="5162"/>
        <w:gridCol w:w="2330"/>
        <w:gridCol w:w="1893"/>
        <w:gridCol w:w="1659"/>
        <w:gridCol w:w="2357"/>
      </w:tblGrid>
      <w:tr w:rsidR="00EB4F80" w:rsidRPr="00EB4F80" w14:paraId="260FE68D" w14:textId="77777777" w:rsidTr="00AF56FD">
        <w:trPr>
          <w:trHeight w:val="502"/>
          <w:jc w:val="center"/>
        </w:trPr>
        <w:tc>
          <w:tcPr>
            <w:tcW w:w="13863" w:type="dxa"/>
            <w:gridSpan w:val="6"/>
            <w:tcBorders>
              <w:top w:val="single" w:sz="8" w:space="0" w:color="auto"/>
              <w:left w:val="single" w:sz="8" w:space="0" w:color="auto"/>
              <w:bottom w:val="single" w:sz="4" w:space="0" w:color="auto"/>
              <w:right w:val="single" w:sz="8" w:space="0" w:color="000000"/>
            </w:tcBorders>
            <w:shd w:val="clear" w:color="auto" w:fill="auto"/>
            <w:vAlign w:val="bottom"/>
            <w:hideMark/>
          </w:tcPr>
          <w:p w14:paraId="01A15A3F" w14:textId="12872A0F" w:rsidR="00EB4F80" w:rsidRPr="00EB4F80" w:rsidRDefault="00EB4F80" w:rsidP="00EB4F80">
            <w:pPr>
              <w:jc w:val="center"/>
              <w:rPr>
                <w:rFonts w:ascii="Candara" w:eastAsia="Times New Roman" w:hAnsi="Candara" w:cs="Calibri"/>
                <w:b/>
                <w:bCs/>
                <w:color w:val="000000"/>
                <w:sz w:val="28"/>
                <w:szCs w:val="28"/>
                <w:lang w:eastAsia="fr-CA"/>
              </w:rPr>
            </w:pPr>
            <w:r>
              <w:rPr>
                <w:rFonts w:ascii="Candara" w:eastAsia="Times New Roman" w:hAnsi="Candara" w:cs="Calibri"/>
                <w:b/>
                <w:bCs/>
                <w:color w:val="000000"/>
                <w:sz w:val="28"/>
                <w:szCs w:val="28"/>
                <w:lang w:eastAsia="fr-CA"/>
              </w:rPr>
              <w:lastRenderedPageBreak/>
              <w:t xml:space="preserve">POINT SUR LA MISE EN </w:t>
            </w:r>
            <w:r w:rsidR="007F70C3">
              <w:rPr>
                <w:rFonts w:ascii="Candara" w:eastAsia="Times New Roman" w:hAnsi="Candara" w:cs="Calibri"/>
                <w:b/>
                <w:bCs/>
                <w:color w:val="000000"/>
                <w:sz w:val="28"/>
                <w:szCs w:val="28"/>
                <w:lang w:eastAsia="fr-CA"/>
              </w:rPr>
              <w:t>ŒUVRE DES RECOMMANDATIONS DU 3</w:t>
            </w:r>
            <w:r w:rsidR="007F70C3" w:rsidRPr="007F70C3">
              <w:rPr>
                <w:rFonts w:ascii="Candara" w:eastAsia="Times New Roman" w:hAnsi="Candara" w:cs="Calibri"/>
                <w:b/>
                <w:bCs/>
                <w:color w:val="000000"/>
                <w:sz w:val="28"/>
                <w:szCs w:val="28"/>
                <w:vertAlign w:val="superscript"/>
                <w:lang w:eastAsia="fr-CA"/>
              </w:rPr>
              <w:t>e</w:t>
            </w:r>
            <w:r w:rsidR="007F70C3">
              <w:rPr>
                <w:rFonts w:ascii="Candara" w:eastAsia="Times New Roman" w:hAnsi="Candara" w:cs="Calibri"/>
                <w:b/>
                <w:bCs/>
                <w:color w:val="000000"/>
                <w:sz w:val="28"/>
                <w:szCs w:val="28"/>
                <w:vertAlign w:val="superscript"/>
                <w:lang w:eastAsia="fr-CA"/>
              </w:rPr>
              <w:t xml:space="preserve">me </w:t>
            </w:r>
            <w:r w:rsidR="007F70C3">
              <w:rPr>
                <w:rFonts w:ascii="Candara" w:eastAsia="Times New Roman" w:hAnsi="Candara" w:cs="Calibri"/>
                <w:b/>
                <w:bCs/>
                <w:color w:val="000000"/>
                <w:sz w:val="28"/>
                <w:szCs w:val="28"/>
                <w:lang w:eastAsia="fr-CA"/>
              </w:rPr>
              <w:t>CONSEIL D’ADM</w:t>
            </w:r>
            <w:r w:rsidR="007F70C3" w:rsidRPr="007F70C3">
              <w:rPr>
                <w:rFonts w:ascii="Candara" w:eastAsia="Times New Roman" w:hAnsi="Candara" w:cs="Calibri"/>
                <w:b/>
                <w:bCs/>
                <w:color w:val="000000"/>
                <w:sz w:val="28"/>
                <w:szCs w:val="28"/>
                <w:lang w:eastAsia="fr-CA"/>
              </w:rPr>
              <w:t>INIS</w:t>
            </w:r>
            <w:r w:rsidR="007F70C3">
              <w:rPr>
                <w:rFonts w:ascii="Candara" w:eastAsia="Times New Roman" w:hAnsi="Candara" w:cs="Calibri"/>
                <w:b/>
                <w:bCs/>
                <w:color w:val="000000"/>
                <w:sz w:val="28"/>
                <w:szCs w:val="28"/>
                <w:lang w:eastAsia="fr-CA"/>
              </w:rPr>
              <w:t>TRATION</w:t>
            </w:r>
          </w:p>
        </w:tc>
      </w:tr>
      <w:tr w:rsidR="00EB4F80" w:rsidRPr="00EB4F80" w14:paraId="31C4A6FE" w14:textId="77777777" w:rsidTr="00AF56FD">
        <w:trPr>
          <w:trHeight w:val="502"/>
          <w:jc w:val="center"/>
        </w:trPr>
        <w:tc>
          <w:tcPr>
            <w:tcW w:w="462" w:type="dxa"/>
            <w:tcBorders>
              <w:top w:val="nil"/>
              <w:left w:val="single" w:sz="8" w:space="0" w:color="auto"/>
              <w:bottom w:val="nil"/>
              <w:right w:val="nil"/>
            </w:tcBorders>
            <w:shd w:val="clear" w:color="auto" w:fill="auto"/>
            <w:vAlign w:val="bottom"/>
            <w:hideMark/>
          </w:tcPr>
          <w:p w14:paraId="4B0C6386" w14:textId="77777777" w:rsidR="00EB4F80" w:rsidRPr="00EB4F80" w:rsidRDefault="00EB4F80" w:rsidP="00EB4F80">
            <w:pPr>
              <w:jc w:val="center"/>
              <w:rPr>
                <w:rFonts w:ascii="Candara" w:eastAsia="Times New Roman" w:hAnsi="Candara" w:cs="Calibri"/>
                <w:b/>
                <w:bCs/>
                <w:color w:val="000000"/>
                <w:sz w:val="28"/>
                <w:szCs w:val="28"/>
                <w:lang w:eastAsia="fr-CA"/>
              </w:rPr>
            </w:pPr>
            <w:r w:rsidRPr="00EB4F80">
              <w:rPr>
                <w:rFonts w:ascii="Candara" w:eastAsia="Times New Roman" w:hAnsi="Candara" w:cs="Calibri"/>
                <w:b/>
                <w:bCs/>
                <w:color w:val="000000"/>
                <w:sz w:val="28"/>
                <w:szCs w:val="28"/>
                <w:lang w:eastAsia="fr-CA"/>
              </w:rPr>
              <w:t> </w:t>
            </w:r>
          </w:p>
        </w:tc>
        <w:tc>
          <w:tcPr>
            <w:tcW w:w="5162" w:type="dxa"/>
            <w:tcBorders>
              <w:top w:val="nil"/>
              <w:left w:val="nil"/>
              <w:bottom w:val="nil"/>
              <w:right w:val="nil"/>
            </w:tcBorders>
            <w:shd w:val="clear" w:color="auto" w:fill="auto"/>
            <w:vAlign w:val="bottom"/>
            <w:hideMark/>
          </w:tcPr>
          <w:p w14:paraId="3552E8C7" w14:textId="77777777" w:rsidR="00EB4F80" w:rsidRPr="00EB4F80" w:rsidRDefault="00EB4F80" w:rsidP="00EB4F80">
            <w:pPr>
              <w:jc w:val="center"/>
              <w:rPr>
                <w:rFonts w:ascii="Candara" w:eastAsia="Times New Roman" w:hAnsi="Candara" w:cs="Calibri"/>
                <w:b/>
                <w:bCs/>
                <w:color w:val="000000"/>
                <w:sz w:val="28"/>
                <w:szCs w:val="28"/>
                <w:lang w:eastAsia="fr-CA"/>
              </w:rPr>
            </w:pPr>
          </w:p>
        </w:tc>
        <w:tc>
          <w:tcPr>
            <w:tcW w:w="2330" w:type="dxa"/>
            <w:tcBorders>
              <w:top w:val="nil"/>
              <w:left w:val="nil"/>
              <w:bottom w:val="nil"/>
              <w:right w:val="nil"/>
            </w:tcBorders>
            <w:shd w:val="clear" w:color="auto" w:fill="auto"/>
            <w:vAlign w:val="bottom"/>
            <w:hideMark/>
          </w:tcPr>
          <w:p w14:paraId="48B8FB66" w14:textId="77777777" w:rsidR="00EB4F80" w:rsidRPr="00EB4F80" w:rsidRDefault="00EB4F80" w:rsidP="00EB4F80">
            <w:pPr>
              <w:jc w:val="center"/>
              <w:rPr>
                <w:rFonts w:ascii="Times New Roman" w:eastAsia="Times New Roman" w:hAnsi="Times New Roman" w:cs="Times New Roman"/>
                <w:sz w:val="20"/>
                <w:szCs w:val="20"/>
                <w:lang w:eastAsia="fr-CA"/>
              </w:rPr>
            </w:pPr>
          </w:p>
        </w:tc>
        <w:tc>
          <w:tcPr>
            <w:tcW w:w="1893" w:type="dxa"/>
            <w:tcBorders>
              <w:top w:val="nil"/>
              <w:left w:val="nil"/>
              <w:bottom w:val="nil"/>
              <w:right w:val="nil"/>
            </w:tcBorders>
            <w:shd w:val="clear" w:color="auto" w:fill="auto"/>
            <w:vAlign w:val="bottom"/>
            <w:hideMark/>
          </w:tcPr>
          <w:p w14:paraId="7B91617A" w14:textId="77777777" w:rsidR="00EB4F80" w:rsidRPr="00EB4F80" w:rsidRDefault="00EB4F80" w:rsidP="00EB4F80">
            <w:pPr>
              <w:jc w:val="center"/>
              <w:rPr>
                <w:rFonts w:ascii="Times New Roman" w:eastAsia="Times New Roman" w:hAnsi="Times New Roman" w:cs="Times New Roman"/>
                <w:sz w:val="20"/>
                <w:szCs w:val="20"/>
                <w:lang w:eastAsia="fr-CA"/>
              </w:rPr>
            </w:pPr>
          </w:p>
        </w:tc>
        <w:tc>
          <w:tcPr>
            <w:tcW w:w="1659" w:type="dxa"/>
            <w:tcBorders>
              <w:top w:val="nil"/>
              <w:left w:val="nil"/>
              <w:bottom w:val="nil"/>
              <w:right w:val="nil"/>
            </w:tcBorders>
            <w:shd w:val="clear" w:color="auto" w:fill="auto"/>
            <w:vAlign w:val="bottom"/>
            <w:hideMark/>
          </w:tcPr>
          <w:p w14:paraId="135574F7" w14:textId="77777777" w:rsidR="00EB4F80" w:rsidRPr="00EB4F80" w:rsidRDefault="00EB4F80" w:rsidP="00EB4F80">
            <w:pPr>
              <w:jc w:val="right"/>
              <w:rPr>
                <w:rFonts w:ascii="Times New Roman" w:eastAsia="Times New Roman" w:hAnsi="Times New Roman" w:cs="Times New Roman"/>
                <w:sz w:val="20"/>
                <w:szCs w:val="20"/>
                <w:lang w:eastAsia="fr-CA"/>
              </w:rPr>
            </w:pPr>
          </w:p>
        </w:tc>
        <w:tc>
          <w:tcPr>
            <w:tcW w:w="2357" w:type="dxa"/>
            <w:tcBorders>
              <w:top w:val="nil"/>
              <w:left w:val="nil"/>
              <w:bottom w:val="nil"/>
              <w:right w:val="single" w:sz="8" w:space="0" w:color="auto"/>
            </w:tcBorders>
            <w:shd w:val="clear" w:color="auto" w:fill="auto"/>
            <w:vAlign w:val="bottom"/>
            <w:hideMark/>
          </w:tcPr>
          <w:p w14:paraId="5074F415" w14:textId="77777777" w:rsidR="00EB4F80" w:rsidRPr="00EB4F80" w:rsidRDefault="00EB4F80" w:rsidP="00EB4F80">
            <w:pPr>
              <w:jc w:val="center"/>
              <w:rPr>
                <w:rFonts w:ascii="Candara" w:eastAsia="Times New Roman" w:hAnsi="Candara" w:cs="Calibri"/>
                <w:b/>
                <w:bCs/>
                <w:color w:val="000000"/>
                <w:sz w:val="28"/>
                <w:szCs w:val="28"/>
                <w:lang w:eastAsia="fr-CA"/>
              </w:rPr>
            </w:pPr>
            <w:r w:rsidRPr="00EB4F80">
              <w:rPr>
                <w:rFonts w:ascii="Candara" w:eastAsia="Times New Roman" w:hAnsi="Candara" w:cs="Calibri"/>
                <w:b/>
                <w:bCs/>
                <w:color w:val="000000"/>
                <w:sz w:val="28"/>
                <w:szCs w:val="28"/>
                <w:lang w:eastAsia="fr-CA"/>
              </w:rPr>
              <w:t> </w:t>
            </w:r>
          </w:p>
        </w:tc>
      </w:tr>
      <w:tr w:rsidR="00EB4F80" w:rsidRPr="00EB4F80" w14:paraId="596474A3" w14:textId="77777777" w:rsidTr="00AF56FD">
        <w:trPr>
          <w:trHeight w:val="353"/>
          <w:jc w:val="center"/>
        </w:trPr>
        <w:tc>
          <w:tcPr>
            <w:tcW w:w="46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0471E30" w14:textId="77777777" w:rsidR="00EB4F80" w:rsidRPr="00EB4F80" w:rsidRDefault="00EB4F80" w:rsidP="00EB4F80">
            <w:pPr>
              <w:jc w:val="center"/>
              <w:rPr>
                <w:rFonts w:ascii="Candara" w:eastAsia="Times New Roman" w:hAnsi="Candara" w:cs="Calibri"/>
                <w:b/>
                <w:bCs/>
                <w:color w:val="000000"/>
                <w:lang w:eastAsia="fr-CA"/>
              </w:rPr>
            </w:pPr>
            <w:r w:rsidRPr="00EB4F80">
              <w:rPr>
                <w:rFonts w:ascii="Candara" w:eastAsia="Times New Roman" w:hAnsi="Candara" w:cs="Calibri"/>
                <w:b/>
                <w:bCs/>
                <w:color w:val="000000"/>
                <w:lang w:eastAsia="fr-CA"/>
              </w:rPr>
              <w:t>N°</w:t>
            </w:r>
          </w:p>
        </w:tc>
        <w:tc>
          <w:tcPr>
            <w:tcW w:w="5162" w:type="dxa"/>
            <w:tcBorders>
              <w:top w:val="single" w:sz="8" w:space="0" w:color="auto"/>
              <w:left w:val="nil"/>
              <w:bottom w:val="single" w:sz="8" w:space="0" w:color="auto"/>
              <w:right w:val="nil"/>
            </w:tcBorders>
            <w:shd w:val="clear" w:color="auto" w:fill="auto"/>
            <w:noWrap/>
            <w:vAlign w:val="bottom"/>
            <w:hideMark/>
          </w:tcPr>
          <w:p w14:paraId="235DEEF5" w14:textId="77777777" w:rsidR="00EB4F80" w:rsidRPr="00EB4F80" w:rsidRDefault="00EB4F80" w:rsidP="00EB4F80">
            <w:pPr>
              <w:jc w:val="center"/>
              <w:rPr>
                <w:rFonts w:ascii="Candara" w:eastAsia="Times New Roman" w:hAnsi="Candara" w:cs="Calibri"/>
                <w:b/>
                <w:bCs/>
                <w:color w:val="000000"/>
                <w:lang w:eastAsia="fr-CA"/>
              </w:rPr>
            </w:pPr>
            <w:r w:rsidRPr="00EB4F80">
              <w:rPr>
                <w:rFonts w:ascii="Candara" w:eastAsia="Times New Roman" w:hAnsi="Candara" w:cs="Calibri"/>
                <w:b/>
                <w:bCs/>
                <w:color w:val="000000"/>
                <w:lang w:eastAsia="fr-CA"/>
              </w:rPr>
              <w:t>RECOMMANDATIONS DU CA</w:t>
            </w:r>
          </w:p>
        </w:tc>
        <w:tc>
          <w:tcPr>
            <w:tcW w:w="233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A4E679" w14:textId="77777777" w:rsidR="00EB4F80" w:rsidRPr="00EB4F80" w:rsidRDefault="00EB4F80" w:rsidP="00EB4F80">
            <w:pPr>
              <w:jc w:val="center"/>
              <w:rPr>
                <w:rFonts w:ascii="Candara" w:eastAsia="Times New Roman" w:hAnsi="Candara" w:cs="Calibri"/>
                <w:b/>
                <w:bCs/>
                <w:color w:val="000000"/>
                <w:lang w:eastAsia="fr-CA"/>
              </w:rPr>
            </w:pPr>
            <w:r w:rsidRPr="00EB4F80">
              <w:rPr>
                <w:rFonts w:ascii="Candara" w:eastAsia="Times New Roman" w:hAnsi="Candara" w:cs="Calibri"/>
                <w:b/>
                <w:bCs/>
                <w:color w:val="000000"/>
                <w:lang w:eastAsia="fr-CA"/>
              </w:rPr>
              <w:t>NIVEAU DE REALISATION</w:t>
            </w:r>
          </w:p>
        </w:tc>
        <w:tc>
          <w:tcPr>
            <w:tcW w:w="1893" w:type="dxa"/>
            <w:tcBorders>
              <w:top w:val="single" w:sz="8" w:space="0" w:color="auto"/>
              <w:left w:val="nil"/>
              <w:bottom w:val="single" w:sz="8" w:space="0" w:color="auto"/>
              <w:right w:val="nil"/>
            </w:tcBorders>
            <w:shd w:val="clear" w:color="auto" w:fill="auto"/>
            <w:noWrap/>
            <w:vAlign w:val="bottom"/>
            <w:hideMark/>
          </w:tcPr>
          <w:p w14:paraId="022A9603" w14:textId="77777777" w:rsidR="00EB4F80" w:rsidRPr="00EB4F80" w:rsidRDefault="00EB4F80" w:rsidP="00EB4F80">
            <w:pPr>
              <w:jc w:val="center"/>
              <w:rPr>
                <w:rFonts w:ascii="Candara" w:eastAsia="Times New Roman" w:hAnsi="Candara" w:cs="Calibri"/>
                <w:b/>
                <w:bCs/>
                <w:color w:val="000000"/>
                <w:lang w:eastAsia="fr-CA"/>
              </w:rPr>
            </w:pPr>
            <w:r w:rsidRPr="00EB4F80">
              <w:rPr>
                <w:rFonts w:ascii="Candara" w:eastAsia="Times New Roman" w:hAnsi="Candara" w:cs="Calibri"/>
                <w:b/>
                <w:bCs/>
                <w:color w:val="000000"/>
                <w:lang w:eastAsia="fr-CA"/>
              </w:rPr>
              <w:t>DELAI D'EXECUTION</w:t>
            </w:r>
          </w:p>
        </w:tc>
        <w:tc>
          <w:tcPr>
            <w:tcW w:w="165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C9B3B4" w14:textId="77777777" w:rsidR="00EB4F80" w:rsidRPr="00EB4F80" w:rsidRDefault="00EB4F80" w:rsidP="00EB4F80">
            <w:pPr>
              <w:jc w:val="center"/>
              <w:rPr>
                <w:rFonts w:ascii="Candara" w:eastAsia="Times New Roman" w:hAnsi="Candara" w:cs="Calibri"/>
                <w:b/>
                <w:bCs/>
                <w:color w:val="000000"/>
                <w:lang w:eastAsia="fr-CA"/>
              </w:rPr>
            </w:pPr>
            <w:r w:rsidRPr="00EB4F80">
              <w:rPr>
                <w:rFonts w:ascii="Candara" w:eastAsia="Times New Roman" w:hAnsi="Candara" w:cs="Calibri"/>
                <w:b/>
                <w:bCs/>
                <w:color w:val="000000"/>
                <w:lang w:eastAsia="fr-CA"/>
              </w:rPr>
              <w:t>RESPONSABLE</w:t>
            </w:r>
          </w:p>
        </w:tc>
        <w:tc>
          <w:tcPr>
            <w:tcW w:w="2357" w:type="dxa"/>
            <w:tcBorders>
              <w:top w:val="single" w:sz="8" w:space="0" w:color="auto"/>
              <w:left w:val="nil"/>
              <w:bottom w:val="single" w:sz="8" w:space="0" w:color="auto"/>
              <w:right w:val="single" w:sz="8" w:space="0" w:color="auto"/>
            </w:tcBorders>
            <w:shd w:val="clear" w:color="auto" w:fill="auto"/>
            <w:noWrap/>
            <w:vAlign w:val="bottom"/>
            <w:hideMark/>
          </w:tcPr>
          <w:p w14:paraId="72FFC639" w14:textId="77777777" w:rsidR="00EB4F80" w:rsidRPr="00EB4F80" w:rsidRDefault="00EB4F80" w:rsidP="00EB4F80">
            <w:pPr>
              <w:jc w:val="center"/>
              <w:rPr>
                <w:rFonts w:ascii="Candara" w:eastAsia="Times New Roman" w:hAnsi="Candara" w:cs="Calibri"/>
                <w:b/>
                <w:bCs/>
                <w:color w:val="000000"/>
                <w:lang w:eastAsia="fr-CA"/>
              </w:rPr>
            </w:pPr>
            <w:r w:rsidRPr="00EB4F80">
              <w:rPr>
                <w:rFonts w:ascii="Candara" w:eastAsia="Times New Roman" w:hAnsi="Candara" w:cs="Calibri"/>
                <w:b/>
                <w:bCs/>
                <w:color w:val="000000"/>
                <w:lang w:eastAsia="fr-CA"/>
              </w:rPr>
              <w:t>COMMENTAIRE</w:t>
            </w:r>
          </w:p>
        </w:tc>
      </w:tr>
      <w:tr w:rsidR="00EB4F80" w:rsidRPr="00EB4F80" w14:paraId="42EE8DD2" w14:textId="77777777" w:rsidTr="00AF56FD">
        <w:trPr>
          <w:trHeight w:val="921"/>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7DDB7BD6"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1</w:t>
            </w:r>
          </w:p>
        </w:tc>
        <w:tc>
          <w:tcPr>
            <w:tcW w:w="5162" w:type="dxa"/>
            <w:tcBorders>
              <w:top w:val="nil"/>
              <w:left w:val="nil"/>
              <w:bottom w:val="single" w:sz="8" w:space="0" w:color="auto"/>
              <w:right w:val="nil"/>
            </w:tcBorders>
            <w:shd w:val="clear" w:color="auto" w:fill="auto"/>
            <w:vAlign w:val="bottom"/>
            <w:hideMark/>
          </w:tcPr>
          <w:p w14:paraId="682AACC9" w14:textId="117B1CFA" w:rsidR="00EB4F80" w:rsidRPr="00EB4F80" w:rsidRDefault="00A07661" w:rsidP="00EB4F80">
            <w:pPr>
              <w:rPr>
                <w:rFonts w:ascii="Calibri" w:eastAsia="Times New Roman" w:hAnsi="Calibri" w:cs="Calibri"/>
                <w:color w:val="000000"/>
                <w:sz w:val="18"/>
                <w:szCs w:val="18"/>
                <w:lang w:eastAsia="fr-CA"/>
              </w:rPr>
            </w:pPr>
            <w:r w:rsidRPr="00A07661">
              <w:rPr>
                <w:rFonts w:ascii="Calibri" w:eastAsia="Times New Roman" w:hAnsi="Calibri" w:cs="Calibri"/>
                <w:color w:val="000000"/>
                <w:sz w:val="18"/>
                <w:szCs w:val="18"/>
                <w:lang w:eastAsia="fr-CA"/>
              </w:rPr>
              <w:t>Poursuivre et renforcer les efforts pour accroitre les parts de marché et rentabiliser d’avantage les produits recouvrement de créances ; intermédiation en IOB et ABI dans le cadre de la mise en œuvre du programme d’activité 2021</w:t>
            </w:r>
          </w:p>
        </w:tc>
        <w:tc>
          <w:tcPr>
            <w:tcW w:w="2330" w:type="dxa"/>
            <w:tcBorders>
              <w:top w:val="nil"/>
              <w:left w:val="single" w:sz="8" w:space="0" w:color="auto"/>
              <w:bottom w:val="single" w:sz="4" w:space="0" w:color="auto"/>
              <w:right w:val="single" w:sz="8" w:space="0" w:color="auto"/>
            </w:tcBorders>
            <w:shd w:val="clear" w:color="auto" w:fill="auto"/>
            <w:vAlign w:val="center"/>
            <w:hideMark/>
          </w:tcPr>
          <w:p w14:paraId="48339886" w14:textId="77777777" w:rsidR="00EB4F80" w:rsidRPr="00EB4F80" w:rsidRDefault="00EB4F80" w:rsidP="00EB4F80">
            <w:pPr>
              <w:jc w:val="cente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De nouvelles conventions signées dans les 3 activités</w:t>
            </w:r>
          </w:p>
        </w:tc>
        <w:tc>
          <w:tcPr>
            <w:tcW w:w="1893" w:type="dxa"/>
            <w:tcBorders>
              <w:top w:val="nil"/>
              <w:left w:val="nil"/>
              <w:bottom w:val="single" w:sz="4" w:space="0" w:color="auto"/>
              <w:right w:val="nil"/>
            </w:tcBorders>
            <w:shd w:val="clear" w:color="auto" w:fill="auto"/>
            <w:vAlign w:val="center"/>
            <w:hideMark/>
          </w:tcPr>
          <w:p w14:paraId="7E6F3008"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En continu</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0A929D91"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DG / Commerciaux</w:t>
            </w:r>
          </w:p>
        </w:tc>
        <w:tc>
          <w:tcPr>
            <w:tcW w:w="2357" w:type="dxa"/>
            <w:tcBorders>
              <w:top w:val="nil"/>
              <w:left w:val="nil"/>
              <w:bottom w:val="single" w:sz="4" w:space="0" w:color="auto"/>
              <w:right w:val="single" w:sz="8" w:space="0" w:color="auto"/>
            </w:tcBorders>
            <w:shd w:val="clear" w:color="auto" w:fill="auto"/>
            <w:vAlign w:val="bottom"/>
            <w:hideMark/>
          </w:tcPr>
          <w:p w14:paraId="35B3847D"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Mise en œuvre est encourageante</w:t>
            </w:r>
          </w:p>
        </w:tc>
      </w:tr>
      <w:tr w:rsidR="00EB4F80" w:rsidRPr="00EB4F80" w14:paraId="39E4B42B" w14:textId="77777777" w:rsidTr="00AF56FD">
        <w:trPr>
          <w:trHeight w:val="744"/>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54C38608"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w:t>
            </w:r>
          </w:p>
        </w:tc>
        <w:tc>
          <w:tcPr>
            <w:tcW w:w="5162" w:type="dxa"/>
            <w:tcBorders>
              <w:top w:val="single" w:sz="4" w:space="0" w:color="auto"/>
              <w:left w:val="nil"/>
              <w:bottom w:val="single" w:sz="4" w:space="0" w:color="auto"/>
              <w:right w:val="nil"/>
            </w:tcBorders>
            <w:shd w:val="clear" w:color="auto" w:fill="auto"/>
            <w:vAlign w:val="bottom"/>
            <w:hideMark/>
          </w:tcPr>
          <w:p w14:paraId="6BF9CB74" w14:textId="6259B928" w:rsidR="00EB4F80" w:rsidRPr="00EB4F80" w:rsidRDefault="00A07661" w:rsidP="00EB4F80">
            <w:pPr>
              <w:rPr>
                <w:rFonts w:ascii="Calibri" w:eastAsia="Times New Roman" w:hAnsi="Calibri" w:cs="Calibri"/>
                <w:color w:val="000000"/>
                <w:sz w:val="18"/>
                <w:szCs w:val="18"/>
                <w:lang w:eastAsia="fr-CA"/>
              </w:rPr>
            </w:pPr>
            <w:r w:rsidRPr="00A07661">
              <w:rPr>
                <w:rFonts w:ascii="Calibri" w:eastAsia="Times New Roman" w:hAnsi="Calibri" w:cs="Calibri"/>
                <w:color w:val="000000"/>
                <w:sz w:val="18"/>
                <w:szCs w:val="18"/>
                <w:lang w:eastAsia="fr-CA"/>
              </w:rPr>
              <w:t>Conduire une réflexion stratégique pour une meilleure prise en compte des effets de la crise sanitaire du COVID 19 et de ses impacts sur les activités de Mali Créances en 2021</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68FF0637"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Réflexion est en cours car elle doit s'adapter aux différentes variations de la pandémie</w:t>
            </w:r>
          </w:p>
        </w:tc>
        <w:tc>
          <w:tcPr>
            <w:tcW w:w="1893" w:type="dxa"/>
            <w:tcBorders>
              <w:top w:val="nil"/>
              <w:left w:val="nil"/>
              <w:bottom w:val="single" w:sz="4" w:space="0" w:color="auto"/>
              <w:right w:val="nil"/>
            </w:tcBorders>
            <w:shd w:val="clear" w:color="auto" w:fill="auto"/>
            <w:vAlign w:val="bottom"/>
            <w:hideMark/>
          </w:tcPr>
          <w:p w14:paraId="1A9E6D89"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2022-12-31</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4ADCD66B"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DG / Commerciaux</w:t>
            </w:r>
          </w:p>
        </w:tc>
        <w:tc>
          <w:tcPr>
            <w:tcW w:w="2357" w:type="dxa"/>
            <w:tcBorders>
              <w:top w:val="nil"/>
              <w:left w:val="nil"/>
              <w:bottom w:val="single" w:sz="4" w:space="0" w:color="auto"/>
              <w:right w:val="single" w:sz="8" w:space="0" w:color="auto"/>
            </w:tcBorders>
            <w:shd w:val="clear" w:color="auto" w:fill="auto"/>
            <w:vAlign w:val="bottom"/>
            <w:hideMark/>
          </w:tcPr>
          <w:p w14:paraId="151AA2D0"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Sujet abordé en permanence lors des rencontres du staff pour évaluer les stratégies mises en place</w:t>
            </w:r>
          </w:p>
        </w:tc>
      </w:tr>
      <w:tr w:rsidR="00EB4F80" w:rsidRPr="00EB4F80" w14:paraId="3ED2893A" w14:textId="77777777" w:rsidTr="00AF56FD">
        <w:trPr>
          <w:trHeight w:val="744"/>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15E0AEB7"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3</w:t>
            </w:r>
          </w:p>
        </w:tc>
        <w:tc>
          <w:tcPr>
            <w:tcW w:w="5162" w:type="dxa"/>
            <w:tcBorders>
              <w:top w:val="nil"/>
              <w:left w:val="nil"/>
              <w:bottom w:val="single" w:sz="4" w:space="0" w:color="auto"/>
              <w:right w:val="nil"/>
            </w:tcBorders>
            <w:shd w:val="clear" w:color="auto" w:fill="auto"/>
            <w:vAlign w:val="bottom"/>
            <w:hideMark/>
          </w:tcPr>
          <w:p w14:paraId="679B54D5" w14:textId="5F4EA03D" w:rsidR="00EB4F80" w:rsidRPr="00EB4F80" w:rsidRDefault="00A07661" w:rsidP="00EB4F80">
            <w:pPr>
              <w:rPr>
                <w:rFonts w:ascii="Calibri" w:eastAsia="Times New Roman" w:hAnsi="Calibri" w:cs="Calibri"/>
                <w:color w:val="000000"/>
                <w:sz w:val="18"/>
                <w:szCs w:val="18"/>
                <w:lang w:eastAsia="fr-CA"/>
              </w:rPr>
            </w:pPr>
            <w:r w:rsidRPr="00A07661">
              <w:rPr>
                <w:rFonts w:ascii="Calibri" w:eastAsia="Times New Roman" w:hAnsi="Calibri" w:cs="Calibri"/>
                <w:color w:val="000000"/>
                <w:sz w:val="18"/>
                <w:szCs w:val="18"/>
                <w:lang w:eastAsia="fr-CA"/>
              </w:rPr>
              <w:t>Conduire une réflexion diagnostique d’évaluation et de performance du personnel de Mali Créances et proposer au conseil d’administration les mesures d’adaptation au poste et renforcement des capacités</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4D124B9D"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Processus a démarré</w:t>
            </w:r>
          </w:p>
        </w:tc>
        <w:tc>
          <w:tcPr>
            <w:tcW w:w="1893" w:type="dxa"/>
            <w:tcBorders>
              <w:top w:val="nil"/>
              <w:left w:val="nil"/>
              <w:bottom w:val="single" w:sz="4" w:space="0" w:color="auto"/>
              <w:right w:val="nil"/>
            </w:tcBorders>
            <w:shd w:val="clear" w:color="auto" w:fill="auto"/>
            <w:vAlign w:val="bottom"/>
            <w:hideMark/>
          </w:tcPr>
          <w:p w14:paraId="51EBB6E0"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2022-04-30</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5AD39E58"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RH</w:t>
            </w:r>
          </w:p>
        </w:tc>
        <w:tc>
          <w:tcPr>
            <w:tcW w:w="2357" w:type="dxa"/>
            <w:tcBorders>
              <w:top w:val="nil"/>
              <w:left w:val="nil"/>
              <w:bottom w:val="single" w:sz="4" w:space="0" w:color="auto"/>
              <w:right w:val="single" w:sz="8" w:space="0" w:color="auto"/>
            </w:tcBorders>
            <w:shd w:val="clear" w:color="auto" w:fill="auto"/>
            <w:vAlign w:val="bottom"/>
            <w:hideMark/>
          </w:tcPr>
          <w:p w14:paraId="036E7030" w14:textId="33B04B24"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Nécessité de renforcement des capacités et renfor</w:t>
            </w:r>
            <w:r w:rsidR="007F70C3">
              <w:rPr>
                <w:rFonts w:ascii="Calibri" w:eastAsia="Times New Roman" w:hAnsi="Calibri" w:cs="Calibri"/>
                <w:color w:val="000000"/>
                <w:sz w:val="18"/>
                <w:szCs w:val="18"/>
                <w:lang w:eastAsia="fr-CA"/>
              </w:rPr>
              <w:t>ce</w:t>
            </w:r>
            <w:r w:rsidRPr="00EB4F80">
              <w:rPr>
                <w:rFonts w:ascii="Calibri" w:eastAsia="Times New Roman" w:hAnsi="Calibri" w:cs="Calibri"/>
                <w:color w:val="000000"/>
                <w:sz w:val="18"/>
                <w:szCs w:val="18"/>
                <w:lang w:eastAsia="fr-CA"/>
              </w:rPr>
              <w:t>ment du personnel clé</w:t>
            </w:r>
          </w:p>
        </w:tc>
      </w:tr>
      <w:tr w:rsidR="00EB4F80" w:rsidRPr="00EB4F80" w14:paraId="2E9D3A99" w14:textId="77777777" w:rsidTr="00AF56FD">
        <w:trPr>
          <w:trHeight w:val="744"/>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2DE73ADB"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4</w:t>
            </w:r>
          </w:p>
        </w:tc>
        <w:tc>
          <w:tcPr>
            <w:tcW w:w="5162" w:type="dxa"/>
            <w:tcBorders>
              <w:top w:val="nil"/>
              <w:left w:val="nil"/>
              <w:bottom w:val="single" w:sz="4" w:space="0" w:color="auto"/>
              <w:right w:val="nil"/>
            </w:tcBorders>
            <w:shd w:val="clear" w:color="auto" w:fill="auto"/>
            <w:vAlign w:val="bottom"/>
            <w:hideMark/>
          </w:tcPr>
          <w:p w14:paraId="1AC9B3A9" w14:textId="5B3756F7" w:rsidR="00EB4F80" w:rsidRPr="00EB4F80" w:rsidRDefault="00A07661" w:rsidP="00EB4F80">
            <w:pPr>
              <w:rPr>
                <w:rFonts w:ascii="Calibri" w:eastAsia="Times New Roman" w:hAnsi="Calibri" w:cs="Calibri"/>
                <w:color w:val="000000"/>
                <w:sz w:val="18"/>
                <w:szCs w:val="18"/>
                <w:lang w:eastAsia="fr-CA"/>
              </w:rPr>
            </w:pPr>
            <w:r w:rsidRPr="00A07661">
              <w:rPr>
                <w:rFonts w:ascii="Calibri" w:eastAsia="Times New Roman" w:hAnsi="Calibri" w:cs="Calibri"/>
                <w:color w:val="000000"/>
                <w:sz w:val="18"/>
                <w:szCs w:val="18"/>
                <w:lang w:eastAsia="fr-CA"/>
              </w:rPr>
              <w:t>Promouvoir une véritable démarche commerciale plus dynamique et plus structurée à travers la réorganisation de service pour l’atteinte des objectifs d’activités</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46FE148A"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Processus en cours</w:t>
            </w:r>
          </w:p>
        </w:tc>
        <w:tc>
          <w:tcPr>
            <w:tcW w:w="1893" w:type="dxa"/>
            <w:tcBorders>
              <w:top w:val="nil"/>
              <w:left w:val="nil"/>
              <w:bottom w:val="single" w:sz="4" w:space="0" w:color="auto"/>
              <w:right w:val="nil"/>
            </w:tcBorders>
            <w:shd w:val="clear" w:color="auto" w:fill="auto"/>
            <w:vAlign w:val="bottom"/>
            <w:hideMark/>
          </w:tcPr>
          <w:p w14:paraId="1C66CA2D"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2022-06-30</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2E66E43C"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DG / RH</w:t>
            </w:r>
          </w:p>
        </w:tc>
        <w:tc>
          <w:tcPr>
            <w:tcW w:w="2357" w:type="dxa"/>
            <w:tcBorders>
              <w:top w:val="nil"/>
              <w:left w:val="nil"/>
              <w:bottom w:val="single" w:sz="4" w:space="0" w:color="auto"/>
              <w:right w:val="single" w:sz="8" w:space="0" w:color="auto"/>
            </w:tcBorders>
            <w:shd w:val="clear" w:color="auto" w:fill="auto"/>
            <w:vAlign w:val="bottom"/>
            <w:hideMark/>
          </w:tcPr>
          <w:p w14:paraId="3C4E9B01"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Nécessité absolue de finaliser ce processus</w:t>
            </w:r>
          </w:p>
        </w:tc>
      </w:tr>
      <w:tr w:rsidR="00EB4F80" w:rsidRPr="00EB4F80" w14:paraId="0471F6D2" w14:textId="77777777" w:rsidTr="00AF56FD">
        <w:trPr>
          <w:trHeight w:val="502"/>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60DDD320"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5</w:t>
            </w:r>
          </w:p>
        </w:tc>
        <w:tc>
          <w:tcPr>
            <w:tcW w:w="5162" w:type="dxa"/>
            <w:tcBorders>
              <w:top w:val="nil"/>
              <w:left w:val="nil"/>
              <w:bottom w:val="single" w:sz="4" w:space="0" w:color="auto"/>
              <w:right w:val="nil"/>
            </w:tcBorders>
            <w:shd w:val="clear" w:color="auto" w:fill="auto"/>
            <w:vAlign w:val="bottom"/>
            <w:hideMark/>
          </w:tcPr>
          <w:p w14:paraId="38F960C5" w14:textId="115AB1FE" w:rsidR="00EB4F80" w:rsidRPr="00EB4F80" w:rsidRDefault="00A07661" w:rsidP="00EB4F80">
            <w:pPr>
              <w:rPr>
                <w:rFonts w:ascii="Calibri" w:eastAsia="Times New Roman" w:hAnsi="Calibri" w:cs="Calibri"/>
                <w:color w:val="000000"/>
                <w:sz w:val="18"/>
                <w:szCs w:val="18"/>
                <w:lang w:eastAsia="fr-CA"/>
              </w:rPr>
            </w:pPr>
            <w:r w:rsidRPr="00A07661">
              <w:rPr>
                <w:rFonts w:ascii="Calibri" w:eastAsia="Times New Roman" w:hAnsi="Calibri" w:cs="Calibri"/>
                <w:color w:val="000000"/>
                <w:sz w:val="18"/>
                <w:szCs w:val="18"/>
                <w:lang w:eastAsia="fr-CA"/>
              </w:rPr>
              <w:t>Promouvoir, développer et restructurer le service de recouvrement pour le rendre plus performent et doter d’une véritable stratégie de chasseur de dette</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52023FDB"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Plan de restructuration profonde est en cours de finalisation</w:t>
            </w:r>
          </w:p>
        </w:tc>
        <w:tc>
          <w:tcPr>
            <w:tcW w:w="1893" w:type="dxa"/>
            <w:tcBorders>
              <w:top w:val="nil"/>
              <w:left w:val="nil"/>
              <w:bottom w:val="single" w:sz="4" w:space="0" w:color="auto"/>
              <w:right w:val="nil"/>
            </w:tcBorders>
            <w:shd w:val="clear" w:color="auto" w:fill="auto"/>
            <w:vAlign w:val="bottom"/>
            <w:hideMark/>
          </w:tcPr>
          <w:p w14:paraId="3B5889AE"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2022-04-05</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4EA698E0"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DG / RH</w:t>
            </w:r>
          </w:p>
        </w:tc>
        <w:tc>
          <w:tcPr>
            <w:tcW w:w="2357" w:type="dxa"/>
            <w:tcBorders>
              <w:top w:val="nil"/>
              <w:left w:val="nil"/>
              <w:bottom w:val="single" w:sz="4" w:space="0" w:color="auto"/>
              <w:right w:val="single" w:sz="8" w:space="0" w:color="auto"/>
            </w:tcBorders>
            <w:shd w:val="clear" w:color="auto" w:fill="auto"/>
            <w:vAlign w:val="bottom"/>
            <w:hideMark/>
          </w:tcPr>
          <w:p w14:paraId="684399D9" w14:textId="658C3F06" w:rsidR="00EB4F80" w:rsidRPr="00EB4F80" w:rsidRDefault="00781A79" w:rsidP="00781A79">
            <w:pPr>
              <w:rPr>
                <w:rFonts w:ascii="Calibri" w:eastAsia="Times New Roman" w:hAnsi="Calibri" w:cs="Calibri"/>
                <w:color w:val="000000"/>
                <w:sz w:val="18"/>
                <w:szCs w:val="18"/>
                <w:lang w:eastAsia="fr-CA"/>
              </w:rPr>
            </w:pPr>
            <w:r w:rsidRPr="00781A79">
              <w:rPr>
                <w:rFonts w:ascii="Calibri" w:eastAsia="Times New Roman" w:hAnsi="Calibri" w:cs="Calibri"/>
                <w:color w:val="000000"/>
                <w:sz w:val="18"/>
                <w:szCs w:val="18"/>
                <w:lang w:eastAsia="fr-CA"/>
              </w:rPr>
              <w:t>Nécessité absolue de finaliser ce processus</w:t>
            </w:r>
          </w:p>
        </w:tc>
      </w:tr>
      <w:tr w:rsidR="00EB4F80" w:rsidRPr="00EB4F80" w14:paraId="140D9D4A" w14:textId="77777777" w:rsidTr="00AF56FD">
        <w:trPr>
          <w:trHeight w:val="502"/>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231699BA"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6</w:t>
            </w:r>
          </w:p>
        </w:tc>
        <w:tc>
          <w:tcPr>
            <w:tcW w:w="5162" w:type="dxa"/>
            <w:tcBorders>
              <w:top w:val="nil"/>
              <w:left w:val="nil"/>
              <w:bottom w:val="single" w:sz="4" w:space="0" w:color="auto"/>
              <w:right w:val="nil"/>
            </w:tcBorders>
            <w:shd w:val="clear" w:color="auto" w:fill="auto"/>
            <w:vAlign w:val="bottom"/>
            <w:hideMark/>
          </w:tcPr>
          <w:p w14:paraId="35143A54" w14:textId="393CC93D" w:rsidR="00EB4F80" w:rsidRPr="00EB4F80" w:rsidRDefault="00A07661" w:rsidP="00EB4F80">
            <w:pPr>
              <w:rPr>
                <w:rFonts w:ascii="Calibri" w:eastAsia="Times New Roman" w:hAnsi="Calibri" w:cs="Calibri"/>
                <w:color w:val="000000"/>
                <w:sz w:val="18"/>
                <w:szCs w:val="18"/>
                <w:lang w:eastAsia="fr-CA"/>
              </w:rPr>
            </w:pPr>
            <w:r w:rsidRPr="00A07661">
              <w:rPr>
                <w:rFonts w:ascii="Calibri" w:eastAsia="Times New Roman" w:hAnsi="Calibri" w:cs="Calibri"/>
                <w:color w:val="000000"/>
                <w:sz w:val="18"/>
                <w:szCs w:val="18"/>
                <w:lang w:eastAsia="fr-CA"/>
              </w:rPr>
              <w:t>Poursuivre le développement de la stratégie du produit administration des biens immobiliers</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640E8679"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Actions fortes ont été entreprises</w:t>
            </w:r>
          </w:p>
        </w:tc>
        <w:tc>
          <w:tcPr>
            <w:tcW w:w="1893" w:type="dxa"/>
            <w:tcBorders>
              <w:top w:val="nil"/>
              <w:left w:val="nil"/>
              <w:bottom w:val="single" w:sz="4" w:space="0" w:color="auto"/>
              <w:right w:val="nil"/>
            </w:tcBorders>
            <w:shd w:val="clear" w:color="auto" w:fill="auto"/>
            <w:vAlign w:val="bottom"/>
            <w:hideMark/>
          </w:tcPr>
          <w:p w14:paraId="1C49C79F"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En continu</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557BD54F"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DG / Commerciaux ABI</w:t>
            </w:r>
          </w:p>
        </w:tc>
        <w:tc>
          <w:tcPr>
            <w:tcW w:w="2357" w:type="dxa"/>
            <w:tcBorders>
              <w:top w:val="nil"/>
              <w:left w:val="nil"/>
              <w:bottom w:val="single" w:sz="4" w:space="0" w:color="auto"/>
              <w:right w:val="single" w:sz="8" w:space="0" w:color="auto"/>
            </w:tcBorders>
            <w:shd w:val="clear" w:color="auto" w:fill="auto"/>
            <w:vAlign w:val="bottom"/>
            <w:hideMark/>
          </w:tcPr>
          <w:p w14:paraId="0AB31A89" w14:textId="67C0BD19" w:rsidR="00EB4F80" w:rsidRPr="00EB4F80" w:rsidRDefault="00781A79" w:rsidP="00EB4F80">
            <w:pPr>
              <w:rPr>
                <w:rFonts w:ascii="Calibri" w:eastAsia="Times New Roman" w:hAnsi="Calibri" w:cs="Calibri"/>
                <w:color w:val="000000"/>
                <w:sz w:val="18"/>
                <w:szCs w:val="18"/>
                <w:lang w:eastAsia="fr-CA"/>
              </w:rPr>
            </w:pPr>
            <w:r w:rsidRPr="00781A79">
              <w:rPr>
                <w:rFonts w:ascii="Calibri" w:eastAsia="Times New Roman" w:hAnsi="Calibri" w:cs="Calibri"/>
                <w:color w:val="000000"/>
                <w:sz w:val="18"/>
                <w:szCs w:val="18"/>
                <w:lang w:eastAsia="fr-CA"/>
              </w:rPr>
              <w:t>Niches importantes à exploiter</w:t>
            </w:r>
          </w:p>
        </w:tc>
      </w:tr>
      <w:tr w:rsidR="00EB4F80" w:rsidRPr="00EB4F80" w14:paraId="79FAF3F3" w14:textId="77777777" w:rsidTr="00AF56FD">
        <w:trPr>
          <w:trHeight w:val="744"/>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6957D71A"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7</w:t>
            </w:r>
          </w:p>
        </w:tc>
        <w:tc>
          <w:tcPr>
            <w:tcW w:w="5162" w:type="dxa"/>
            <w:tcBorders>
              <w:top w:val="nil"/>
              <w:left w:val="nil"/>
              <w:bottom w:val="single" w:sz="4" w:space="0" w:color="auto"/>
              <w:right w:val="nil"/>
            </w:tcBorders>
            <w:shd w:val="clear" w:color="auto" w:fill="auto"/>
            <w:vAlign w:val="bottom"/>
            <w:hideMark/>
          </w:tcPr>
          <w:p w14:paraId="69E3FBA0" w14:textId="3EDD507A" w:rsidR="00EB4F80" w:rsidRPr="00EB4F80" w:rsidRDefault="00A07661" w:rsidP="00EB4F80">
            <w:pPr>
              <w:rPr>
                <w:rFonts w:ascii="Calibri" w:eastAsia="Times New Roman" w:hAnsi="Calibri" w:cs="Calibri"/>
                <w:color w:val="000000"/>
                <w:sz w:val="18"/>
                <w:szCs w:val="18"/>
                <w:lang w:eastAsia="fr-CA"/>
              </w:rPr>
            </w:pPr>
            <w:r w:rsidRPr="00A07661">
              <w:rPr>
                <w:rFonts w:ascii="Calibri" w:eastAsia="Times New Roman" w:hAnsi="Calibri" w:cs="Calibri"/>
                <w:color w:val="000000"/>
                <w:sz w:val="18"/>
                <w:szCs w:val="18"/>
                <w:lang w:eastAsia="fr-CA"/>
              </w:rPr>
              <w:t>Concevoir une vraie politique de partenariat entre Mali Créances et les Institutions Financières dans la perspective de la gestion des immobilisations hors exploitation conformément aux dispositions règlementaires de Bâle 2 et Bâle 3</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6A391AA4" w14:textId="0A58AAA9" w:rsidR="00EB4F80" w:rsidRPr="00EB4F80" w:rsidRDefault="007F70C3"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Partenariat</w:t>
            </w:r>
            <w:r w:rsidR="00EB4F80" w:rsidRPr="00EB4F80">
              <w:rPr>
                <w:rFonts w:ascii="Calibri" w:eastAsia="Times New Roman" w:hAnsi="Calibri" w:cs="Calibri"/>
                <w:color w:val="000000"/>
                <w:sz w:val="18"/>
                <w:szCs w:val="18"/>
                <w:lang w:eastAsia="fr-CA"/>
              </w:rPr>
              <w:t xml:space="preserve"> avec 3 banques (BAM/BIM/BOA) en 2021</w:t>
            </w:r>
          </w:p>
        </w:tc>
        <w:tc>
          <w:tcPr>
            <w:tcW w:w="1893" w:type="dxa"/>
            <w:tcBorders>
              <w:top w:val="nil"/>
              <w:left w:val="nil"/>
              <w:bottom w:val="single" w:sz="4" w:space="0" w:color="auto"/>
              <w:right w:val="nil"/>
            </w:tcBorders>
            <w:shd w:val="clear" w:color="auto" w:fill="auto"/>
            <w:vAlign w:val="bottom"/>
            <w:hideMark/>
          </w:tcPr>
          <w:p w14:paraId="2BBFE689"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2022-12-31</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7BFBF141"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DG / Commerciaux ABI</w:t>
            </w:r>
          </w:p>
        </w:tc>
        <w:tc>
          <w:tcPr>
            <w:tcW w:w="2357" w:type="dxa"/>
            <w:tcBorders>
              <w:top w:val="nil"/>
              <w:left w:val="nil"/>
              <w:bottom w:val="single" w:sz="4" w:space="0" w:color="auto"/>
              <w:right w:val="single" w:sz="8" w:space="0" w:color="auto"/>
            </w:tcBorders>
            <w:shd w:val="clear" w:color="auto" w:fill="auto"/>
            <w:vAlign w:val="bottom"/>
            <w:hideMark/>
          </w:tcPr>
          <w:p w14:paraId="0B634281"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Niches importantes à exploiter</w:t>
            </w:r>
          </w:p>
        </w:tc>
      </w:tr>
      <w:tr w:rsidR="00B637C6" w:rsidRPr="00EB4F80" w14:paraId="30CB0C1F" w14:textId="77777777" w:rsidTr="00B637C6">
        <w:trPr>
          <w:jc w:val="center"/>
        </w:trPr>
        <w:tc>
          <w:tcPr>
            <w:tcW w:w="462"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2B6DAE1C" w14:textId="77777777" w:rsidR="00B637C6" w:rsidRPr="00EB4F80" w:rsidRDefault="00B637C6"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8</w:t>
            </w:r>
          </w:p>
        </w:tc>
        <w:tc>
          <w:tcPr>
            <w:tcW w:w="5162" w:type="dxa"/>
            <w:tcBorders>
              <w:top w:val="single" w:sz="4" w:space="0" w:color="auto"/>
              <w:left w:val="nil"/>
              <w:bottom w:val="single" w:sz="4" w:space="0" w:color="auto"/>
              <w:right w:val="single" w:sz="4" w:space="0" w:color="auto"/>
            </w:tcBorders>
            <w:shd w:val="clear" w:color="auto" w:fill="auto"/>
            <w:hideMark/>
          </w:tcPr>
          <w:p w14:paraId="29BD3354" w14:textId="203BF87C" w:rsidR="00B637C6" w:rsidRPr="00EB4F80" w:rsidRDefault="00B637C6" w:rsidP="00EB4F80">
            <w:pPr>
              <w:rPr>
                <w:rFonts w:ascii="Calibri" w:eastAsia="Times New Roman" w:hAnsi="Calibri" w:cs="Calibri"/>
                <w:color w:val="000000"/>
                <w:sz w:val="18"/>
                <w:szCs w:val="18"/>
                <w:lang w:eastAsia="fr-CA"/>
              </w:rPr>
            </w:pPr>
            <w:r w:rsidRPr="00A07661">
              <w:rPr>
                <w:rFonts w:ascii="Calibri" w:eastAsia="Times New Roman" w:hAnsi="Calibri" w:cs="Calibri"/>
                <w:color w:val="000000"/>
                <w:sz w:val="18"/>
                <w:szCs w:val="18"/>
                <w:lang w:eastAsia="fr-CA"/>
              </w:rPr>
              <w:t xml:space="preserve">Poursuivre la réflexion et le développement des nouvelles technologies et des innovations pour service aux clients à valeur ajoutée plus grande et pour promouvoir les opérations sécurisées et fiables avec les banques, les institutions de microfinances, les </w:t>
            </w:r>
          </w:p>
        </w:tc>
        <w:tc>
          <w:tcPr>
            <w:tcW w:w="2330" w:type="dxa"/>
            <w:tcBorders>
              <w:top w:val="single" w:sz="4" w:space="0" w:color="auto"/>
              <w:left w:val="single" w:sz="4" w:space="0" w:color="auto"/>
              <w:bottom w:val="single" w:sz="4" w:space="0" w:color="auto"/>
              <w:right w:val="single" w:sz="8" w:space="0" w:color="auto"/>
            </w:tcBorders>
            <w:shd w:val="clear" w:color="auto" w:fill="auto"/>
            <w:hideMark/>
          </w:tcPr>
          <w:p w14:paraId="5A66D81C" w14:textId="27DE636D" w:rsidR="00B637C6" w:rsidRPr="00EB4F80" w:rsidRDefault="00B637C6"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Plateformes existantes. Les réflexions sont en cours développement et son exploitation par des t</w:t>
            </w:r>
            <w:r>
              <w:rPr>
                <w:rFonts w:ascii="Calibri" w:eastAsia="Times New Roman" w:hAnsi="Calibri" w:cs="Calibri"/>
                <w:color w:val="000000"/>
                <w:sz w:val="18"/>
                <w:szCs w:val="18"/>
                <w:lang w:eastAsia="fr-CA"/>
              </w:rPr>
              <w:t>i</w:t>
            </w:r>
            <w:r w:rsidRPr="00EB4F80">
              <w:rPr>
                <w:rFonts w:ascii="Calibri" w:eastAsia="Times New Roman" w:hAnsi="Calibri" w:cs="Calibri"/>
                <w:color w:val="000000"/>
                <w:sz w:val="18"/>
                <w:szCs w:val="18"/>
                <w:lang w:eastAsia="fr-CA"/>
              </w:rPr>
              <w:t>ers</w:t>
            </w:r>
          </w:p>
        </w:tc>
        <w:tc>
          <w:tcPr>
            <w:tcW w:w="1893" w:type="dxa"/>
            <w:tcBorders>
              <w:top w:val="single" w:sz="4" w:space="0" w:color="auto"/>
              <w:left w:val="nil"/>
              <w:bottom w:val="single" w:sz="4" w:space="0" w:color="auto"/>
              <w:right w:val="nil"/>
            </w:tcBorders>
            <w:shd w:val="clear" w:color="auto" w:fill="auto"/>
            <w:hideMark/>
          </w:tcPr>
          <w:p w14:paraId="367D85A9" w14:textId="77777777" w:rsidR="00B637C6" w:rsidRPr="00EB4F80" w:rsidRDefault="00B637C6"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2022-12-31</w:t>
            </w:r>
          </w:p>
        </w:tc>
        <w:tc>
          <w:tcPr>
            <w:tcW w:w="1659" w:type="dxa"/>
            <w:tcBorders>
              <w:top w:val="single" w:sz="4" w:space="0" w:color="auto"/>
              <w:left w:val="single" w:sz="8" w:space="0" w:color="auto"/>
              <w:bottom w:val="single" w:sz="4" w:space="0" w:color="auto"/>
              <w:right w:val="single" w:sz="8" w:space="0" w:color="auto"/>
            </w:tcBorders>
            <w:shd w:val="clear" w:color="auto" w:fill="auto"/>
            <w:noWrap/>
            <w:hideMark/>
          </w:tcPr>
          <w:p w14:paraId="087D75EC" w14:textId="77777777" w:rsidR="00B637C6" w:rsidRPr="00EB4F80" w:rsidRDefault="00B637C6"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DG / Commerciaux</w:t>
            </w:r>
          </w:p>
        </w:tc>
        <w:tc>
          <w:tcPr>
            <w:tcW w:w="2357" w:type="dxa"/>
            <w:tcBorders>
              <w:top w:val="single" w:sz="4" w:space="0" w:color="auto"/>
              <w:left w:val="nil"/>
              <w:bottom w:val="single" w:sz="4" w:space="0" w:color="auto"/>
              <w:right w:val="single" w:sz="8" w:space="0" w:color="auto"/>
            </w:tcBorders>
            <w:shd w:val="clear" w:color="auto" w:fill="auto"/>
            <w:noWrap/>
            <w:hideMark/>
          </w:tcPr>
          <w:p w14:paraId="502183D3" w14:textId="77777777" w:rsidR="00B637C6" w:rsidRPr="00EB4F80" w:rsidRDefault="00B637C6"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En continu</w:t>
            </w:r>
          </w:p>
        </w:tc>
      </w:tr>
      <w:tr w:rsidR="00B637C6" w:rsidRPr="00EB4F80" w14:paraId="1EA2F1D1" w14:textId="77777777" w:rsidTr="00B637C6">
        <w:trPr>
          <w:trHeight w:val="1084"/>
          <w:jc w:val="center"/>
        </w:trPr>
        <w:tc>
          <w:tcPr>
            <w:tcW w:w="462" w:type="dxa"/>
            <w:tcBorders>
              <w:top w:val="single" w:sz="4" w:space="0" w:color="auto"/>
              <w:left w:val="single" w:sz="8" w:space="0" w:color="auto"/>
              <w:bottom w:val="single" w:sz="4" w:space="0" w:color="auto"/>
              <w:right w:val="single" w:sz="8" w:space="0" w:color="auto"/>
            </w:tcBorders>
            <w:shd w:val="clear" w:color="auto" w:fill="auto"/>
            <w:noWrap/>
            <w:vAlign w:val="bottom"/>
          </w:tcPr>
          <w:p w14:paraId="1E871865" w14:textId="77777777" w:rsidR="00B637C6" w:rsidRPr="00EB4F80" w:rsidRDefault="00B637C6" w:rsidP="00EB4F80">
            <w:pPr>
              <w:jc w:val="right"/>
              <w:rPr>
                <w:rFonts w:ascii="Calibri" w:eastAsia="Times New Roman" w:hAnsi="Calibri" w:cs="Calibri"/>
                <w:color w:val="000000"/>
                <w:sz w:val="18"/>
                <w:szCs w:val="18"/>
                <w:lang w:eastAsia="fr-CA"/>
              </w:rPr>
            </w:pPr>
          </w:p>
        </w:tc>
        <w:tc>
          <w:tcPr>
            <w:tcW w:w="5162" w:type="dxa"/>
            <w:tcBorders>
              <w:top w:val="single" w:sz="4" w:space="0" w:color="auto"/>
              <w:left w:val="nil"/>
              <w:bottom w:val="single" w:sz="4" w:space="0" w:color="auto"/>
              <w:right w:val="single" w:sz="4" w:space="0" w:color="auto"/>
            </w:tcBorders>
            <w:shd w:val="clear" w:color="auto" w:fill="auto"/>
          </w:tcPr>
          <w:p w14:paraId="3FBF9C7B" w14:textId="77777777" w:rsidR="00B637C6" w:rsidRPr="00A07661" w:rsidRDefault="00B637C6" w:rsidP="00EB4F80">
            <w:pPr>
              <w:rPr>
                <w:rFonts w:ascii="Calibri" w:eastAsia="Times New Roman" w:hAnsi="Calibri" w:cs="Calibri"/>
                <w:color w:val="000000"/>
                <w:sz w:val="18"/>
                <w:szCs w:val="18"/>
                <w:lang w:eastAsia="fr-CA"/>
              </w:rPr>
            </w:pPr>
            <w:proofErr w:type="gramStart"/>
            <w:r w:rsidRPr="00A07661">
              <w:rPr>
                <w:rFonts w:ascii="Calibri" w:eastAsia="Times New Roman" w:hAnsi="Calibri" w:cs="Calibri"/>
                <w:color w:val="000000"/>
                <w:sz w:val="18"/>
                <w:szCs w:val="18"/>
                <w:lang w:eastAsia="fr-CA"/>
              </w:rPr>
              <w:t>organisations</w:t>
            </w:r>
            <w:proofErr w:type="gramEnd"/>
            <w:r w:rsidRPr="00A07661">
              <w:rPr>
                <w:rFonts w:ascii="Calibri" w:eastAsia="Times New Roman" w:hAnsi="Calibri" w:cs="Calibri"/>
                <w:color w:val="000000"/>
                <w:sz w:val="18"/>
                <w:szCs w:val="18"/>
                <w:lang w:eastAsia="fr-CA"/>
              </w:rPr>
              <w:t xml:space="preserve"> publiques des secteurs privés</w:t>
            </w:r>
          </w:p>
        </w:tc>
        <w:tc>
          <w:tcPr>
            <w:tcW w:w="2330" w:type="dxa"/>
            <w:tcBorders>
              <w:top w:val="single" w:sz="4" w:space="0" w:color="auto"/>
              <w:left w:val="single" w:sz="4" w:space="0" w:color="auto"/>
              <w:bottom w:val="single" w:sz="4" w:space="0" w:color="auto"/>
              <w:right w:val="single" w:sz="8" w:space="0" w:color="auto"/>
            </w:tcBorders>
            <w:shd w:val="clear" w:color="auto" w:fill="auto"/>
          </w:tcPr>
          <w:p w14:paraId="34E2E098" w14:textId="77777777" w:rsidR="00B637C6" w:rsidRPr="00EB4F80" w:rsidRDefault="00B637C6" w:rsidP="00EB4F80">
            <w:pPr>
              <w:rPr>
                <w:rFonts w:ascii="Calibri" w:eastAsia="Times New Roman" w:hAnsi="Calibri" w:cs="Calibri"/>
                <w:color w:val="000000"/>
                <w:sz w:val="18"/>
                <w:szCs w:val="18"/>
                <w:lang w:eastAsia="fr-CA"/>
              </w:rPr>
            </w:pPr>
          </w:p>
        </w:tc>
        <w:tc>
          <w:tcPr>
            <w:tcW w:w="1893" w:type="dxa"/>
            <w:tcBorders>
              <w:top w:val="single" w:sz="4" w:space="0" w:color="auto"/>
              <w:left w:val="nil"/>
              <w:bottom w:val="single" w:sz="4" w:space="0" w:color="auto"/>
              <w:right w:val="nil"/>
            </w:tcBorders>
            <w:shd w:val="clear" w:color="auto" w:fill="auto"/>
          </w:tcPr>
          <w:p w14:paraId="7ECEECC0" w14:textId="77777777" w:rsidR="00B637C6" w:rsidRPr="00EB4F80" w:rsidRDefault="00B637C6" w:rsidP="00EB4F80">
            <w:pPr>
              <w:jc w:val="right"/>
              <w:rPr>
                <w:rFonts w:ascii="Calibri" w:eastAsia="Times New Roman" w:hAnsi="Calibri" w:cs="Calibri"/>
                <w:color w:val="000000"/>
                <w:sz w:val="18"/>
                <w:szCs w:val="18"/>
                <w:lang w:eastAsia="fr-CA"/>
              </w:rPr>
            </w:pPr>
          </w:p>
        </w:tc>
        <w:tc>
          <w:tcPr>
            <w:tcW w:w="1659" w:type="dxa"/>
            <w:tcBorders>
              <w:top w:val="single" w:sz="4" w:space="0" w:color="auto"/>
              <w:left w:val="single" w:sz="8" w:space="0" w:color="auto"/>
              <w:bottom w:val="single" w:sz="4" w:space="0" w:color="auto"/>
              <w:right w:val="single" w:sz="8" w:space="0" w:color="auto"/>
            </w:tcBorders>
            <w:shd w:val="clear" w:color="auto" w:fill="auto"/>
            <w:noWrap/>
          </w:tcPr>
          <w:p w14:paraId="635D712B" w14:textId="77777777" w:rsidR="00B637C6" w:rsidRPr="00EB4F80" w:rsidRDefault="00B637C6" w:rsidP="00EB4F80">
            <w:pPr>
              <w:rPr>
                <w:rFonts w:ascii="Calibri" w:eastAsia="Times New Roman" w:hAnsi="Calibri" w:cs="Calibri"/>
                <w:color w:val="000000"/>
                <w:sz w:val="18"/>
                <w:szCs w:val="18"/>
                <w:lang w:eastAsia="fr-CA"/>
              </w:rPr>
            </w:pPr>
          </w:p>
        </w:tc>
        <w:tc>
          <w:tcPr>
            <w:tcW w:w="2357" w:type="dxa"/>
            <w:tcBorders>
              <w:top w:val="single" w:sz="4" w:space="0" w:color="auto"/>
              <w:left w:val="nil"/>
              <w:bottom w:val="single" w:sz="4" w:space="0" w:color="auto"/>
              <w:right w:val="single" w:sz="8" w:space="0" w:color="auto"/>
            </w:tcBorders>
            <w:shd w:val="clear" w:color="auto" w:fill="auto"/>
            <w:noWrap/>
          </w:tcPr>
          <w:p w14:paraId="12CB5C5C" w14:textId="77777777" w:rsidR="00B637C6" w:rsidRPr="00EB4F80" w:rsidRDefault="00B637C6" w:rsidP="00EB4F80">
            <w:pPr>
              <w:rPr>
                <w:rFonts w:ascii="Calibri" w:eastAsia="Times New Roman" w:hAnsi="Calibri" w:cs="Calibri"/>
                <w:color w:val="000000"/>
                <w:sz w:val="18"/>
                <w:szCs w:val="18"/>
                <w:lang w:eastAsia="fr-CA"/>
              </w:rPr>
            </w:pPr>
          </w:p>
        </w:tc>
      </w:tr>
      <w:tr w:rsidR="00A07661" w:rsidRPr="00EB4F80" w14:paraId="14B8EB5B" w14:textId="77777777" w:rsidTr="00AF56FD">
        <w:trPr>
          <w:trHeight w:val="986"/>
          <w:jc w:val="center"/>
        </w:trPr>
        <w:tc>
          <w:tcPr>
            <w:tcW w:w="462" w:type="dxa"/>
            <w:tcBorders>
              <w:top w:val="nil"/>
              <w:left w:val="single" w:sz="8" w:space="0" w:color="auto"/>
              <w:bottom w:val="single" w:sz="4" w:space="0" w:color="auto"/>
              <w:right w:val="single" w:sz="8" w:space="0" w:color="auto"/>
            </w:tcBorders>
            <w:shd w:val="clear" w:color="auto" w:fill="auto"/>
            <w:noWrap/>
            <w:vAlign w:val="bottom"/>
          </w:tcPr>
          <w:p w14:paraId="1EC29DE5" w14:textId="1529B011" w:rsidR="00A07661" w:rsidRPr="00EB4F80" w:rsidRDefault="00A07661" w:rsidP="00EB4F80">
            <w:pPr>
              <w:jc w:val="right"/>
              <w:rPr>
                <w:rFonts w:ascii="Calibri" w:eastAsia="Times New Roman" w:hAnsi="Calibri" w:cs="Calibri"/>
                <w:color w:val="000000"/>
                <w:sz w:val="18"/>
                <w:szCs w:val="18"/>
                <w:lang w:eastAsia="fr-CA"/>
              </w:rPr>
            </w:pPr>
            <w:r>
              <w:rPr>
                <w:rFonts w:ascii="Calibri" w:eastAsia="Times New Roman" w:hAnsi="Calibri" w:cs="Calibri"/>
                <w:color w:val="000000"/>
                <w:sz w:val="18"/>
                <w:szCs w:val="18"/>
                <w:lang w:eastAsia="fr-CA"/>
              </w:rPr>
              <w:t>9</w:t>
            </w:r>
          </w:p>
        </w:tc>
        <w:tc>
          <w:tcPr>
            <w:tcW w:w="5162" w:type="dxa"/>
            <w:tcBorders>
              <w:top w:val="nil"/>
              <w:left w:val="nil"/>
              <w:bottom w:val="single" w:sz="4" w:space="0" w:color="auto"/>
              <w:right w:val="nil"/>
            </w:tcBorders>
            <w:shd w:val="clear" w:color="auto" w:fill="auto"/>
            <w:vAlign w:val="bottom"/>
          </w:tcPr>
          <w:p w14:paraId="2B30165C" w14:textId="76CF466A" w:rsidR="00A07661" w:rsidRPr="00A07661" w:rsidRDefault="00A07661" w:rsidP="00EB4F80">
            <w:pPr>
              <w:rPr>
                <w:rFonts w:ascii="Calibri" w:eastAsia="Times New Roman" w:hAnsi="Calibri" w:cs="Calibri"/>
                <w:color w:val="000000"/>
                <w:sz w:val="18"/>
                <w:szCs w:val="18"/>
                <w:lang w:eastAsia="fr-CA"/>
              </w:rPr>
            </w:pPr>
            <w:r w:rsidRPr="00A07661">
              <w:rPr>
                <w:rFonts w:ascii="Calibri" w:eastAsia="Times New Roman" w:hAnsi="Calibri" w:cs="Calibri"/>
                <w:color w:val="000000"/>
                <w:sz w:val="18"/>
                <w:szCs w:val="18"/>
                <w:lang w:eastAsia="fr-CA"/>
              </w:rPr>
              <w:t>Sur la base des rapports des commissaires aux comptes, prendre toutes les dispositions qui s’imposent pour préparer et présenter au CA</w:t>
            </w:r>
          </w:p>
        </w:tc>
        <w:tc>
          <w:tcPr>
            <w:tcW w:w="2330" w:type="dxa"/>
            <w:tcBorders>
              <w:top w:val="nil"/>
              <w:left w:val="single" w:sz="8" w:space="0" w:color="auto"/>
              <w:bottom w:val="single" w:sz="4" w:space="0" w:color="auto"/>
              <w:right w:val="single" w:sz="8" w:space="0" w:color="auto"/>
            </w:tcBorders>
            <w:shd w:val="clear" w:color="auto" w:fill="auto"/>
            <w:vAlign w:val="bottom"/>
          </w:tcPr>
          <w:p w14:paraId="6ED69BCA" w14:textId="77777777" w:rsidR="00A07661" w:rsidRPr="00EB4F80" w:rsidRDefault="00A07661" w:rsidP="00EB4F80">
            <w:pPr>
              <w:rPr>
                <w:rFonts w:ascii="Calibri" w:eastAsia="Times New Roman" w:hAnsi="Calibri" w:cs="Calibri"/>
                <w:color w:val="000000"/>
                <w:sz w:val="18"/>
                <w:szCs w:val="18"/>
                <w:lang w:eastAsia="fr-CA"/>
              </w:rPr>
            </w:pPr>
          </w:p>
        </w:tc>
        <w:tc>
          <w:tcPr>
            <w:tcW w:w="1893" w:type="dxa"/>
            <w:tcBorders>
              <w:top w:val="nil"/>
              <w:left w:val="nil"/>
              <w:bottom w:val="single" w:sz="4" w:space="0" w:color="auto"/>
              <w:right w:val="nil"/>
            </w:tcBorders>
            <w:shd w:val="clear" w:color="auto" w:fill="auto"/>
            <w:vAlign w:val="bottom"/>
          </w:tcPr>
          <w:p w14:paraId="3A238274" w14:textId="77777777" w:rsidR="00A07661" w:rsidRPr="00EB4F80" w:rsidRDefault="00A07661" w:rsidP="00EB4F80">
            <w:pPr>
              <w:jc w:val="right"/>
              <w:rPr>
                <w:rFonts w:ascii="Calibri" w:eastAsia="Times New Roman" w:hAnsi="Calibri" w:cs="Calibri"/>
                <w:color w:val="000000"/>
                <w:sz w:val="18"/>
                <w:szCs w:val="18"/>
                <w:lang w:eastAsia="fr-CA"/>
              </w:rPr>
            </w:pPr>
          </w:p>
        </w:tc>
        <w:tc>
          <w:tcPr>
            <w:tcW w:w="1659" w:type="dxa"/>
            <w:tcBorders>
              <w:top w:val="nil"/>
              <w:left w:val="single" w:sz="8" w:space="0" w:color="auto"/>
              <w:bottom w:val="single" w:sz="4" w:space="0" w:color="auto"/>
              <w:right w:val="single" w:sz="8" w:space="0" w:color="auto"/>
            </w:tcBorders>
            <w:shd w:val="clear" w:color="auto" w:fill="auto"/>
            <w:noWrap/>
            <w:vAlign w:val="bottom"/>
          </w:tcPr>
          <w:p w14:paraId="7F506F88" w14:textId="77777777" w:rsidR="00A07661" w:rsidRPr="00EB4F80" w:rsidRDefault="00A07661" w:rsidP="00EB4F80">
            <w:pPr>
              <w:rPr>
                <w:rFonts w:ascii="Calibri" w:eastAsia="Times New Roman" w:hAnsi="Calibri" w:cs="Calibri"/>
                <w:color w:val="000000"/>
                <w:sz w:val="18"/>
                <w:szCs w:val="18"/>
                <w:lang w:eastAsia="fr-CA"/>
              </w:rPr>
            </w:pPr>
          </w:p>
        </w:tc>
        <w:tc>
          <w:tcPr>
            <w:tcW w:w="2357" w:type="dxa"/>
            <w:tcBorders>
              <w:top w:val="nil"/>
              <w:left w:val="nil"/>
              <w:bottom w:val="single" w:sz="4" w:space="0" w:color="auto"/>
              <w:right w:val="single" w:sz="8" w:space="0" w:color="auto"/>
            </w:tcBorders>
            <w:shd w:val="clear" w:color="auto" w:fill="auto"/>
            <w:noWrap/>
            <w:vAlign w:val="bottom"/>
          </w:tcPr>
          <w:p w14:paraId="4BD3BAFA" w14:textId="77777777" w:rsidR="00A07661" w:rsidRPr="00EB4F80" w:rsidRDefault="00A07661" w:rsidP="00EB4F80">
            <w:pPr>
              <w:rPr>
                <w:rFonts w:ascii="Calibri" w:eastAsia="Times New Roman" w:hAnsi="Calibri" w:cs="Calibri"/>
                <w:color w:val="000000"/>
                <w:sz w:val="18"/>
                <w:szCs w:val="18"/>
                <w:lang w:eastAsia="fr-CA"/>
              </w:rPr>
            </w:pPr>
          </w:p>
        </w:tc>
      </w:tr>
      <w:tr w:rsidR="00EB4F80" w:rsidRPr="00EB4F80" w14:paraId="63B3198F" w14:textId="77777777" w:rsidTr="00AF56FD">
        <w:trPr>
          <w:trHeight w:val="344"/>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746411DC" w14:textId="3733CD52" w:rsidR="00EB4F80" w:rsidRPr="00EB4F80" w:rsidRDefault="00EB4F80" w:rsidP="00EB4F80">
            <w:pPr>
              <w:rPr>
                <w:rFonts w:ascii="Calibri" w:eastAsia="Times New Roman" w:hAnsi="Calibri" w:cs="Calibri"/>
                <w:b/>
                <w:bCs/>
                <w:color w:val="000000"/>
                <w:sz w:val="18"/>
                <w:szCs w:val="18"/>
                <w:lang w:eastAsia="fr-CA"/>
              </w:rPr>
            </w:pPr>
            <w:r w:rsidRPr="00EB4F80">
              <w:rPr>
                <w:rFonts w:ascii="Calibri" w:eastAsia="Times New Roman" w:hAnsi="Calibri" w:cs="Calibri"/>
                <w:b/>
                <w:bCs/>
                <w:color w:val="000000"/>
                <w:sz w:val="18"/>
                <w:szCs w:val="18"/>
                <w:lang w:eastAsia="fr-CA"/>
              </w:rPr>
              <w:t>10</w:t>
            </w:r>
          </w:p>
        </w:tc>
        <w:tc>
          <w:tcPr>
            <w:tcW w:w="5162" w:type="dxa"/>
            <w:tcBorders>
              <w:top w:val="nil"/>
              <w:left w:val="nil"/>
              <w:bottom w:val="single" w:sz="4" w:space="0" w:color="auto"/>
              <w:right w:val="nil"/>
            </w:tcBorders>
            <w:shd w:val="clear" w:color="auto" w:fill="auto"/>
            <w:noWrap/>
            <w:vAlign w:val="bottom"/>
            <w:hideMark/>
          </w:tcPr>
          <w:p w14:paraId="3E0E24AD" w14:textId="0621CCD1" w:rsidR="00EB4F80" w:rsidRPr="00EB4F80" w:rsidRDefault="007F70C3"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La</w:t>
            </w:r>
            <w:r w:rsidR="00EB4F80" w:rsidRPr="00EB4F80">
              <w:rPr>
                <w:rFonts w:ascii="Calibri" w:eastAsia="Times New Roman" w:hAnsi="Calibri" w:cs="Calibri"/>
                <w:color w:val="000000"/>
                <w:sz w:val="18"/>
                <w:szCs w:val="18"/>
                <w:lang w:eastAsia="fr-CA"/>
              </w:rPr>
              <w:t xml:space="preserve"> problématique de la gestion du niveau des capitaux propres</w:t>
            </w:r>
          </w:p>
        </w:tc>
        <w:tc>
          <w:tcPr>
            <w:tcW w:w="2330" w:type="dxa"/>
            <w:tcBorders>
              <w:top w:val="nil"/>
              <w:left w:val="single" w:sz="8" w:space="0" w:color="auto"/>
              <w:bottom w:val="single" w:sz="4" w:space="0" w:color="auto"/>
              <w:right w:val="single" w:sz="8" w:space="0" w:color="auto"/>
            </w:tcBorders>
            <w:shd w:val="clear" w:color="auto" w:fill="auto"/>
            <w:noWrap/>
            <w:vAlign w:val="bottom"/>
            <w:hideMark/>
          </w:tcPr>
          <w:p w14:paraId="3FA1CF26"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Note d'information produite</w:t>
            </w:r>
          </w:p>
        </w:tc>
        <w:tc>
          <w:tcPr>
            <w:tcW w:w="1893" w:type="dxa"/>
            <w:tcBorders>
              <w:top w:val="nil"/>
              <w:left w:val="nil"/>
              <w:bottom w:val="single" w:sz="4" w:space="0" w:color="auto"/>
              <w:right w:val="nil"/>
            </w:tcBorders>
            <w:shd w:val="clear" w:color="auto" w:fill="auto"/>
            <w:noWrap/>
            <w:vAlign w:val="bottom"/>
            <w:hideMark/>
          </w:tcPr>
          <w:p w14:paraId="3D94B787"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2022-03-31</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0D517DE7"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CA</w:t>
            </w:r>
          </w:p>
        </w:tc>
        <w:tc>
          <w:tcPr>
            <w:tcW w:w="2357" w:type="dxa"/>
            <w:tcBorders>
              <w:top w:val="nil"/>
              <w:left w:val="nil"/>
              <w:bottom w:val="single" w:sz="4" w:space="0" w:color="auto"/>
              <w:right w:val="single" w:sz="8" w:space="0" w:color="auto"/>
            </w:tcBorders>
            <w:shd w:val="clear" w:color="auto" w:fill="auto"/>
            <w:noWrap/>
            <w:vAlign w:val="bottom"/>
            <w:hideMark/>
          </w:tcPr>
          <w:p w14:paraId="0A57C1D1"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Décision du CA attendu</w:t>
            </w:r>
          </w:p>
        </w:tc>
      </w:tr>
      <w:tr w:rsidR="00EB4F80" w:rsidRPr="00EB4F80" w14:paraId="688613ED" w14:textId="77777777" w:rsidTr="00AF56FD">
        <w:trPr>
          <w:trHeight w:val="502"/>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68E86A59" w14:textId="5B578C88" w:rsidR="00EB4F80" w:rsidRPr="00EB4F80" w:rsidRDefault="00EB4F80" w:rsidP="00EB4F80">
            <w:pPr>
              <w:rPr>
                <w:rFonts w:ascii="Calibri" w:eastAsia="Times New Roman" w:hAnsi="Calibri" w:cs="Calibri"/>
                <w:b/>
                <w:bCs/>
                <w:color w:val="000000"/>
                <w:sz w:val="18"/>
                <w:szCs w:val="18"/>
                <w:lang w:eastAsia="fr-CA"/>
              </w:rPr>
            </w:pPr>
            <w:r w:rsidRPr="00EB4F80">
              <w:rPr>
                <w:rFonts w:ascii="Calibri" w:eastAsia="Times New Roman" w:hAnsi="Calibri" w:cs="Calibri"/>
                <w:b/>
                <w:bCs/>
                <w:color w:val="000000"/>
                <w:sz w:val="18"/>
                <w:szCs w:val="18"/>
                <w:lang w:eastAsia="fr-CA"/>
              </w:rPr>
              <w:t>10.</w:t>
            </w:r>
            <w:r w:rsidR="007A4856">
              <w:rPr>
                <w:rFonts w:ascii="Calibri" w:eastAsia="Times New Roman" w:hAnsi="Calibri" w:cs="Calibri"/>
                <w:b/>
                <w:bCs/>
                <w:color w:val="000000"/>
                <w:sz w:val="18"/>
                <w:szCs w:val="18"/>
                <w:lang w:eastAsia="fr-CA"/>
              </w:rPr>
              <w:t>1</w:t>
            </w:r>
          </w:p>
        </w:tc>
        <w:tc>
          <w:tcPr>
            <w:tcW w:w="5162" w:type="dxa"/>
            <w:tcBorders>
              <w:top w:val="nil"/>
              <w:left w:val="nil"/>
              <w:bottom w:val="single" w:sz="4" w:space="0" w:color="auto"/>
              <w:right w:val="nil"/>
            </w:tcBorders>
            <w:shd w:val="clear" w:color="auto" w:fill="auto"/>
            <w:noWrap/>
            <w:vAlign w:val="bottom"/>
            <w:hideMark/>
          </w:tcPr>
          <w:p w14:paraId="3744CBA6" w14:textId="53542A30" w:rsidR="00EB4F80" w:rsidRPr="00EB4F80" w:rsidRDefault="00EC391E" w:rsidP="00EB4F80">
            <w:pPr>
              <w:rPr>
                <w:rFonts w:ascii="Calibri" w:eastAsia="Times New Roman" w:hAnsi="Calibri" w:cs="Calibri"/>
                <w:color w:val="000000"/>
                <w:sz w:val="18"/>
                <w:szCs w:val="18"/>
                <w:lang w:eastAsia="fr-CA"/>
              </w:rPr>
            </w:pPr>
            <w:r w:rsidRPr="00EC391E">
              <w:rPr>
                <w:rFonts w:ascii="Calibri" w:eastAsia="Times New Roman" w:hAnsi="Calibri" w:cs="Calibri"/>
                <w:color w:val="000000"/>
                <w:sz w:val="18"/>
                <w:szCs w:val="18"/>
                <w:lang w:eastAsia="fr-CA"/>
              </w:rPr>
              <w:t>La régularisation des soldes des créances clients datant de plus de 2 ans</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654567AF" w14:textId="4CA82C06"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Contrat signé avec le prestataire et les travaux d'</w:t>
            </w:r>
            <w:r w:rsidR="007F70C3" w:rsidRPr="00EB4F80">
              <w:rPr>
                <w:rFonts w:ascii="Calibri" w:eastAsia="Times New Roman" w:hAnsi="Calibri" w:cs="Calibri"/>
                <w:color w:val="000000"/>
                <w:sz w:val="18"/>
                <w:szCs w:val="18"/>
                <w:lang w:eastAsia="fr-CA"/>
              </w:rPr>
              <w:t>apurement</w:t>
            </w:r>
            <w:r w:rsidRPr="00EB4F80">
              <w:rPr>
                <w:rFonts w:ascii="Calibri" w:eastAsia="Times New Roman" w:hAnsi="Calibri" w:cs="Calibri"/>
                <w:color w:val="000000"/>
                <w:sz w:val="18"/>
                <w:szCs w:val="18"/>
                <w:lang w:eastAsia="fr-CA"/>
              </w:rPr>
              <w:t xml:space="preserve"> en cours</w:t>
            </w:r>
          </w:p>
        </w:tc>
        <w:tc>
          <w:tcPr>
            <w:tcW w:w="1893" w:type="dxa"/>
            <w:tcBorders>
              <w:top w:val="nil"/>
              <w:left w:val="nil"/>
              <w:bottom w:val="single" w:sz="4" w:space="0" w:color="auto"/>
              <w:right w:val="nil"/>
            </w:tcBorders>
            <w:shd w:val="clear" w:color="auto" w:fill="auto"/>
            <w:noWrap/>
            <w:vAlign w:val="bottom"/>
            <w:hideMark/>
          </w:tcPr>
          <w:p w14:paraId="32A7903F"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2022-03-31</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61559B66"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Comptabilité</w:t>
            </w:r>
          </w:p>
        </w:tc>
        <w:tc>
          <w:tcPr>
            <w:tcW w:w="2357" w:type="dxa"/>
            <w:tcBorders>
              <w:top w:val="nil"/>
              <w:left w:val="nil"/>
              <w:bottom w:val="single" w:sz="4" w:space="0" w:color="auto"/>
              <w:right w:val="single" w:sz="8" w:space="0" w:color="auto"/>
            </w:tcBorders>
            <w:shd w:val="clear" w:color="auto" w:fill="auto"/>
            <w:vAlign w:val="bottom"/>
            <w:hideMark/>
          </w:tcPr>
          <w:p w14:paraId="2C378214" w14:textId="36544C15" w:rsidR="00EB4F80" w:rsidRPr="00EB4F80" w:rsidRDefault="007F70C3"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Écritures</w:t>
            </w:r>
            <w:r w:rsidR="00EB4F80" w:rsidRPr="00EB4F80">
              <w:rPr>
                <w:rFonts w:ascii="Calibri" w:eastAsia="Times New Roman" w:hAnsi="Calibri" w:cs="Calibri"/>
                <w:color w:val="000000"/>
                <w:sz w:val="18"/>
                <w:szCs w:val="18"/>
                <w:lang w:eastAsia="fr-CA"/>
              </w:rPr>
              <w:t xml:space="preserve"> de </w:t>
            </w:r>
            <w:r w:rsidRPr="00EB4F80">
              <w:rPr>
                <w:rFonts w:ascii="Calibri" w:eastAsia="Times New Roman" w:hAnsi="Calibri" w:cs="Calibri"/>
                <w:color w:val="000000"/>
                <w:sz w:val="18"/>
                <w:szCs w:val="18"/>
                <w:lang w:eastAsia="fr-CA"/>
              </w:rPr>
              <w:t>régularisation</w:t>
            </w:r>
            <w:r w:rsidR="00EB4F80" w:rsidRPr="00EB4F80">
              <w:rPr>
                <w:rFonts w:ascii="Calibri" w:eastAsia="Times New Roman" w:hAnsi="Calibri" w:cs="Calibri"/>
                <w:color w:val="000000"/>
                <w:sz w:val="18"/>
                <w:szCs w:val="18"/>
                <w:lang w:eastAsia="fr-CA"/>
              </w:rPr>
              <w:t xml:space="preserve"> n'ont pas été proposée par le Consultant</w:t>
            </w:r>
          </w:p>
        </w:tc>
      </w:tr>
      <w:tr w:rsidR="00EB4F80" w:rsidRPr="00EB4F80" w14:paraId="670181C6" w14:textId="77777777" w:rsidTr="00AF56FD">
        <w:trPr>
          <w:trHeight w:val="502"/>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7AB7630E" w14:textId="36EC7B71" w:rsidR="00EB4F80" w:rsidRPr="00EB4F80" w:rsidRDefault="00EB4F80" w:rsidP="00EB4F80">
            <w:pPr>
              <w:rPr>
                <w:rFonts w:ascii="Calibri" w:eastAsia="Times New Roman" w:hAnsi="Calibri" w:cs="Calibri"/>
                <w:b/>
                <w:bCs/>
                <w:color w:val="000000"/>
                <w:sz w:val="18"/>
                <w:szCs w:val="18"/>
                <w:lang w:eastAsia="fr-CA"/>
              </w:rPr>
            </w:pPr>
            <w:r w:rsidRPr="00EB4F80">
              <w:rPr>
                <w:rFonts w:ascii="Calibri" w:eastAsia="Times New Roman" w:hAnsi="Calibri" w:cs="Calibri"/>
                <w:b/>
                <w:bCs/>
                <w:color w:val="000000"/>
                <w:sz w:val="18"/>
                <w:szCs w:val="18"/>
                <w:lang w:eastAsia="fr-CA"/>
              </w:rPr>
              <w:t>10.</w:t>
            </w:r>
            <w:r w:rsidR="007A4856">
              <w:rPr>
                <w:rFonts w:ascii="Calibri" w:eastAsia="Times New Roman" w:hAnsi="Calibri" w:cs="Calibri"/>
                <w:b/>
                <w:bCs/>
                <w:color w:val="000000"/>
                <w:sz w:val="18"/>
                <w:szCs w:val="18"/>
                <w:lang w:eastAsia="fr-CA"/>
              </w:rPr>
              <w:t>2</w:t>
            </w:r>
          </w:p>
        </w:tc>
        <w:tc>
          <w:tcPr>
            <w:tcW w:w="5162" w:type="dxa"/>
            <w:tcBorders>
              <w:top w:val="nil"/>
              <w:left w:val="nil"/>
              <w:bottom w:val="single" w:sz="4" w:space="0" w:color="auto"/>
              <w:right w:val="nil"/>
            </w:tcBorders>
            <w:shd w:val="clear" w:color="auto" w:fill="auto"/>
            <w:vAlign w:val="bottom"/>
            <w:hideMark/>
          </w:tcPr>
          <w:p w14:paraId="686008DE" w14:textId="37DC4D0A" w:rsidR="00EB4F80" w:rsidRPr="00EB4F80" w:rsidRDefault="00EC391E" w:rsidP="00EB4F80">
            <w:pPr>
              <w:rPr>
                <w:rFonts w:ascii="Calibri" w:eastAsia="Times New Roman" w:hAnsi="Calibri" w:cs="Calibri"/>
                <w:color w:val="000000"/>
                <w:sz w:val="18"/>
                <w:szCs w:val="18"/>
                <w:lang w:eastAsia="fr-CA"/>
              </w:rPr>
            </w:pPr>
            <w:r w:rsidRPr="00EC391E">
              <w:rPr>
                <w:rFonts w:ascii="Calibri" w:eastAsia="Times New Roman" w:hAnsi="Calibri" w:cs="Calibri"/>
                <w:color w:val="000000"/>
                <w:sz w:val="18"/>
                <w:szCs w:val="18"/>
                <w:lang w:eastAsia="fr-CA"/>
              </w:rPr>
              <w:t>La régularisation et l’apurement des soldes des comptes d’attentes débiteurs et créditeurs</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4741255C" w14:textId="24F08A8D"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Contrat signé avec le prestataire et les travaux d'</w:t>
            </w:r>
            <w:r w:rsidR="007F70C3" w:rsidRPr="00EB4F80">
              <w:rPr>
                <w:rFonts w:ascii="Calibri" w:eastAsia="Times New Roman" w:hAnsi="Calibri" w:cs="Calibri"/>
                <w:color w:val="000000"/>
                <w:sz w:val="18"/>
                <w:szCs w:val="18"/>
                <w:lang w:eastAsia="fr-CA"/>
              </w:rPr>
              <w:t>apurement</w:t>
            </w:r>
            <w:r w:rsidRPr="00EB4F80">
              <w:rPr>
                <w:rFonts w:ascii="Calibri" w:eastAsia="Times New Roman" w:hAnsi="Calibri" w:cs="Calibri"/>
                <w:color w:val="000000"/>
                <w:sz w:val="18"/>
                <w:szCs w:val="18"/>
                <w:lang w:eastAsia="fr-CA"/>
              </w:rPr>
              <w:t xml:space="preserve"> en cours</w:t>
            </w:r>
          </w:p>
        </w:tc>
        <w:tc>
          <w:tcPr>
            <w:tcW w:w="1893" w:type="dxa"/>
            <w:tcBorders>
              <w:top w:val="nil"/>
              <w:left w:val="nil"/>
              <w:bottom w:val="single" w:sz="4" w:space="0" w:color="auto"/>
              <w:right w:val="nil"/>
            </w:tcBorders>
            <w:shd w:val="clear" w:color="auto" w:fill="auto"/>
            <w:noWrap/>
            <w:vAlign w:val="bottom"/>
            <w:hideMark/>
          </w:tcPr>
          <w:p w14:paraId="294305CD"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2022-04-01</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0B4258FA"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Comptabilité</w:t>
            </w:r>
          </w:p>
        </w:tc>
        <w:tc>
          <w:tcPr>
            <w:tcW w:w="2357" w:type="dxa"/>
            <w:tcBorders>
              <w:top w:val="nil"/>
              <w:left w:val="nil"/>
              <w:bottom w:val="single" w:sz="4" w:space="0" w:color="auto"/>
              <w:right w:val="single" w:sz="8" w:space="0" w:color="auto"/>
            </w:tcBorders>
            <w:shd w:val="clear" w:color="auto" w:fill="auto"/>
            <w:vAlign w:val="bottom"/>
            <w:hideMark/>
          </w:tcPr>
          <w:p w14:paraId="0B5C1796" w14:textId="4CB4E1A3" w:rsidR="00EB4F80" w:rsidRPr="00EB4F80" w:rsidRDefault="007F70C3"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Écritures</w:t>
            </w:r>
            <w:r w:rsidR="00EB4F80" w:rsidRPr="00EB4F80">
              <w:rPr>
                <w:rFonts w:ascii="Calibri" w:eastAsia="Times New Roman" w:hAnsi="Calibri" w:cs="Calibri"/>
                <w:color w:val="000000"/>
                <w:sz w:val="18"/>
                <w:szCs w:val="18"/>
                <w:lang w:eastAsia="fr-CA"/>
              </w:rPr>
              <w:t xml:space="preserve"> de </w:t>
            </w:r>
            <w:r w:rsidRPr="00EB4F80">
              <w:rPr>
                <w:rFonts w:ascii="Calibri" w:eastAsia="Times New Roman" w:hAnsi="Calibri" w:cs="Calibri"/>
                <w:color w:val="000000"/>
                <w:sz w:val="18"/>
                <w:szCs w:val="18"/>
                <w:lang w:eastAsia="fr-CA"/>
              </w:rPr>
              <w:t>régularisation</w:t>
            </w:r>
            <w:r w:rsidR="00EB4F80" w:rsidRPr="00EB4F80">
              <w:rPr>
                <w:rFonts w:ascii="Calibri" w:eastAsia="Times New Roman" w:hAnsi="Calibri" w:cs="Calibri"/>
                <w:color w:val="000000"/>
                <w:sz w:val="18"/>
                <w:szCs w:val="18"/>
                <w:lang w:eastAsia="fr-CA"/>
              </w:rPr>
              <w:t xml:space="preserve"> n'ont pas été proposé par le Consultant</w:t>
            </w:r>
          </w:p>
        </w:tc>
      </w:tr>
      <w:tr w:rsidR="00EB4F80" w:rsidRPr="00EB4F80" w14:paraId="54741921" w14:textId="77777777" w:rsidTr="00AF56FD">
        <w:trPr>
          <w:trHeight w:val="516"/>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3FDC702E" w14:textId="1D7730F3" w:rsidR="00EB4F80" w:rsidRPr="00EB4F80" w:rsidRDefault="00EB4F80" w:rsidP="00EB4F80">
            <w:pPr>
              <w:rPr>
                <w:rFonts w:ascii="Calibri" w:eastAsia="Times New Roman" w:hAnsi="Calibri" w:cs="Calibri"/>
                <w:b/>
                <w:bCs/>
                <w:color w:val="000000"/>
                <w:sz w:val="18"/>
                <w:szCs w:val="18"/>
                <w:lang w:eastAsia="fr-CA"/>
              </w:rPr>
            </w:pPr>
            <w:r w:rsidRPr="00EB4F80">
              <w:rPr>
                <w:rFonts w:ascii="Calibri" w:eastAsia="Times New Roman" w:hAnsi="Calibri" w:cs="Calibri"/>
                <w:b/>
                <w:bCs/>
                <w:color w:val="000000"/>
                <w:sz w:val="18"/>
                <w:szCs w:val="18"/>
                <w:lang w:eastAsia="fr-CA"/>
              </w:rPr>
              <w:t>10.</w:t>
            </w:r>
            <w:r w:rsidR="007A4856">
              <w:rPr>
                <w:rFonts w:ascii="Calibri" w:eastAsia="Times New Roman" w:hAnsi="Calibri" w:cs="Calibri"/>
                <w:b/>
                <w:bCs/>
                <w:color w:val="000000"/>
                <w:sz w:val="18"/>
                <w:szCs w:val="18"/>
                <w:lang w:eastAsia="fr-CA"/>
              </w:rPr>
              <w:t>3</w:t>
            </w:r>
          </w:p>
        </w:tc>
        <w:tc>
          <w:tcPr>
            <w:tcW w:w="5162" w:type="dxa"/>
            <w:tcBorders>
              <w:top w:val="nil"/>
              <w:left w:val="nil"/>
              <w:bottom w:val="single" w:sz="4" w:space="0" w:color="auto"/>
              <w:right w:val="nil"/>
            </w:tcBorders>
            <w:shd w:val="clear" w:color="auto" w:fill="auto"/>
            <w:vAlign w:val="bottom"/>
            <w:hideMark/>
          </w:tcPr>
          <w:p w14:paraId="06C87A18" w14:textId="79F0C3B2" w:rsidR="00EB4F80" w:rsidRPr="00EB4F80" w:rsidRDefault="00EC391E" w:rsidP="00EB4F80">
            <w:pPr>
              <w:rPr>
                <w:rFonts w:ascii="Calibri" w:eastAsia="Times New Roman" w:hAnsi="Calibri" w:cs="Calibri"/>
                <w:color w:val="000000"/>
                <w:sz w:val="18"/>
                <w:szCs w:val="18"/>
                <w:lang w:eastAsia="fr-CA"/>
              </w:rPr>
            </w:pPr>
            <w:r w:rsidRPr="00EC391E">
              <w:rPr>
                <w:rFonts w:ascii="Calibri" w:eastAsia="Times New Roman" w:hAnsi="Calibri" w:cs="Calibri"/>
                <w:color w:val="000000"/>
                <w:sz w:val="18"/>
                <w:szCs w:val="18"/>
                <w:lang w:eastAsia="fr-CA"/>
              </w:rPr>
              <w:t>La production des manuels de procédures administrative comptable et financière formalisées</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540094FA"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TRD validés par le CA. Consultant retenu</w:t>
            </w:r>
          </w:p>
        </w:tc>
        <w:tc>
          <w:tcPr>
            <w:tcW w:w="1893" w:type="dxa"/>
            <w:tcBorders>
              <w:top w:val="nil"/>
              <w:left w:val="nil"/>
              <w:bottom w:val="single" w:sz="4" w:space="0" w:color="auto"/>
              <w:right w:val="nil"/>
            </w:tcBorders>
            <w:shd w:val="clear" w:color="auto" w:fill="auto"/>
            <w:vAlign w:val="bottom"/>
            <w:hideMark/>
          </w:tcPr>
          <w:p w14:paraId="356025BE"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2022-06-30</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4494CB95"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Comptabilité</w:t>
            </w:r>
          </w:p>
        </w:tc>
        <w:tc>
          <w:tcPr>
            <w:tcW w:w="2357" w:type="dxa"/>
            <w:tcBorders>
              <w:top w:val="nil"/>
              <w:left w:val="nil"/>
              <w:bottom w:val="single" w:sz="4" w:space="0" w:color="auto"/>
              <w:right w:val="single" w:sz="8" w:space="0" w:color="auto"/>
            </w:tcBorders>
            <w:shd w:val="clear" w:color="auto" w:fill="auto"/>
            <w:vAlign w:val="bottom"/>
            <w:hideMark/>
          </w:tcPr>
          <w:p w14:paraId="1B52D9A4" w14:textId="22372AEB" w:rsidR="00EB4F80" w:rsidRPr="00EB4F80" w:rsidRDefault="007F70C3"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Démarrage</w:t>
            </w:r>
            <w:r w:rsidR="00EB4F80" w:rsidRPr="00EB4F80">
              <w:rPr>
                <w:rFonts w:ascii="Calibri" w:eastAsia="Times New Roman" w:hAnsi="Calibri" w:cs="Calibri"/>
                <w:color w:val="000000"/>
                <w:sz w:val="18"/>
                <w:szCs w:val="18"/>
                <w:lang w:eastAsia="fr-CA"/>
              </w:rPr>
              <w:t xml:space="preserve"> des travaux le 05 janvier</w:t>
            </w:r>
          </w:p>
        </w:tc>
      </w:tr>
      <w:tr w:rsidR="00EB4F80" w:rsidRPr="00EB4F80" w14:paraId="71BB748D" w14:textId="77777777" w:rsidTr="00AF56FD">
        <w:trPr>
          <w:trHeight w:val="502"/>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04F4FBCE" w14:textId="403DC840" w:rsidR="00EB4F80" w:rsidRPr="00EB4F80" w:rsidRDefault="00EB4F80" w:rsidP="00EB4F80">
            <w:pPr>
              <w:rPr>
                <w:rFonts w:ascii="Calibri" w:eastAsia="Times New Roman" w:hAnsi="Calibri" w:cs="Calibri"/>
                <w:b/>
                <w:bCs/>
                <w:color w:val="000000"/>
                <w:sz w:val="18"/>
                <w:szCs w:val="18"/>
                <w:lang w:eastAsia="fr-CA"/>
              </w:rPr>
            </w:pPr>
            <w:r w:rsidRPr="00EB4F80">
              <w:rPr>
                <w:rFonts w:ascii="Calibri" w:eastAsia="Times New Roman" w:hAnsi="Calibri" w:cs="Calibri"/>
                <w:b/>
                <w:bCs/>
                <w:color w:val="000000"/>
                <w:sz w:val="18"/>
                <w:szCs w:val="18"/>
                <w:lang w:eastAsia="fr-CA"/>
              </w:rPr>
              <w:t>10.</w:t>
            </w:r>
            <w:r w:rsidR="007A4856">
              <w:rPr>
                <w:rFonts w:ascii="Calibri" w:eastAsia="Times New Roman" w:hAnsi="Calibri" w:cs="Calibri"/>
                <w:b/>
                <w:bCs/>
                <w:color w:val="000000"/>
                <w:sz w:val="18"/>
                <w:szCs w:val="18"/>
                <w:lang w:eastAsia="fr-CA"/>
              </w:rPr>
              <w:t>4</w:t>
            </w:r>
          </w:p>
        </w:tc>
        <w:tc>
          <w:tcPr>
            <w:tcW w:w="5162" w:type="dxa"/>
            <w:tcBorders>
              <w:top w:val="nil"/>
              <w:left w:val="nil"/>
              <w:bottom w:val="single" w:sz="4" w:space="0" w:color="auto"/>
              <w:right w:val="nil"/>
            </w:tcBorders>
            <w:shd w:val="clear" w:color="auto" w:fill="auto"/>
            <w:noWrap/>
            <w:vAlign w:val="bottom"/>
            <w:hideMark/>
          </w:tcPr>
          <w:p w14:paraId="456CC821" w14:textId="43229994" w:rsidR="00EB4F80" w:rsidRPr="00EB4F80" w:rsidRDefault="00EC391E" w:rsidP="00EB4F80">
            <w:pPr>
              <w:rPr>
                <w:rFonts w:ascii="Calibri" w:eastAsia="Times New Roman" w:hAnsi="Calibri" w:cs="Calibri"/>
                <w:color w:val="000000"/>
                <w:sz w:val="18"/>
                <w:szCs w:val="18"/>
                <w:lang w:eastAsia="fr-CA"/>
              </w:rPr>
            </w:pPr>
            <w:r w:rsidRPr="00EC391E">
              <w:rPr>
                <w:rFonts w:ascii="Calibri" w:eastAsia="Times New Roman" w:hAnsi="Calibri" w:cs="Calibri"/>
                <w:color w:val="000000"/>
                <w:sz w:val="18"/>
                <w:szCs w:val="18"/>
                <w:lang w:eastAsia="fr-CA"/>
              </w:rPr>
              <w:t>La mise à jour du fichier des immobilisations au 31 décembre 2020</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79467FF6"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Travaux d'inventaire réalisés du 31/12/2021 au 04/01/2022</w:t>
            </w:r>
          </w:p>
        </w:tc>
        <w:tc>
          <w:tcPr>
            <w:tcW w:w="1893" w:type="dxa"/>
            <w:tcBorders>
              <w:top w:val="nil"/>
              <w:left w:val="nil"/>
              <w:bottom w:val="single" w:sz="4" w:space="0" w:color="auto"/>
              <w:right w:val="nil"/>
            </w:tcBorders>
            <w:shd w:val="clear" w:color="auto" w:fill="auto"/>
            <w:vAlign w:val="bottom"/>
            <w:hideMark/>
          </w:tcPr>
          <w:p w14:paraId="20A808BD"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2021-12-31</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6964049D"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Comptabilité</w:t>
            </w:r>
          </w:p>
        </w:tc>
        <w:tc>
          <w:tcPr>
            <w:tcW w:w="2357" w:type="dxa"/>
            <w:tcBorders>
              <w:top w:val="nil"/>
              <w:left w:val="nil"/>
              <w:bottom w:val="single" w:sz="4" w:space="0" w:color="auto"/>
              <w:right w:val="single" w:sz="8" w:space="0" w:color="auto"/>
            </w:tcBorders>
            <w:shd w:val="clear" w:color="auto" w:fill="auto"/>
            <w:vAlign w:val="bottom"/>
            <w:hideMark/>
          </w:tcPr>
          <w:p w14:paraId="3D11DF97" w14:textId="48583240"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 xml:space="preserve">Programmation des inventaires avant la </w:t>
            </w:r>
            <w:r w:rsidR="007F70C3" w:rsidRPr="00EB4F80">
              <w:rPr>
                <w:rFonts w:ascii="Calibri" w:eastAsia="Times New Roman" w:hAnsi="Calibri" w:cs="Calibri"/>
                <w:color w:val="000000"/>
                <w:sz w:val="18"/>
                <w:szCs w:val="18"/>
                <w:lang w:eastAsia="fr-CA"/>
              </w:rPr>
              <w:t>clôture</w:t>
            </w:r>
            <w:r w:rsidRPr="00EB4F80">
              <w:rPr>
                <w:rFonts w:ascii="Calibri" w:eastAsia="Times New Roman" w:hAnsi="Calibri" w:cs="Calibri"/>
                <w:color w:val="000000"/>
                <w:sz w:val="18"/>
                <w:szCs w:val="18"/>
                <w:lang w:eastAsia="fr-CA"/>
              </w:rPr>
              <w:t xml:space="preserve"> de l'</w:t>
            </w:r>
            <w:r w:rsidR="007F70C3" w:rsidRPr="00EB4F80">
              <w:rPr>
                <w:rFonts w:ascii="Calibri" w:eastAsia="Times New Roman" w:hAnsi="Calibri" w:cs="Calibri"/>
                <w:color w:val="000000"/>
                <w:sz w:val="18"/>
                <w:szCs w:val="18"/>
                <w:lang w:eastAsia="fr-CA"/>
              </w:rPr>
              <w:t>exercice</w:t>
            </w:r>
            <w:r w:rsidRPr="00EB4F80">
              <w:rPr>
                <w:rFonts w:ascii="Calibri" w:eastAsia="Times New Roman" w:hAnsi="Calibri" w:cs="Calibri"/>
                <w:color w:val="000000"/>
                <w:sz w:val="18"/>
                <w:szCs w:val="18"/>
                <w:lang w:eastAsia="fr-CA"/>
              </w:rPr>
              <w:t xml:space="preserve"> 2022</w:t>
            </w:r>
          </w:p>
        </w:tc>
      </w:tr>
      <w:tr w:rsidR="00EB4F80" w:rsidRPr="00EB4F80" w14:paraId="1FA30E01" w14:textId="77777777" w:rsidTr="00AF56FD">
        <w:trPr>
          <w:trHeight w:val="502"/>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3F73371D" w14:textId="38D62BF9" w:rsidR="00EB4F80" w:rsidRPr="00EB4F80" w:rsidRDefault="00EB4F80" w:rsidP="00EB4F80">
            <w:pPr>
              <w:rPr>
                <w:rFonts w:ascii="Calibri" w:eastAsia="Times New Roman" w:hAnsi="Calibri" w:cs="Calibri"/>
                <w:b/>
                <w:bCs/>
                <w:color w:val="000000"/>
                <w:sz w:val="18"/>
                <w:szCs w:val="18"/>
                <w:lang w:eastAsia="fr-CA"/>
              </w:rPr>
            </w:pPr>
            <w:r w:rsidRPr="00EB4F80">
              <w:rPr>
                <w:rFonts w:ascii="Calibri" w:eastAsia="Times New Roman" w:hAnsi="Calibri" w:cs="Calibri"/>
                <w:b/>
                <w:bCs/>
                <w:color w:val="000000"/>
                <w:sz w:val="18"/>
                <w:szCs w:val="18"/>
                <w:lang w:eastAsia="fr-CA"/>
              </w:rPr>
              <w:t>10.</w:t>
            </w:r>
            <w:r w:rsidR="007A4856">
              <w:rPr>
                <w:rFonts w:ascii="Calibri" w:eastAsia="Times New Roman" w:hAnsi="Calibri" w:cs="Calibri"/>
                <w:b/>
                <w:bCs/>
                <w:color w:val="000000"/>
                <w:sz w:val="18"/>
                <w:szCs w:val="18"/>
                <w:lang w:eastAsia="fr-CA"/>
              </w:rPr>
              <w:t>5</w:t>
            </w:r>
          </w:p>
        </w:tc>
        <w:tc>
          <w:tcPr>
            <w:tcW w:w="5162" w:type="dxa"/>
            <w:tcBorders>
              <w:top w:val="nil"/>
              <w:left w:val="nil"/>
              <w:bottom w:val="single" w:sz="4" w:space="0" w:color="auto"/>
              <w:right w:val="nil"/>
            </w:tcBorders>
            <w:shd w:val="clear" w:color="auto" w:fill="auto"/>
            <w:noWrap/>
            <w:vAlign w:val="bottom"/>
            <w:hideMark/>
          </w:tcPr>
          <w:p w14:paraId="421630F9" w14:textId="1A6D52D5" w:rsidR="00EB4F80" w:rsidRPr="00EB4F80" w:rsidRDefault="00E5652E"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La</w:t>
            </w:r>
            <w:r w:rsidR="00EB4F80" w:rsidRPr="00EB4F80">
              <w:rPr>
                <w:rFonts w:ascii="Calibri" w:eastAsia="Times New Roman" w:hAnsi="Calibri" w:cs="Calibri"/>
                <w:color w:val="000000"/>
                <w:sz w:val="18"/>
                <w:szCs w:val="18"/>
                <w:lang w:eastAsia="fr-CA"/>
              </w:rPr>
              <w:t xml:space="preserve"> codification des immobilisations </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68618756"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Travaux de codification réalisés du 31/12/2021 au 04/01/2023</w:t>
            </w:r>
          </w:p>
        </w:tc>
        <w:tc>
          <w:tcPr>
            <w:tcW w:w="1893" w:type="dxa"/>
            <w:tcBorders>
              <w:top w:val="nil"/>
              <w:left w:val="nil"/>
              <w:bottom w:val="single" w:sz="4" w:space="0" w:color="auto"/>
              <w:right w:val="nil"/>
            </w:tcBorders>
            <w:shd w:val="clear" w:color="auto" w:fill="auto"/>
            <w:vAlign w:val="bottom"/>
            <w:hideMark/>
          </w:tcPr>
          <w:p w14:paraId="0091E801"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2021-12-31</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787E2834"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Comptabilité</w:t>
            </w:r>
          </w:p>
        </w:tc>
        <w:tc>
          <w:tcPr>
            <w:tcW w:w="2357" w:type="dxa"/>
            <w:tcBorders>
              <w:top w:val="nil"/>
              <w:left w:val="nil"/>
              <w:bottom w:val="single" w:sz="4" w:space="0" w:color="auto"/>
              <w:right w:val="single" w:sz="8" w:space="0" w:color="auto"/>
            </w:tcBorders>
            <w:shd w:val="clear" w:color="auto" w:fill="auto"/>
            <w:vAlign w:val="bottom"/>
            <w:hideMark/>
          </w:tcPr>
          <w:p w14:paraId="1AD95BCA" w14:textId="01401AD9"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 xml:space="preserve">Codification </w:t>
            </w:r>
            <w:r w:rsidR="007F70C3" w:rsidRPr="00EB4F80">
              <w:rPr>
                <w:rFonts w:ascii="Calibri" w:eastAsia="Times New Roman" w:hAnsi="Calibri" w:cs="Calibri"/>
                <w:color w:val="000000"/>
                <w:sz w:val="18"/>
                <w:szCs w:val="18"/>
                <w:lang w:eastAsia="fr-CA"/>
              </w:rPr>
              <w:t>systématique</w:t>
            </w:r>
            <w:r w:rsidRPr="00EB4F80">
              <w:rPr>
                <w:rFonts w:ascii="Calibri" w:eastAsia="Times New Roman" w:hAnsi="Calibri" w:cs="Calibri"/>
                <w:color w:val="000000"/>
                <w:sz w:val="18"/>
                <w:szCs w:val="18"/>
                <w:lang w:eastAsia="fr-CA"/>
              </w:rPr>
              <w:t xml:space="preserve"> des immobilisations à leur mise en service</w:t>
            </w:r>
          </w:p>
        </w:tc>
      </w:tr>
      <w:tr w:rsidR="00EB4F80" w:rsidRPr="00EB4F80" w14:paraId="76C21A25" w14:textId="77777777" w:rsidTr="00AF56FD">
        <w:trPr>
          <w:trHeight w:val="502"/>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4D5D09FD" w14:textId="5C403786" w:rsidR="00EB4F80" w:rsidRPr="00EB4F80" w:rsidRDefault="00EB4F80" w:rsidP="00EB4F80">
            <w:pPr>
              <w:rPr>
                <w:rFonts w:ascii="Calibri" w:eastAsia="Times New Roman" w:hAnsi="Calibri" w:cs="Calibri"/>
                <w:b/>
                <w:bCs/>
                <w:color w:val="000000"/>
                <w:sz w:val="18"/>
                <w:szCs w:val="18"/>
                <w:lang w:eastAsia="fr-CA"/>
              </w:rPr>
            </w:pPr>
            <w:r w:rsidRPr="00EB4F80">
              <w:rPr>
                <w:rFonts w:ascii="Calibri" w:eastAsia="Times New Roman" w:hAnsi="Calibri" w:cs="Calibri"/>
                <w:b/>
                <w:bCs/>
                <w:color w:val="000000"/>
                <w:sz w:val="18"/>
                <w:szCs w:val="18"/>
                <w:lang w:eastAsia="fr-CA"/>
              </w:rPr>
              <w:t>10.</w:t>
            </w:r>
            <w:r w:rsidR="007A4856">
              <w:rPr>
                <w:rFonts w:ascii="Calibri" w:eastAsia="Times New Roman" w:hAnsi="Calibri" w:cs="Calibri"/>
                <w:b/>
                <w:bCs/>
                <w:color w:val="000000"/>
                <w:sz w:val="18"/>
                <w:szCs w:val="18"/>
                <w:lang w:eastAsia="fr-CA"/>
              </w:rPr>
              <w:t>6</w:t>
            </w:r>
          </w:p>
        </w:tc>
        <w:tc>
          <w:tcPr>
            <w:tcW w:w="5162" w:type="dxa"/>
            <w:tcBorders>
              <w:top w:val="nil"/>
              <w:left w:val="nil"/>
              <w:bottom w:val="single" w:sz="4" w:space="0" w:color="auto"/>
              <w:right w:val="nil"/>
            </w:tcBorders>
            <w:shd w:val="clear" w:color="auto" w:fill="auto"/>
            <w:noWrap/>
            <w:vAlign w:val="bottom"/>
            <w:hideMark/>
          </w:tcPr>
          <w:p w14:paraId="05550FA6" w14:textId="65BA626F" w:rsidR="00EB4F80" w:rsidRPr="00EB4F80" w:rsidRDefault="007F70C3"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La</w:t>
            </w:r>
            <w:r w:rsidR="00EB4F80" w:rsidRPr="00EB4F80">
              <w:rPr>
                <w:rFonts w:ascii="Calibri" w:eastAsia="Times New Roman" w:hAnsi="Calibri" w:cs="Calibri"/>
                <w:color w:val="000000"/>
                <w:sz w:val="18"/>
                <w:szCs w:val="18"/>
                <w:lang w:eastAsia="fr-CA"/>
              </w:rPr>
              <w:t xml:space="preserve"> production de l'analyse des comptes tiers au</w:t>
            </w:r>
            <w:r w:rsidR="00EC391E">
              <w:rPr>
                <w:rFonts w:ascii="Calibri" w:eastAsia="Times New Roman" w:hAnsi="Calibri" w:cs="Calibri"/>
                <w:color w:val="000000"/>
                <w:sz w:val="18"/>
                <w:szCs w:val="18"/>
                <w:lang w:eastAsia="fr-CA"/>
              </w:rPr>
              <w:t xml:space="preserve"> </w:t>
            </w:r>
            <w:r w:rsidR="00EB4F80" w:rsidRPr="00EB4F80">
              <w:rPr>
                <w:rFonts w:ascii="Calibri" w:eastAsia="Times New Roman" w:hAnsi="Calibri" w:cs="Calibri"/>
                <w:color w:val="000000"/>
                <w:sz w:val="18"/>
                <w:szCs w:val="18"/>
                <w:lang w:eastAsia="fr-CA"/>
              </w:rPr>
              <w:t>31 décembre 2020</w:t>
            </w:r>
          </w:p>
        </w:tc>
        <w:tc>
          <w:tcPr>
            <w:tcW w:w="2330" w:type="dxa"/>
            <w:tcBorders>
              <w:top w:val="nil"/>
              <w:left w:val="single" w:sz="8" w:space="0" w:color="auto"/>
              <w:bottom w:val="single" w:sz="4" w:space="0" w:color="auto"/>
              <w:right w:val="single" w:sz="8" w:space="0" w:color="auto"/>
            </w:tcBorders>
            <w:shd w:val="clear" w:color="auto" w:fill="auto"/>
            <w:noWrap/>
            <w:vAlign w:val="bottom"/>
            <w:hideMark/>
          </w:tcPr>
          <w:p w14:paraId="2B45F387" w14:textId="5F914A7E" w:rsidR="00EB4F80" w:rsidRPr="00EB4F80" w:rsidRDefault="007F70C3"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Travaux</w:t>
            </w:r>
            <w:r w:rsidR="00EB4F80" w:rsidRPr="00EB4F80">
              <w:rPr>
                <w:rFonts w:ascii="Calibri" w:eastAsia="Times New Roman" w:hAnsi="Calibri" w:cs="Calibri"/>
                <w:color w:val="000000"/>
                <w:sz w:val="18"/>
                <w:szCs w:val="18"/>
                <w:lang w:eastAsia="fr-CA"/>
              </w:rPr>
              <w:t xml:space="preserve"> en cours</w:t>
            </w:r>
          </w:p>
        </w:tc>
        <w:tc>
          <w:tcPr>
            <w:tcW w:w="1893" w:type="dxa"/>
            <w:tcBorders>
              <w:top w:val="nil"/>
              <w:left w:val="nil"/>
              <w:bottom w:val="single" w:sz="4" w:space="0" w:color="auto"/>
              <w:right w:val="nil"/>
            </w:tcBorders>
            <w:shd w:val="clear" w:color="auto" w:fill="auto"/>
            <w:noWrap/>
            <w:vAlign w:val="bottom"/>
            <w:hideMark/>
          </w:tcPr>
          <w:p w14:paraId="359C3991"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2022-03-31</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45593A01"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Comptabilité</w:t>
            </w:r>
          </w:p>
        </w:tc>
        <w:tc>
          <w:tcPr>
            <w:tcW w:w="2357" w:type="dxa"/>
            <w:tcBorders>
              <w:top w:val="nil"/>
              <w:left w:val="nil"/>
              <w:bottom w:val="single" w:sz="4" w:space="0" w:color="auto"/>
              <w:right w:val="single" w:sz="8" w:space="0" w:color="auto"/>
            </w:tcBorders>
            <w:shd w:val="clear" w:color="auto" w:fill="auto"/>
            <w:vAlign w:val="bottom"/>
            <w:hideMark/>
          </w:tcPr>
          <w:p w14:paraId="0B131966" w14:textId="64CCB0D6"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 xml:space="preserve">Attente des écritures de </w:t>
            </w:r>
            <w:r w:rsidR="007F70C3" w:rsidRPr="00EB4F80">
              <w:rPr>
                <w:rFonts w:ascii="Calibri" w:eastAsia="Times New Roman" w:hAnsi="Calibri" w:cs="Calibri"/>
                <w:color w:val="000000"/>
                <w:sz w:val="18"/>
                <w:szCs w:val="18"/>
                <w:lang w:eastAsia="fr-CA"/>
              </w:rPr>
              <w:t>régularisation</w:t>
            </w:r>
            <w:r w:rsidRPr="00EB4F80">
              <w:rPr>
                <w:rFonts w:ascii="Calibri" w:eastAsia="Times New Roman" w:hAnsi="Calibri" w:cs="Calibri"/>
                <w:color w:val="000000"/>
                <w:sz w:val="18"/>
                <w:szCs w:val="18"/>
                <w:lang w:eastAsia="fr-CA"/>
              </w:rPr>
              <w:t xml:space="preserve"> pour la production du rapport</w:t>
            </w:r>
          </w:p>
        </w:tc>
      </w:tr>
      <w:tr w:rsidR="00EB4F80" w:rsidRPr="00EB4F80" w14:paraId="07B586A1" w14:textId="77777777" w:rsidTr="00AF56FD">
        <w:trPr>
          <w:trHeight w:val="656"/>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0F71F135"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11</w:t>
            </w:r>
          </w:p>
        </w:tc>
        <w:tc>
          <w:tcPr>
            <w:tcW w:w="5162" w:type="dxa"/>
            <w:tcBorders>
              <w:top w:val="nil"/>
              <w:left w:val="nil"/>
              <w:bottom w:val="single" w:sz="4" w:space="0" w:color="auto"/>
              <w:right w:val="nil"/>
            </w:tcBorders>
            <w:shd w:val="clear" w:color="auto" w:fill="auto"/>
            <w:vAlign w:val="bottom"/>
            <w:hideMark/>
          </w:tcPr>
          <w:p w14:paraId="213F4A29" w14:textId="5C8D6A6F" w:rsidR="00EB4F80" w:rsidRPr="00EB4F80" w:rsidRDefault="007A4856" w:rsidP="00EB4F80">
            <w:pPr>
              <w:rPr>
                <w:rFonts w:ascii="Calibri" w:eastAsia="Times New Roman" w:hAnsi="Calibri" w:cs="Calibri"/>
                <w:color w:val="000000"/>
                <w:sz w:val="18"/>
                <w:szCs w:val="18"/>
                <w:lang w:eastAsia="fr-CA"/>
              </w:rPr>
            </w:pPr>
            <w:r w:rsidRPr="007A4856">
              <w:rPr>
                <w:rFonts w:ascii="Calibri" w:eastAsia="Times New Roman" w:hAnsi="Calibri" w:cs="Calibri"/>
                <w:color w:val="000000"/>
                <w:sz w:val="18"/>
                <w:szCs w:val="18"/>
                <w:lang w:eastAsia="fr-CA"/>
              </w:rPr>
              <w:t>Présenter à chaque CA l’état d’exécution du budget d’investissement et de fonctionnement de la situation la plus récente de l’évolution</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140CBA73"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Exécuté</w:t>
            </w:r>
          </w:p>
        </w:tc>
        <w:tc>
          <w:tcPr>
            <w:tcW w:w="1893" w:type="dxa"/>
            <w:tcBorders>
              <w:top w:val="nil"/>
              <w:left w:val="nil"/>
              <w:bottom w:val="single" w:sz="4" w:space="0" w:color="auto"/>
              <w:right w:val="nil"/>
            </w:tcBorders>
            <w:shd w:val="clear" w:color="auto" w:fill="auto"/>
            <w:vAlign w:val="bottom"/>
            <w:hideMark/>
          </w:tcPr>
          <w:p w14:paraId="4759800E"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Prochain CA</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4F926E5B"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DG</w:t>
            </w:r>
          </w:p>
        </w:tc>
        <w:tc>
          <w:tcPr>
            <w:tcW w:w="2357" w:type="dxa"/>
            <w:tcBorders>
              <w:top w:val="nil"/>
              <w:left w:val="nil"/>
              <w:bottom w:val="single" w:sz="4" w:space="0" w:color="auto"/>
              <w:right w:val="single" w:sz="8" w:space="0" w:color="auto"/>
            </w:tcBorders>
            <w:shd w:val="clear" w:color="auto" w:fill="auto"/>
            <w:vAlign w:val="bottom"/>
            <w:hideMark/>
          </w:tcPr>
          <w:p w14:paraId="3FA067A9"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En continu</w:t>
            </w:r>
          </w:p>
        </w:tc>
      </w:tr>
      <w:tr w:rsidR="00EB4F80" w:rsidRPr="00EB4F80" w14:paraId="5BB8C19A" w14:textId="77777777" w:rsidTr="00AF56FD">
        <w:trPr>
          <w:trHeight w:val="744"/>
          <w:jc w:val="center"/>
        </w:trPr>
        <w:tc>
          <w:tcPr>
            <w:tcW w:w="462" w:type="dxa"/>
            <w:tcBorders>
              <w:top w:val="nil"/>
              <w:left w:val="single" w:sz="8" w:space="0" w:color="auto"/>
              <w:bottom w:val="single" w:sz="4" w:space="0" w:color="auto"/>
              <w:right w:val="single" w:sz="8" w:space="0" w:color="auto"/>
            </w:tcBorders>
            <w:shd w:val="clear" w:color="auto" w:fill="auto"/>
            <w:noWrap/>
            <w:vAlign w:val="bottom"/>
            <w:hideMark/>
          </w:tcPr>
          <w:p w14:paraId="59FA85DC"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12</w:t>
            </w:r>
          </w:p>
        </w:tc>
        <w:tc>
          <w:tcPr>
            <w:tcW w:w="5162" w:type="dxa"/>
            <w:tcBorders>
              <w:top w:val="nil"/>
              <w:left w:val="nil"/>
              <w:bottom w:val="single" w:sz="4" w:space="0" w:color="auto"/>
              <w:right w:val="nil"/>
            </w:tcBorders>
            <w:shd w:val="clear" w:color="auto" w:fill="auto"/>
            <w:vAlign w:val="bottom"/>
            <w:hideMark/>
          </w:tcPr>
          <w:p w14:paraId="7AEE2BAD" w14:textId="4670D59E" w:rsidR="00EB4F80" w:rsidRPr="00EB4F80" w:rsidRDefault="007A4856" w:rsidP="00EB4F80">
            <w:pPr>
              <w:rPr>
                <w:rFonts w:ascii="Calibri" w:eastAsia="Times New Roman" w:hAnsi="Calibri" w:cs="Calibri"/>
                <w:color w:val="000000"/>
                <w:sz w:val="18"/>
                <w:szCs w:val="18"/>
                <w:lang w:eastAsia="fr-CA"/>
              </w:rPr>
            </w:pPr>
            <w:r w:rsidRPr="007A4856">
              <w:rPr>
                <w:rFonts w:ascii="Calibri" w:eastAsia="Times New Roman" w:hAnsi="Calibri" w:cs="Calibri"/>
                <w:color w:val="000000"/>
                <w:sz w:val="18"/>
                <w:szCs w:val="18"/>
                <w:lang w:eastAsia="fr-CA"/>
              </w:rPr>
              <w:t>Le conseil prend acte du projet de création Afrik Créances, demande à l’administrateur Blaise de poursuivre le dossier et à la directrice générale de Mali Créances d’en assurer le suivi et de rendre compte au conseil d’administration</w:t>
            </w:r>
          </w:p>
        </w:tc>
        <w:tc>
          <w:tcPr>
            <w:tcW w:w="2330" w:type="dxa"/>
            <w:tcBorders>
              <w:top w:val="nil"/>
              <w:left w:val="single" w:sz="8" w:space="0" w:color="auto"/>
              <w:bottom w:val="single" w:sz="4" w:space="0" w:color="auto"/>
              <w:right w:val="single" w:sz="8" w:space="0" w:color="auto"/>
            </w:tcBorders>
            <w:shd w:val="clear" w:color="auto" w:fill="auto"/>
            <w:vAlign w:val="bottom"/>
            <w:hideMark/>
          </w:tcPr>
          <w:p w14:paraId="1E0E7520" w14:textId="595A9D7B"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 xml:space="preserve">Dossier en </w:t>
            </w:r>
            <w:r w:rsidR="007F70C3" w:rsidRPr="00EB4F80">
              <w:rPr>
                <w:rFonts w:ascii="Calibri" w:eastAsia="Times New Roman" w:hAnsi="Calibri" w:cs="Calibri"/>
                <w:color w:val="000000"/>
                <w:sz w:val="18"/>
                <w:szCs w:val="18"/>
                <w:lang w:eastAsia="fr-CA"/>
              </w:rPr>
              <w:t>stand-by</w:t>
            </w:r>
          </w:p>
        </w:tc>
        <w:tc>
          <w:tcPr>
            <w:tcW w:w="1893" w:type="dxa"/>
            <w:tcBorders>
              <w:top w:val="nil"/>
              <w:left w:val="nil"/>
              <w:bottom w:val="single" w:sz="4" w:space="0" w:color="auto"/>
              <w:right w:val="nil"/>
            </w:tcBorders>
            <w:shd w:val="clear" w:color="auto" w:fill="auto"/>
            <w:vAlign w:val="bottom"/>
            <w:hideMark/>
          </w:tcPr>
          <w:p w14:paraId="2BB0080B" w14:textId="77777777" w:rsidR="00EB4F80" w:rsidRPr="00EB4F80" w:rsidRDefault="00EB4F80" w:rsidP="007F70C3">
            <w:pPr>
              <w:jc w:val="cente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 xml:space="preserve">Nouvelle décision du CA </w:t>
            </w:r>
          </w:p>
        </w:tc>
        <w:tc>
          <w:tcPr>
            <w:tcW w:w="1659" w:type="dxa"/>
            <w:tcBorders>
              <w:top w:val="nil"/>
              <w:left w:val="single" w:sz="8" w:space="0" w:color="auto"/>
              <w:bottom w:val="single" w:sz="4" w:space="0" w:color="auto"/>
              <w:right w:val="single" w:sz="8" w:space="0" w:color="auto"/>
            </w:tcBorders>
            <w:shd w:val="clear" w:color="auto" w:fill="auto"/>
            <w:noWrap/>
            <w:vAlign w:val="bottom"/>
            <w:hideMark/>
          </w:tcPr>
          <w:p w14:paraId="1B316969"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CA</w:t>
            </w:r>
          </w:p>
        </w:tc>
        <w:tc>
          <w:tcPr>
            <w:tcW w:w="2357" w:type="dxa"/>
            <w:tcBorders>
              <w:top w:val="nil"/>
              <w:left w:val="nil"/>
              <w:bottom w:val="single" w:sz="4" w:space="0" w:color="auto"/>
              <w:right w:val="single" w:sz="8" w:space="0" w:color="auto"/>
            </w:tcBorders>
            <w:shd w:val="clear" w:color="auto" w:fill="auto"/>
            <w:noWrap/>
            <w:vAlign w:val="bottom"/>
            <w:hideMark/>
          </w:tcPr>
          <w:p w14:paraId="51A5ABB3"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Négociations en cours</w:t>
            </w:r>
          </w:p>
        </w:tc>
      </w:tr>
      <w:tr w:rsidR="00EB4F80" w:rsidRPr="00EB4F80" w14:paraId="389EDE27" w14:textId="77777777" w:rsidTr="00F83CAD">
        <w:trPr>
          <w:trHeight w:val="744"/>
          <w:jc w:val="center"/>
        </w:trPr>
        <w:tc>
          <w:tcPr>
            <w:tcW w:w="462"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9E80709"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lastRenderedPageBreak/>
              <w:t>13</w:t>
            </w:r>
          </w:p>
        </w:tc>
        <w:tc>
          <w:tcPr>
            <w:tcW w:w="5162" w:type="dxa"/>
            <w:tcBorders>
              <w:top w:val="single" w:sz="4" w:space="0" w:color="auto"/>
              <w:left w:val="nil"/>
              <w:bottom w:val="single" w:sz="4" w:space="0" w:color="auto"/>
              <w:right w:val="nil"/>
            </w:tcBorders>
            <w:shd w:val="clear" w:color="auto" w:fill="auto"/>
            <w:vAlign w:val="bottom"/>
            <w:hideMark/>
          </w:tcPr>
          <w:p w14:paraId="3562D929" w14:textId="05040D45" w:rsidR="00EB4F80" w:rsidRPr="00EB4F80" w:rsidRDefault="007A4856" w:rsidP="00EB4F80">
            <w:pPr>
              <w:rPr>
                <w:rFonts w:ascii="Calibri" w:eastAsia="Times New Roman" w:hAnsi="Calibri" w:cs="Calibri"/>
                <w:color w:val="000000"/>
                <w:sz w:val="18"/>
                <w:szCs w:val="18"/>
                <w:lang w:eastAsia="fr-CA"/>
              </w:rPr>
            </w:pPr>
            <w:r w:rsidRPr="007A4856">
              <w:rPr>
                <w:rFonts w:ascii="Calibri" w:eastAsia="Times New Roman" w:hAnsi="Calibri" w:cs="Calibri"/>
                <w:color w:val="000000"/>
                <w:sz w:val="18"/>
                <w:szCs w:val="18"/>
                <w:lang w:eastAsia="fr-CA"/>
              </w:rPr>
              <w:t>Le CA recommande à Blaise de mettre en place une articulation avec Mali Créances pour apporter son expertise dans la mise en œuvre de ses activités</w:t>
            </w:r>
          </w:p>
        </w:tc>
        <w:tc>
          <w:tcPr>
            <w:tcW w:w="2330" w:type="dxa"/>
            <w:tcBorders>
              <w:top w:val="single" w:sz="4" w:space="0" w:color="auto"/>
              <w:left w:val="single" w:sz="8" w:space="0" w:color="auto"/>
              <w:bottom w:val="single" w:sz="4" w:space="0" w:color="auto"/>
              <w:right w:val="single" w:sz="8" w:space="0" w:color="auto"/>
            </w:tcBorders>
            <w:shd w:val="clear" w:color="auto" w:fill="auto"/>
            <w:vAlign w:val="bottom"/>
            <w:hideMark/>
          </w:tcPr>
          <w:p w14:paraId="2C31BB29" w14:textId="4A30FF61"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 xml:space="preserve">Dossier en </w:t>
            </w:r>
            <w:r w:rsidR="007F70C3" w:rsidRPr="00EB4F80">
              <w:rPr>
                <w:rFonts w:ascii="Calibri" w:eastAsia="Times New Roman" w:hAnsi="Calibri" w:cs="Calibri"/>
                <w:color w:val="000000"/>
                <w:sz w:val="18"/>
                <w:szCs w:val="18"/>
                <w:lang w:eastAsia="fr-CA"/>
              </w:rPr>
              <w:t>stand-by</w:t>
            </w:r>
          </w:p>
        </w:tc>
        <w:tc>
          <w:tcPr>
            <w:tcW w:w="1893" w:type="dxa"/>
            <w:tcBorders>
              <w:top w:val="single" w:sz="4" w:space="0" w:color="auto"/>
              <w:left w:val="nil"/>
              <w:bottom w:val="single" w:sz="4" w:space="0" w:color="auto"/>
              <w:right w:val="nil"/>
            </w:tcBorders>
            <w:shd w:val="clear" w:color="auto" w:fill="auto"/>
            <w:vAlign w:val="bottom"/>
            <w:hideMark/>
          </w:tcPr>
          <w:p w14:paraId="0AE5CF64" w14:textId="77777777" w:rsidR="00EB4F80" w:rsidRPr="00EB4F80" w:rsidRDefault="00EB4F80" w:rsidP="007F70C3">
            <w:pPr>
              <w:jc w:val="cente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 xml:space="preserve">Nouvelle décision du CA </w:t>
            </w:r>
          </w:p>
        </w:tc>
        <w:tc>
          <w:tcPr>
            <w:tcW w:w="1659"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2D51EB59"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CA</w:t>
            </w:r>
          </w:p>
        </w:tc>
        <w:tc>
          <w:tcPr>
            <w:tcW w:w="2357" w:type="dxa"/>
            <w:tcBorders>
              <w:top w:val="single" w:sz="4" w:space="0" w:color="auto"/>
              <w:left w:val="nil"/>
              <w:bottom w:val="single" w:sz="4" w:space="0" w:color="auto"/>
              <w:right w:val="single" w:sz="8" w:space="0" w:color="auto"/>
            </w:tcBorders>
            <w:shd w:val="clear" w:color="auto" w:fill="auto"/>
            <w:noWrap/>
            <w:vAlign w:val="bottom"/>
            <w:hideMark/>
          </w:tcPr>
          <w:p w14:paraId="3ABE7BC4"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Négociations en cours</w:t>
            </w:r>
          </w:p>
        </w:tc>
      </w:tr>
      <w:tr w:rsidR="00EB4F80" w:rsidRPr="00EB4F80" w14:paraId="1D053134" w14:textId="77777777" w:rsidTr="00AF56FD">
        <w:trPr>
          <w:trHeight w:val="763"/>
          <w:jc w:val="center"/>
        </w:trPr>
        <w:tc>
          <w:tcPr>
            <w:tcW w:w="462" w:type="dxa"/>
            <w:tcBorders>
              <w:top w:val="nil"/>
              <w:left w:val="single" w:sz="8" w:space="0" w:color="auto"/>
              <w:bottom w:val="single" w:sz="8" w:space="0" w:color="auto"/>
              <w:right w:val="single" w:sz="8" w:space="0" w:color="auto"/>
            </w:tcBorders>
            <w:shd w:val="clear" w:color="auto" w:fill="auto"/>
            <w:noWrap/>
            <w:vAlign w:val="bottom"/>
            <w:hideMark/>
          </w:tcPr>
          <w:p w14:paraId="41BD50BD" w14:textId="77777777" w:rsidR="00EB4F80" w:rsidRPr="00EB4F80" w:rsidRDefault="00EB4F80" w:rsidP="00EB4F80">
            <w:pPr>
              <w:jc w:val="right"/>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14</w:t>
            </w:r>
          </w:p>
        </w:tc>
        <w:tc>
          <w:tcPr>
            <w:tcW w:w="5162" w:type="dxa"/>
            <w:tcBorders>
              <w:top w:val="nil"/>
              <w:left w:val="nil"/>
              <w:bottom w:val="single" w:sz="8" w:space="0" w:color="auto"/>
              <w:right w:val="nil"/>
            </w:tcBorders>
            <w:shd w:val="clear" w:color="auto" w:fill="auto"/>
            <w:vAlign w:val="bottom"/>
            <w:hideMark/>
          </w:tcPr>
          <w:p w14:paraId="16CF42F2" w14:textId="13CDB5D8" w:rsidR="00EB4F80" w:rsidRPr="00EB4F80" w:rsidRDefault="007A4856" w:rsidP="00EB4F80">
            <w:pPr>
              <w:rPr>
                <w:rFonts w:ascii="Calibri" w:eastAsia="Times New Roman" w:hAnsi="Calibri" w:cs="Calibri"/>
                <w:color w:val="000000"/>
                <w:sz w:val="18"/>
                <w:szCs w:val="18"/>
                <w:lang w:eastAsia="fr-CA"/>
              </w:rPr>
            </w:pPr>
            <w:r w:rsidRPr="007A4856">
              <w:rPr>
                <w:rFonts w:ascii="Calibri" w:eastAsia="Times New Roman" w:hAnsi="Calibri" w:cs="Calibri"/>
                <w:color w:val="000000"/>
                <w:sz w:val="18"/>
                <w:szCs w:val="18"/>
                <w:lang w:eastAsia="fr-CA"/>
              </w:rPr>
              <w:t>Le CA demande à l’administrateur Blaise de créer une synergie avec l’administrateur N’DIAYE et Ly BOCOUM pour créer des convergences dans la conduite des différents chantiers d’Afrik Créances.</w:t>
            </w:r>
          </w:p>
        </w:tc>
        <w:tc>
          <w:tcPr>
            <w:tcW w:w="2330" w:type="dxa"/>
            <w:tcBorders>
              <w:top w:val="nil"/>
              <w:left w:val="single" w:sz="8" w:space="0" w:color="auto"/>
              <w:bottom w:val="single" w:sz="8" w:space="0" w:color="auto"/>
              <w:right w:val="single" w:sz="8" w:space="0" w:color="auto"/>
            </w:tcBorders>
            <w:shd w:val="clear" w:color="auto" w:fill="auto"/>
            <w:vAlign w:val="bottom"/>
            <w:hideMark/>
          </w:tcPr>
          <w:p w14:paraId="2848010D" w14:textId="6E279739"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 xml:space="preserve">Dossier en </w:t>
            </w:r>
            <w:r w:rsidR="007F70C3" w:rsidRPr="00EB4F80">
              <w:rPr>
                <w:rFonts w:ascii="Calibri" w:eastAsia="Times New Roman" w:hAnsi="Calibri" w:cs="Calibri"/>
                <w:color w:val="000000"/>
                <w:sz w:val="18"/>
                <w:szCs w:val="18"/>
                <w:lang w:eastAsia="fr-CA"/>
              </w:rPr>
              <w:t>stand-by</w:t>
            </w:r>
          </w:p>
        </w:tc>
        <w:tc>
          <w:tcPr>
            <w:tcW w:w="1893" w:type="dxa"/>
            <w:tcBorders>
              <w:top w:val="nil"/>
              <w:left w:val="nil"/>
              <w:bottom w:val="single" w:sz="4" w:space="0" w:color="auto"/>
              <w:right w:val="nil"/>
            </w:tcBorders>
            <w:shd w:val="clear" w:color="auto" w:fill="auto"/>
            <w:vAlign w:val="bottom"/>
            <w:hideMark/>
          </w:tcPr>
          <w:p w14:paraId="6D5D1FF8" w14:textId="77777777" w:rsidR="00EB4F80" w:rsidRPr="00EB4F80" w:rsidRDefault="00EB4F80" w:rsidP="007F70C3">
            <w:pPr>
              <w:jc w:val="cente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 xml:space="preserve">Nouvelle décision du CA </w:t>
            </w:r>
          </w:p>
        </w:tc>
        <w:tc>
          <w:tcPr>
            <w:tcW w:w="1659" w:type="dxa"/>
            <w:tcBorders>
              <w:top w:val="nil"/>
              <w:left w:val="single" w:sz="8" w:space="0" w:color="auto"/>
              <w:bottom w:val="single" w:sz="8" w:space="0" w:color="auto"/>
              <w:right w:val="single" w:sz="8" w:space="0" w:color="auto"/>
            </w:tcBorders>
            <w:shd w:val="clear" w:color="auto" w:fill="auto"/>
            <w:noWrap/>
            <w:vAlign w:val="bottom"/>
            <w:hideMark/>
          </w:tcPr>
          <w:p w14:paraId="28A05B8A"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CA</w:t>
            </w:r>
          </w:p>
        </w:tc>
        <w:tc>
          <w:tcPr>
            <w:tcW w:w="2357" w:type="dxa"/>
            <w:tcBorders>
              <w:top w:val="nil"/>
              <w:left w:val="nil"/>
              <w:bottom w:val="single" w:sz="8" w:space="0" w:color="auto"/>
              <w:right w:val="single" w:sz="8" w:space="0" w:color="auto"/>
            </w:tcBorders>
            <w:shd w:val="clear" w:color="auto" w:fill="auto"/>
            <w:noWrap/>
            <w:vAlign w:val="bottom"/>
            <w:hideMark/>
          </w:tcPr>
          <w:p w14:paraId="2AE48D15" w14:textId="77777777" w:rsidR="00EB4F80" w:rsidRPr="00EB4F80" w:rsidRDefault="00EB4F80" w:rsidP="00EB4F80">
            <w:pPr>
              <w:rPr>
                <w:rFonts w:ascii="Calibri" w:eastAsia="Times New Roman" w:hAnsi="Calibri" w:cs="Calibri"/>
                <w:color w:val="000000"/>
                <w:sz w:val="18"/>
                <w:szCs w:val="18"/>
                <w:lang w:eastAsia="fr-CA"/>
              </w:rPr>
            </w:pPr>
            <w:r w:rsidRPr="00EB4F80">
              <w:rPr>
                <w:rFonts w:ascii="Calibri" w:eastAsia="Times New Roman" w:hAnsi="Calibri" w:cs="Calibri"/>
                <w:color w:val="000000"/>
                <w:sz w:val="18"/>
                <w:szCs w:val="18"/>
                <w:lang w:eastAsia="fr-CA"/>
              </w:rPr>
              <w:t>Négociations en cours</w:t>
            </w:r>
          </w:p>
        </w:tc>
      </w:tr>
    </w:tbl>
    <w:p w14:paraId="15230E44" w14:textId="77777777" w:rsidR="00B637C6" w:rsidRDefault="00B637C6" w:rsidP="00EB4F80"/>
    <w:p w14:paraId="7FFD1C7E" w14:textId="36CDEDA8" w:rsidR="00B637C6" w:rsidRDefault="00B637C6" w:rsidP="00EB4F80"/>
    <w:p w14:paraId="4B12642D" w14:textId="388C78A5" w:rsidR="00781A79" w:rsidRDefault="00781A79" w:rsidP="00EB4F80"/>
    <w:p w14:paraId="4CD16891" w14:textId="703F64FE" w:rsidR="00781A79" w:rsidRDefault="00781A79" w:rsidP="00EB4F80"/>
    <w:p w14:paraId="27E1BB60" w14:textId="277BA0B8" w:rsidR="00781A79" w:rsidRDefault="00781A79" w:rsidP="00EB4F80"/>
    <w:p w14:paraId="202556B8" w14:textId="77B9A451" w:rsidR="00224DED" w:rsidRPr="00EB4F80" w:rsidRDefault="00224DED" w:rsidP="00EB4F80"/>
    <w:sectPr w:rsidR="00224DED" w:rsidRPr="00EB4F80" w:rsidSect="00EB4F80">
      <w:footerReference w:type="even" r:id="rId7"/>
      <w:footerReference w:type="default" r:id="rId8"/>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24E81" w14:textId="77777777" w:rsidR="006A2897" w:rsidRDefault="006A2897" w:rsidP="007327B0">
      <w:r>
        <w:separator/>
      </w:r>
    </w:p>
  </w:endnote>
  <w:endnote w:type="continuationSeparator" w:id="0">
    <w:p w14:paraId="4DDB0CB7" w14:textId="77777777" w:rsidR="006A2897" w:rsidRDefault="006A2897" w:rsidP="0073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76661294"/>
      <w:docPartObj>
        <w:docPartGallery w:val="Page Numbers (Bottom of Page)"/>
        <w:docPartUnique/>
      </w:docPartObj>
    </w:sdtPr>
    <w:sdtEndPr>
      <w:rPr>
        <w:rStyle w:val="Numrodepage"/>
      </w:rPr>
    </w:sdtEndPr>
    <w:sdtContent>
      <w:p w14:paraId="048B734C" w14:textId="57908FD2" w:rsidR="007327B0" w:rsidRDefault="007327B0" w:rsidP="007106F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B0B1E05" w14:textId="77777777" w:rsidR="007327B0" w:rsidRDefault="007327B0" w:rsidP="007327B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23996343"/>
      <w:docPartObj>
        <w:docPartGallery w:val="Page Numbers (Bottom of Page)"/>
        <w:docPartUnique/>
      </w:docPartObj>
    </w:sdtPr>
    <w:sdtEndPr>
      <w:rPr>
        <w:rStyle w:val="Numrodepage"/>
      </w:rPr>
    </w:sdtEndPr>
    <w:sdtContent>
      <w:p w14:paraId="20AC09E1" w14:textId="31344114" w:rsidR="007327B0" w:rsidRDefault="007327B0" w:rsidP="007106F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313262A" w14:textId="77777777" w:rsidR="007327B0" w:rsidRDefault="007327B0" w:rsidP="007327B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D7D92" w14:textId="77777777" w:rsidR="006A2897" w:rsidRDefault="006A2897" w:rsidP="007327B0">
      <w:r>
        <w:separator/>
      </w:r>
    </w:p>
  </w:footnote>
  <w:footnote w:type="continuationSeparator" w:id="0">
    <w:p w14:paraId="711196B6" w14:textId="77777777" w:rsidR="006A2897" w:rsidRDefault="006A2897" w:rsidP="007327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80"/>
    <w:rsid w:val="00211D36"/>
    <w:rsid w:val="00224DED"/>
    <w:rsid w:val="002A148A"/>
    <w:rsid w:val="003E79D6"/>
    <w:rsid w:val="004A6446"/>
    <w:rsid w:val="00625054"/>
    <w:rsid w:val="00686F91"/>
    <w:rsid w:val="006A2897"/>
    <w:rsid w:val="007327B0"/>
    <w:rsid w:val="00781A79"/>
    <w:rsid w:val="007A4856"/>
    <w:rsid w:val="007C269B"/>
    <w:rsid w:val="007F70C3"/>
    <w:rsid w:val="00897D7B"/>
    <w:rsid w:val="00951B49"/>
    <w:rsid w:val="009836D6"/>
    <w:rsid w:val="00A07661"/>
    <w:rsid w:val="00A46A6E"/>
    <w:rsid w:val="00AF56FD"/>
    <w:rsid w:val="00B637C6"/>
    <w:rsid w:val="00DF5A0D"/>
    <w:rsid w:val="00E11ED1"/>
    <w:rsid w:val="00E5652E"/>
    <w:rsid w:val="00EB4F80"/>
    <w:rsid w:val="00EC391E"/>
    <w:rsid w:val="00F83CA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DBBA"/>
  <w15:chartTrackingRefBased/>
  <w15:docId w15:val="{FF1F8EEE-B83B-E441-82C3-EA952EF5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652E"/>
    <w:pPr>
      <w:ind w:left="720"/>
      <w:contextualSpacing/>
    </w:pPr>
  </w:style>
  <w:style w:type="paragraph" w:styleId="Pieddepage">
    <w:name w:val="footer"/>
    <w:basedOn w:val="Normal"/>
    <w:link w:val="PieddepageCar"/>
    <w:uiPriority w:val="99"/>
    <w:unhideWhenUsed/>
    <w:rsid w:val="007327B0"/>
    <w:pPr>
      <w:tabs>
        <w:tab w:val="center" w:pos="4320"/>
        <w:tab w:val="right" w:pos="8640"/>
      </w:tabs>
    </w:pPr>
  </w:style>
  <w:style w:type="character" w:customStyle="1" w:styleId="PieddepageCar">
    <w:name w:val="Pied de page Car"/>
    <w:basedOn w:val="Policepardfaut"/>
    <w:link w:val="Pieddepage"/>
    <w:uiPriority w:val="99"/>
    <w:rsid w:val="007327B0"/>
  </w:style>
  <w:style w:type="character" w:styleId="Numrodepage">
    <w:name w:val="page number"/>
    <w:basedOn w:val="Policepardfaut"/>
    <w:uiPriority w:val="99"/>
    <w:semiHidden/>
    <w:unhideWhenUsed/>
    <w:rsid w:val="007327B0"/>
  </w:style>
  <w:style w:type="paragraph" w:styleId="En-tte">
    <w:name w:val="header"/>
    <w:basedOn w:val="Normal"/>
    <w:link w:val="En-tteCar"/>
    <w:uiPriority w:val="99"/>
    <w:unhideWhenUsed/>
    <w:rsid w:val="00AF56FD"/>
    <w:pPr>
      <w:tabs>
        <w:tab w:val="center" w:pos="4320"/>
        <w:tab w:val="right" w:pos="8640"/>
      </w:tabs>
    </w:pPr>
  </w:style>
  <w:style w:type="character" w:customStyle="1" w:styleId="En-tteCar">
    <w:name w:val="En-tête Car"/>
    <w:basedOn w:val="Policepardfaut"/>
    <w:link w:val="En-tte"/>
    <w:uiPriority w:val="99"/>
    <w:rsid w:val="00AF5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3348">
      <w:bodyDiv w:val="1"/>
      <w:marLeft w:val="0"/>
      <w:marRight w:val="0"/>
      <w:marTop w:val="0"/>
      <w:marBottom w:val="0"/>
      <w:divBdr>
        <w:top w:val="none" w:sz="0" w:space="0" w:color="auto"/>
        <w:left w:val="none" w:sz="0" w:space="0" w:color="auto"/>
        <w:bottom w:val="none" w:sz="0" w:space="0" w:color="auto"/>
        <w:right w:val="none" w:sz="0" w:space="0" w:color="auto"/>
      </w:divBdr>
    </w:div>
    <w:div w:id="461849489">
      <w:bodyDiv w:val="1"/>
      <w:marLeft w:val="0"/>
      <w:marRight w:val="0"/>
      <w:marTop w:val="0"/>
      <w:marBottom w:val="0"/>
      <w:divBdr>
        <w:top w:val="none" w:sz="0" w:space="0" w:color="auto"/>
        <w:left w:val="none" w:sz="0" w:space="0" w:color="auto"/>
        <w:bottom w:val="none" w:sz="0" w:space="0" w:color="auto"/>
        <w:right w:val="none" w:sz="0" w:space="0" w:color="auto"/>
      </w:divBdr>
    </w:div>
    <w:div w:id="587345837">
      <w:bodyDiv w:val="1"/>
      <w:marLeft w:val="0"/>
      <w:marRight w:val="0"/>
      <w:marTop w:val="0"/>
      <w:marBottom w:val="0"/>
      <w:divBdr>
        <w:top w:val="none" w:sz="0" w:space="0" w:color="auto"/>
        <w:left w:val="none" w:sz="0" w:space="0" w:color="auto"/>
        <w:bottom w:val="none" w:sz="0" w:space="0" w:color="auto"/>
        <w:right w:val="none" w:sz="0" w:space="0" w:color="auto"/>
      </w:divBdr>
    </w:div>
    <w:div w:id="1324970537">
      <w:bodyDiv w:val="1"/>
      <w:marLeft w:val="0"/>
      <w:marRight w:val="0"/>
      <w:marTop w:val="0"/>
      <w:marBottom w:val="0"/>
      <w:divBdr>
        <w:top w:val="none" w:sz="0" w:space="0" w:color="auto"/>
        <w:left w:val="none" w:sz="0" w:space="0" w:color="auto"/>
        <w:bottom w:val="none" w:sz="0" w:space="0" w:color="auto"/>
        <w:right w:val="none" w:sz="0" w:space="0" w:color="auto"/>
      </w:divBdr>
    </w:div>
    <w:div w:id="133105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832</Words>
  <Characters>4578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15240</dc:creator>
  <cp:keywords/>
  <dc:description/>
  <cp:lastModifiedBy>Abdoulaye Niangaly</cp:lastModifiedBy>
  <cp:revision>3</cp:revision>
  <cp:lastPrinted>2022-01-13T11:40:00Z</cp:lastPrinted>
  <dcterms:created xsi:type="dcterms:W3CDTF">2022-01-13T11:53:00Z</dcterms:created>
  <dcterms:modified xsi:type="dcterms:W3CDTF">2022-01-13T11:53:00Z</dcterms:modified>
</cp:coreProperties>
</file>