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decisões arquiteturais do Routiva</w:t>
      </w:r>
    </w:p>
    <w:p>
      <w:r>
        <w:t>Versão 1.0  |  27 de outubro de 2026</w:t>
      </w:r>
    </w:p>
    <w:p>
      <w:r>
        <w:t>Este documento centraliza as decisões arquiteturais do Routiva, suas razões e consequências. O primeiro registro estabelece que os indicadores de latência e perda apresentados no painel são atualizados por um processo em background e consultados em memória pela aplicação web.</w:t>
      </w:r>
    </w:p>
    <w:p>
      <w:pPr>
        <w:pStyle w:val="Heading2"/>
      </w:pPr>
      <w:r>
        <w:t>Como manter este registro</w:t>
      </w:r>
    </w:p>
    <w:p>
      <w:r>
        <w:t>Cada nova decisão deve receber um identificador sequencial, data, estado, contexto, decisão, consequências e evidências. Revisões devem preservar o histórico: quando uma decisão for substituída, registrar a sucessora e a relação entre elas. O registro atual contém a ADR 001; novas decisões serão acrescentadas a este documento.</w:t>
      </w:r>
    </w:p>
    <w:p>
      <w:pPr>
        <w:pStyle w:val="Heading1"/>
      </w:pPr>
      <w:r>
        <w:t>ADR 001 Disponibilização dos indicadores no frontend</w:t>
      </w:r>
    </w:p>
    <w:p>
      <w:r>
        <w:t>Data da decisão: 27 de outubro de 2026.</w:t>
        <w:br/>
        <w:t>Estado: aceita e implementada no código local.</w:t>
        <w:br/>
        <w:t>Implantação: não realizada nesta alteração.</w:t>
      </w:r>
    </w:p>
    <w:p>
      <w:pPr>
        <w:pStyle w:val="Heading2"/>
      </w:pPr>
      <w:r>
        <w:t>Decisão</w:t>
      </w:r>
    </w:p>
    <w:p>
      <w:r>
        <w:t>Os indicadores por host de latência e perda de pacotes nas janelas móveis de 5 minutos, 1 hora e 8 horas serão calculados por um processo em background, agendado a cada 10 segundos. O processo consulta os registros de ping no PostgreSQL e publica um conjunto completo de resultados em memória.</w:t>
      </w:r>
    </w:p>
    <w:p>
      <w:r>
        <w:t>A atualização manual ou automática da página apenas consulta os indicadores disponíveis. Nenhuma requisição da página deve iniciar a leitura dos pings no banco ou forçar o recálculo dessas janelas. A gravação de um ping ou lote também não dispara esse cálculo.</w:t>
      </w:r>
    </w:p>
    <w:p>
      <w:pPr>
        <w:pStyle w:val="Heading2"/>
      </w:pPr>
      <w:r>
        <w:t>Contexto e motivação</w:t>
      </w:r>
    </w:p>
    <w:p>
      <w:r>
        <w:t>Antes desta decisão, a incorporação de cada ping ao histórico podia recalcular a análise do host. Uma leitura do painel também podia provocar recálculo quando o cache de 1 segundo expirava. A decisão separa o recebimento dos pings, o processamento dos indicadores e a consulta pela interface, tornando a atualização independente do número de acessos ao painel.</w:t>
      </w:r>
    </w:p>
    <w:p>
      <w:pPr>
        <w:pStyle w:val="Heading2"/>
      </w:pPr>
      <w:r>
        <w:t>Escopo</w:t>
      </w:r>
    </w:p>
    <w:p>
      <w:r>
        <w:t>Esta decisão cobre os indicadores das três janelas nas tabelas de hosts e grupos. A interface mantém a formatação, a ordenação e a composição dos grupos a partir dos resultados disponíveis. Os gráficos históricos de disponibilidade no detalhe do host continuam usando consultas específicas por período e não são alterados por esta decisão.</w:t>
      </w:r>
    </w:p>
    <w:p>
      <w:r>
        <w:br w:type="page"/>
      </w:r>
    </w:p>
    <w:p>
      <w:pPr>
        <w:pStyle w:val="Heading1"/>
      </w:pPr>
      <w:r>
        <w:t>Fluxo de processamento e regras de cálculo</w:t>
      </w:r>
    </w:p>
    <w:p>
      <w:pPr>
        <w:pStyle w:val="Heading2"/>
      </w:pPr>
      <w:r>
        <w:t>Recebimento e persistência</w:t>
      </w:r>
    </w:p>
    <w:p>
      <w:r>
        <w:t>Cada ping concluído é persistido em ping_sample. No recebimento de um lote, os registros e o recibo em collector_batch são gravados na mesma transação; o reconhecimento ao coletor ocorre após a confirmação da gravação. O recibo confirma a persistência, não a atualização dos indicadores. Transações revertidas não participam dos resultados publicados.</w:t>
      </w:r>
    </w:p>
    <w:p>
      <w:pPr>
        <w:pStyle w:val="Heading2"/>
      </w:pPr>
      <w:r>
        <w:t>Atualização em background</w:t>
      </w:r>
    </w:p>
    <w:p>
      <w:pPr>
        <w:pStyle w:val="ListNumber"/>
      </w:pPr>
      <w:r>
        <w:t>O agendador próprio inicia o primeiro ciclo na inicialização da aplicação e agenda os seguintes a cada 10 segundos.</w:t>
      </w:r>
    </w:p>
    <w:p>
      <w:pPr>
        <w:pStyle w:val="ListNumber"/>
      </w:pPr>
      <w:r>
        <w:t>O ciclo fixa um horário de referência e consulta os registros recentes em ping_sample, ordenados por horário e ID. A janela de leitura tem no mínimo 8 horas e pode ser maior se a configuração de análise exigir.</w:t>
      </w:r>
    </w:p>
    <w:p>
      <w:pPr>
        <w:pStyle w:val="ListNumber"/>
      </w:pPr>
      <w:r>
        <w:t>Os registros são separados por host e IP. IPs inválidos são descartados; registros com horário posterior à referência não entram no cálculo. Registros atrasados já confirmados no banco são incluídos quando pertencem à janela.</w:t>
      </w:r>
    </w:p>
    <w:p>
      <w:pPr>
        <w:pStyle w:val="ListNumber"/>
      </w:pPr>
      <w:r>
        <w:t>O analisador calcula as janelas de 5 minutos, 1 hora e 8 horas a partir dos pings de cada host. As janelas são independentes: o resultado de 8 horas não é uma média dos resultados de 1 hora.</w:t>
      </w:r>
    </w:p>
    <w:p>
      <w:pPr>
        <w:pStyle w:val="ListNumber"/>
      </w:pPr>
      <w:r>
        <w:t>Ao terminar todo o processamento, o serviço substitui atomicamente o conjunto de indicadores em memória. Uma consulta recebe uma versão completa, sem combinar resultados de ciclos diferentes.</w:t>
      </w:r>
    </w:p>
    <w:p>
      <w:pPr>
        <w:pStyle w:val="Heading2"/>
      </w:pPr>
      <w:r>
        <w:t>Latência e perda</w:t>
      </w:r>
    </w:p>
    <w:p>
      <w:r>
        <w:t>Cada janela inclui os registros com horário maior que o início da janela e menor ou igual ao horário de referência do ciclo. A latência média é a soma das latências das respostas válidas dividida pela quantidade dessas respostas.</w:t>
      </w:r>
    </w:p>
    <w:p>
      <w:r>
        <w:t>A perda percentual é a quantidade de pings sem resposta dividida pela quantidade de tentativas válidas, multiplicada por 100. As tentativas válidas incluem respostas e perdas. Erros internos de execução ficam fora do denominador; ausência de coleta não é convertida automaticamente em perda.</w:t>
      </w:r>
    </w:p>
    <w:p>
      <w:r>
        <w:t>Sem respostas válidas, a latência fica sem valor. Sem tentativas válidas, a perda fica sem valor. Exemplo: 297 respostas e 3 perdas correspondem a 300 tentativas e 1% de perda; se as latências somam 5.940 ms, a média é 20 ms.</w:t>
      </w:r>
    </w:p>
    <w:p>
      <w:pPr>
        <w:pStyle w:val="Heading2"/>
      </w:pPr>
      <w:r>
        <w:t>Consulta pela página</w:t>
      </w:r>
    </w:p>
    <w:p>
      <w:r>
        <w:t>O frontend recebe os resultados do último ciclo concluído, mesmo que novos pings já tenham sido gravados. A consulta não aguarda o próximo ciclo e não antecipa o processamento. Antes da primeira publicação, ou quando não há resultado para o host e IP consultados, o serviço retorna indicadores sem dados.</w:t>
      </w:r>
    </w:p>
    <w:p>
      <w:r>
        <w:br w:type="page"/>
      </w:r>
    </w:p>
    <w:p>
      <w:pPr>
        <w:pStyle w:val="Heading1"/>
      </w:pPr>
      <w:r>
        <w:t>Consequências e verificação da decisão</w:t>
      </w:r>
    </w:p>
    <w:p>
      <w:pPr>
        <w:pStyle w:val="Heading2"/>
      </w:pPr>
      <w:r>
        <w:t>Consistência e falhas</w:t>
      </w:r>
    </w:p>
    <w:p>
      <w:r>
        <w:t>Durante uma atualização, as consultas continuam usando os valores anteriores. Se a consulta ao banco ou o processamento falhar antes da publicação, o último conjunto completo permanece disponível. A alteração do IP de um host separa seus resultados dos registros associados ao IP anterior.</w:t>
      </w:r>
    </w:p>
    <w:p>
      <w:r>
        <w:t>Os ciclos não se sobrepõem. Se um ciclo ultrapassar 10 segundos, a execução seguinte atrasa. Portanto, 10 segundos é a cadência programada, não uma garantia de atraso máximo entre a gravação do ping e sua exibição. O tempo de processamento e a próxima atualização da página também afetam quando o usuário vê os novos valores.</w:t>
      </w:r>
    </w:p>
    <w:p>
      <w:pPr>
        <w:pStyle w:val="Heading2"/>
      </w:pPr>
      <w:r>
        <w:t>Benefícios e custos assumidos</w:t>
      </w:r>
    </w:p>
    <w:p>
      <w:pPr>
        <w:pStyle w:val="ListBullet"/>
      </w:pPr>
      <w:r>
        <w:t>O acesso à página deixa de disparar a análise do histórico de pings, e a chegada de um lote deixa de recalcular os indicadores por registro.</w:t>
      </w:r>
    </w:p>
    <w:p>
      <w:pPr>
        <w:pStyle w:val="ListBullet"/>
      </w:pPr>
      <w:r>
        <w:t>A publicação atômica preserva resultados completos e permite atender leituras enquanto a atualização está em andamento.</w:t>
      </w:r>
    </w:p>
    <w:p>
      <w:pPr>
        <w:pStyle w:val="ListBullet"/>
      </w:pPr>
      <w:r>
        <w:t>A implementação atual relê integralmente o histórico necessário a cada ciclo. O custo de banco, CPU e memória temporária cresce com o número de pings da janela; não houve certificação de capacidade em produção nesta alteração.</w:t>
      </w:r>
    </w:p>
    <w:p>
      <w:pPr>
        <w:pStyle w:val="ListBullet"/>
      </w:pPr>
      <w:r>
        <w:t>Os indicadores têm atualização periódica e podem permanecer antigos durante falhas. A memória pertence à instância Java e é recomposta a partir do banco após reinício.</w:t>
      </w:r>
    </w:p>
    <w:p>
      <w:pPr>
        <w:pStyle w:val="Heading2"/>
      </w:pPr>
      <w:r>
        <w:t>Alternativas e evolução</w:t>
      </w:r>
    </w:p>
    <w:p>
      <w:r>
        <w:t>O recálculo provocado pela página e o recálculo por ping foram substituídos por esta decisão. Uma leitura incremental ou agregações no banco poderão ser avaliadas em decisão futura caso o volume exija otimização. Essa evolução deverá preservar a leitura passiva pela página, a inclusão de registros atrasados e a publicação de resultados completos.</w:t>
      </w:r>
    </w:p>
    <w:p>
      <w:pPr>
        <w:pStyle w:val="Heading2"/>
      </w:pPr>
      <w:r>
        <w:t>Verificação realizada</w:t>
      </w:r>
    </w:p>
    <w:p>
      <w:r>
        <w:t>A suíte Java concluiu 64 testes sem falhas. A cobertura inclui leituras sem acesso adicional ao banco, visibilidade de novos registros somente após atualização, expiração das janelas sem novos pings, registros atrasados e futuros, separação por IP, preservação do resultado em caso de falha, rollback e apresentação dos indicadores. Os testes não substituem uma validação de carga no PostgreSQL de produção.</w:t>
      </w:r>
    </w:p>
    <w:p>
      <w:pPr>
        <w:pStyle w:val="Heading2"/>
      </w:pPr>
      <w:r>
        <w:t>Referências de implementação</w:t>
      </w:r>
    </w:p>
    <w:p>
      <w:r>
        <w:t>PacketLossAnalysisService.java — agendamento, consulta do histórico, cálculo e publicação em memória.</w:t>
        <w:br/>
        <w:t>ScriptPingApplication.java — agendador dedicado dos indicadores.</w:t>
        <w:br/>
        <w:t>SampleStore.java — persistência e leitura dos registros de ping.</w:t>
        <w:br/>
        <w:t>PacketLossAnalyzer.java — cálculo das janelas.</w:t>
        <w:br/>
        <w:t>DashboardController.java — consulta dos indicadores disponíveis.</w:t>
      </w:r>
    </w:p>
    <w:p>
      <w:r>
        <w:t>Os arquivos de implementação ficam em src/main/java/br/com/scriptping. As evidências automatizadas ficam em src/test/java/br/com/scriptping, incluindo PacketLossCacheTests e PacketLossHistoryIntegrationTests. A descrição operacional está no README.md.</w:t>
      </w:r>
    </w:p>
    <w:sectPr w:rsidR="00FC693F" w:rsidRPr="0006063C" w:rsidSect="00034616">
      <w:footerReference w:type="default" r:id="rId9"/>
      <w:pgSz w:w="11909" w:h="16834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Routiva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decisões arquiteturais do Routiva</dc:title>
  <dc:subject>ADR 001 Disponibilização dos indicadores no frontend</dc:subject>
  <dc:creator>Routiva</dc:creator>
  <cp:keywords>arquitetura, ADR, indicadores, latência, perda de pacotes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