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2E74B5"/>
          <w:sz w:val="20"/>
        </w:rPr>
        <w:t>TRAVAUX PRATIQUES</w:t>
      </w:r>
    </w:p>
    <w:p>
      <w:pPr>
        <w:pStyle w:val="Title"/>
      </w:pPr>
      <w:r>
        <w:t>Créer un agent IA de statistiques avec Django</w:t>
      </w:r>
    </w:p>
    <w:p>
      <w:pPr>
        <w:spacing w:after="320"/>
      </w:pPr>
      <w:r>
        <w:rPr>
          <w:color w:val="5F6B66"/>
          <w:sz w:val="28"/>
        </w:rPr>
        <w:t>Assistant conversationnel inspiré d’une agence nationale de statistique</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0B6E4F"/>
            <w:tcMar>
              <w:top w:w="80" w:type="dxa"/>
              <w:start w:w="120" w:type="dxa"/>
              <w:bottom w:w="80" w:type="dxa"/>
              <w:end w:w="120" w:type="dxa"/>
            </w:tcMar>
            <w:vAlign w:val="center"/>
          </w:tcPr>
          <w:p>
            <w:r>
              <w:rPr>
                <w:b/>
                <w:color w:val="FFFFFF"/>
                <w:sz w:val="19"/>
              </w:rPr>
              <w:t>Paramètre</w:t>
            </w:r>
          </w:p>
        </w:tc>
        <w:tc>
          <w:tcPr>
            <w:tcW w:type="dxa" w:w="6660"/>
            <w:shd w:fill="0B6E4F"/>
            <w:tcMar>
              <w:top w:w="80" w:type="dxa"/>
              <w:start w:w="120" w:type="dxa"/>
              <w:bottom w:w="80" w:type="dxa"/>
              <w:end w:w="120" w:type="dxa"/>
            </w:tcMar>
            <w:vAlign w:val="center"/>
          </w:tcPr>
          <w:p>
            <w:r>
              <w:rPr>
                <w:b/>
                <w:color w:val="FFFFFF"/>
                <w:sz w:val="19"/>
              </w:rPr>
              <w:t>Proposition</w:t>
            </w:r>
          </w:p>
        </w:tc>
      </w:tr>
      <w:tr>
        <w:tc>
          <w:tcPr>
            <w:tcW w:type="dxa" w:w="2700"/>
            <w:tcMar>
              <w:top w:w="80" w:type="dxa"/>
              <w:start w:w="120" w:type="dxa"/>
              <w:bottom w:w="80" w:type="dxa"/>
              <w:end w:w="120" w:type="dxa"/>
            </w:tcMar>
            <w:vAlign w:val="center"/>
          </w:tcPr>
          <w:p>
            <w:pPr>
              <w:spacing w:after="0" w:line="252" w:lineRule="auto"/>
            </w:pPr>
            <w:r>
              <w:rPr>
                <w:sz w:val="18"/>
              </w:rPr>
              <w:t>Niveau</w:t>
            </w:r>
          </w:p>
        </w:tc>
        <w:tc>
          <w:tcPr>
            <w:tcW w:type="dxa" w:w="6660"/>
            <w:tcMar>
              <w:top w:w="80" w:type="dxa"/>
              <w:start w:w="120" w:type="dxa"/>
              <w:bottom w:w="80" w:type="dxa"/>
              <w:end w:w="120" w:type="dxa"/>
            </w:tcMar>
            <w:vAlign w:val="center"/>
          </w:tcPr>
          <w:p>
            <w:pPr>
              <w:spacing w:after="0" w:line="252" w:lineRule="auto"/>
            </w:pPr>
            <w:r>
              <w:rPr>
                <w:sz w:val="18"/>
              </w:rPr>
              <w:t>Intermédiaire — Python, Django, HTML et JavaScript de base</w:t>
            </w:r>
          </w:p>
        </w:tc>
      </w:tr>
      <w:tr>
        <w:tc>
          <w:tcPr>
            <w:tcW w:type="dxa" w:w="2700"/>
            <w:shd w:fill="F7FAF9"/>
            <w:tcMar>
              <w:top w:w="80" w:type="dxa"/>
              <w:start w:w="120" w:type="dxa"/>
              <w:bottom w:w="80" w:type="dxa"/>
              <w:end w:w="120" w:type="dxa"/>
            </w:tcMar>
            <w:vAlign w:val="center"/>
          </w:tcPr>
          <w:p>
            <w:pPr>
              <w:spacing w:after="0" w:line="252" w:lineRule="auto"/>
            </w:pPr>
            <w:r>
              <w:rPr>
                <w:sz w:val="18"/>
              </w:rPr>
              <w:t>Durée</w:t>
            </w:r>
          </w:p>
        </w:tc>
        <w:tc>
          <w:tcPr>
            <w:tcW w:type="dxa" w:w="6660"/>
            <w:shd w:fill="F7FAF9"/>
            <w:tcMar>
              <w:top w:w="80" w:type="dxa"/>
              <w:start w:w="120" w:type="dxa"/>
              <w:bottom w:w="80" w:type="dxa"/>
              <w:end w:w="120" w:type="dxa"/>
            </w:tcMar>
            <w:vAlign w:val="center"/>
          </w:tcPr>
          <w:p>
            <w:pPr>
              <w:spacing w:after="0" w:line="252" w:lineRule="auto"/>
            </w:pPr>
            <w:r>
              <w:rPr>
                <w:sz w:val="18"/>
              </w:rPr>
              <w:t>8 heures en laboratoire + 2 heures de finalisation</w:t>
            </w:r>
          </w:p>
        </w:tc>
      </w:tr>
      <w:tr>
        <w:tc>
          <w:tcPr>
            <w:tcW w:type="dxa" w:w="2700"/>
            <w:tcMar>
              <w:top w:w="80" w:type="dxa"/>
              <w:start w:w="120" w:type="dxa"/>
              <w:bottom w:w="80" w:type="dxa"/>
              <w:end w:w="120" w:type="dxa"/>
            </w:tcMar>
            <w:vAlign w:val="center"/>
          </w:tcPr>
          <w:p>
            <w:pPr>
              <w:spacing w:after="0" w:line="252" w:lineRule="auto"/>
            </w:pPr>
            <w:r>
              <w:rPr>
                <w:sz w:val="18"/>
              </w:rPr>
              <w:t>Organisation</w:t>
            </w:r>
          </w:p>
        </w:tc>
        <w:tc>
          <w:tcPr>
            <w:tcW w:type="dxa" w:w="6660"/>
            <w:tcMar>
              <w:top w:w="80" w:type="dxa"/>
              <w:start w:w="120" w:type="dxa"/>
              <w:bottom w:w="80" w:type="dxa"/>
              <w:end w:w="120" w:type="dxa"/>
            </w:tcMar>
            <w:vAlign w:val="center"/>
          </w:tcPr>
          <w:p>
            <w:pPr>
              <w:spacing w:after="0" w:line="252" w:lineRule="auto"/>
            </w:pPr>
            <w:r>
              <w:rPr>
                <w:sz w:val="18"/>
              </w:rPr>
              <w:t>Binômes ou groupes de 3</w:t>
            </w:r>
          </w:p>
        </w:tc>
      </w:tr>
      <w:tr>
        <w:tc>
          <w:tcPr>
            <w:tcW w:type="dxa" w:w="2700"/>
            <w:shd w:fill="F7FAF9"/>
            <w:tcMar>
              <w:top w:w="80" w:type="dxa"/>
              <w:start w:w="120" w:type="dxa"/>
              <w:bottom w:w="80" w:type="dxa"/>
              <w:end w:w="120" w:type="dxa"/>
            </w:tcMar>
            <w:vAlign w:val="center"/>
          </w:tcPr>
          <w:p>
            <w:pPr>
              <w:spacing w:after="0" w:line="252" w:lineRule="auto"/>
            </w:pPr>
            <w:r>
              <w:rPr>
                <w:sz w:val="18"/>
              </w:rPr>
              <w:t>Livrable</w:t>
            </w:r>
          </w:p>
        </w:tc>
        <w:tc>
          <w:tcPr>
            <w:tcW w:type="dxa" w:w="6660"/>
            <w:shd w:fill="F7FAF9"/>
            <w:tcMar>
              <w:top w:w="80" w:type="dxa"/>
              <w:start w:w="120" w:type="dxa"/>
              <w:bottom w:w="80" w:type="dxa"/>
              <w:end w:w="120" w:type="dxa"/>
            </w:tcMar>
            <w:vAlign w:val="center"/>
          </w:tcPr>
          <w:p>
            <w:pPr>
              <w:spacing w:after="0" w:line="252" w:lineRule="auto"/>
            </w:pPr>
            <w:r>
              <w:rPr>
                <w:sz w:val="18"/>
              </w:rPr>
              <w:t>Application Django, dépôt de code, tests et démonstration de 5 minutes</w:t>
            </w:r>
          </w:p>
        </w:tc>
      </w:tr>
      <w:tr>
        <w:tc>
          <w:tcPr>
            <w:tcW w:type="dxa" w:w="2700"/>
            <w:tcMar>
              <w:top w:w="80" w:type="dxa"/>
              <w:start w:w="120" w:type="dxa"/>
              <w:bottom w:w="80" w:type="dxa"/>
              <w:end w:w="120" w:type="dxa"/>
            </w:tcMar>
            <w:vAlign w:val="center"/>
          </w:tcPr>
          <w:p>
            <w:pPr>
              <w:spacing w:after="0" w:line="252" w:lineRule="auto"/>
            </w:pPr>
            <w:r>
              <w:rPr>
                <w:sz w:val="18"/>
              </w:rPr>
              <w:t>Données</w:t>
            </w:r>
          </w:p>
        </w:tc>
        <w:tc>
          <w:tcPr>
            <w:tcW w:type="dxa" w:w="6660"/>
            <w:tcMar>
              <w:top w:w="80" w:type="dxa"/>
              <w:start w:w="120" w:type="dxa"/>
              <w:bottom w:w="80" w:type="dxa"/>
              <w:end w:w="120" w:type="dxa"/>
            </w:tcMar>
            <w:vAlign w:val="center"/>
          </w:tcPr>
          <w:p>
            <w:pPr>
              <w:spacing w:after="0" w:line="252" w:lineRule="auto"/>
            </w:pPr>
            <w:r>
              <w:rPr>
                <w:sz w:val="18"/>
              </w:rPr>
              <w:t>14 régions × 5 années = 70 observations; chiffres entièrement fictifs</w:t>
            </w:r>
          </w:p>
        </w:tc>
      </w:tr>
    </w:tbl>
    <w:p>
      <w:pPr>
        <w:spacing w:after="0"/>
      </w:pP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1F8F5"/>
          </w:tcPr>
          <w:p>
            <w:r>
              <w:rPr>
                <w:b/>
                <w:color w:val="0B6E4F"/>
              </w:rPr>
              <w:t xml:space="preserve">Avertissement — </w:t>
            </w:r>
            <w:r>
              <w:t>Le jeu fourni imite la structure de données d’une agence comme l’ANSD, mais ne contient aucune donnée officielle. L’application doit afficher cette mention.</w:t>
            </w:r>
          </w:p>
        </w:tc>
      </w:tr>
    </w:tbl>
    <w:p>
      <w:pPr>
        <w:spacing w:after="0"/>
      </w:pPr>
    </w:p>
    <w:p>
      <w:pPr>
        <w:pStyle w:val="Heading1"/>
      </w:pPr>
      <w:r>
        <w:t>1. Situation-problème</w:t>
      </w:r>
    </w:p>
    <w:p>
      <w:r>
        <w:t>Une agence publique souhaite rendre ses indicateurs régionaux plus faciles à consulter. Au lieu de parcourir plusieurs tableaux, l’utilisateur pose une question en français : « Quelles sont les cinq régions les plus peuplées en 2024 ? » L’agent analyse la demande, interroge la base Django, rédige une réponse courte et produit, lorsque cela est utile, un graphique.</w:t>
      </w:r>
    </w:p>
    <w:p>
      <w:r>
        <w:t>Votre mission est de réaliser un prototype fiable. L’agent doit répondre uniquement à partir du jeu de données fourni, signaler les questions ambiguës et refuser poliment les demandes hors périmètre.</w:t>
      </w:r>
    </w:p>
    <w:p>
      <w:pPr>
        <w:pStyle w:val="Heading1"/>
      </w:pPr>
      <w:r>
        <w:t>2. Objectifs d’apprentissage</w:t>
      </w:r>
    </w:p>
    <w:p>
      <w:pPr>
        <w:pStyle w:val="ListBullet"/>
      </w:pPr>
      <w:r>
        <w:t>Concevoir un modèle Django adapté à des indicateurs régionaux et temporels.</w:t>
      </w:r>
    </w:p>
    <w:p>
      <w:pPr>
        <w:pStyle w:val="ListBullet"/>
      </w:pPr>
      <w:r>
        <w:t>Importer et valider un fichier CSV avec une commande de gestion.</w:t>
      </w:r>
    </w:p>
    <w:p>
      <w:pPr>
        <w:pStyle w:val="ListBullet"/>
      </w:pPr>
      <w:r>
        <w:t>Transformer une question en intention structurée : indicateur, régions, années, opération et type de graphique.</w:t>
      </w:r>
    </w:p>
    <w:p>
      <w:pPr>
        <w:pStyle w:val="ListBullet"/>
      </w:pPr>
      <w:r>
        <w:t>Exécuter des requêtes ORM sûres : filtre, somme, moyenne, classement et évolution.</w:t>
      </w:r>
    </w:p>
    <w:p>
      <w:pPr>
        <w:pStyle w:val="ListBullet"/>
      </w:pPr>
      <w:r>
        <w:t>Retourner une réponse JSON et afficher un graphique dynamique avec Chart.js.</w:t>
      </w:r>
    </w:p>
    <w:p>
      <w:pPr>
        <w:pStyle w:val="ListBullet"/>
      </w:pPr>
      <w:r>
        <w:t>Tester les réponses, les cas ambigus, les données manquantes et les entrées hors sujet.</w:t>
      </w:r>
    </w:p>
    <w:p>
      <w:pPr>
        <w:pStyle w:val="Heading1"/>
      </w:pPr>
      <w:r>
        <w:t>3. Résultat attendu</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0B6E4F"/>
            <w:tcMar>
              <w:top w:w="80" w:type="dxa"/>
              <w:start w:w="120" w:type="dxa"/>
              <w:bottom w:w="80" w:type="dxa"/>
              <w:end w:w="120" w:type="dxa"/>
            </w:tcMar>
            <w:vAlign w:val="center"/>
          </w:tcPr>
          <w:p>
            <w:r>
              <w:rPr>
                <w:b/>
                <w:color w:val="FFFFFF"/>
                <w:sz w:val="19"/>
              </w:rPr>
              <w:t>Fonction</w:t>
            </w:r>
          </w:p>
        </w:tc>
        <w:tc>
          <w:tcPr>
            <w:tcW w:type="dxa" w:w="7160"/>
            <w:shd w:fill="0B6E4F"/>
            <w:tcMar>
              <w:top w:w="80" w:type="dxa"/>
              <w:start w:w="120" w:type="dxa"/>
              <w:bottom w:w="80" w:type="dxa"/>
              <w:end w:w="120" w:type="dxa"/>
            </w:tcMar>
            <w:vAlign w:val="center"/>
          </w:tcPr>
          <w:p>
            <w:r>
              <w:rPr>
                <w:b/>
                <w:color w:val="FFFFFF"/>
                <w:sz w:val="19"/>
              </w:rPr>
              <w:t>Comportement minimal</w:t>
            </w:r>
          </w:p>
        </w:tc>
      </w:tr>
      <w:tr>
        <w:tc>
          <w:tcPr>
            <w:tcW w:type="dxa" w:w="2200"/>
            <w:tcMar>
              <w:top w:w="80" w:type="dxa"/>
              <w:start w:w="120" w:type="dxa"/>
              <w:bottom w:w="80" w:type="dxa"/>
              <w:end w:w="120" w:type="dxa"/>
            </w:tcMar>
            <w:vAlign w:val="center"/>
          </w:tcPr>
          <w:p>
            <w:pPr>
              <w:spacing w:after="0" w:line="252" w:lineRule="auto"/>
            </w:pPr>
            <w:r>
              <w:rPr>
                <w:sz w:val="18"/>
              </w:rPr>
              <w:t>Question simple</w:t>
            </w:r>
          </w:p>
        </w:tc>
        <w:tc>
          <w:tcPr>
            <w:tcW w:type="dxa" w:w="7160"/>
            <w:tcMar>
              <w:top w:w="80" w:type="dxa"/>
              <w:start w:w="120" w:type="dxa"/>
              <w:bottom w:w="80" w:type="dxa"/>
              <w:end w:w="120" w:type="dxa"/>
            </w:tcMar>
            <w:vAlign w:val="center"/>
          </w:tcPr>
          <w:p>
            <w:pPr>
              <w:spacing w:after="0" w:line="252" w:lineRule="auto"/>
            </w:pPr>
            <w:r>
              <w:rPr>
                <w:sz w:val="18"/>
              </w:rPr>
              <w:t>Retourne une valeur pour une région, une année et un indicateur.</w:t>
            </w:r>
          </w:p>
        </w:tc>
      </w:tr>
      <w:tr>
        <w:tc>
          <w:tcPr>
            <w:tcW w:type="dxa" w:w="2200"/>
            <w:shd w:fill="F7FAF9"/>
            <w:tcMar>
              <w:top w:w="80" w:type="dxa"/>
              <w:start w:w="120" w:type="dxa"/>
              <w:bottom w:w="80" w:type="dxa"/>
              <w:end w:w="120" w:type="dxa"/>
            </w:tcMar>
            <w:vAlign w:val="center"/>
          </w:tcPr>
          <w:p>
            <w:pPr>
              <w:spacing w:after="0" w:line="252" w:lineRule="auto"/>
            </w:pPr>
            <w:r>
              <w:rPr>
                <w:sz w:val="18"/>
              </w:rPr>
              <w:t>Comparaison</w:t>
            </w:r>
          </w:p>
        </w:tc>
        <w:tc>
          <w:tcPr>
            <w:tcW w:type="dxa" w:w="7160"/>
            <w:shd w:fill="F7FAF9"/>
            <w:tcMar>
              <w:top w:w="80" w:type="dxa"/>
              <w:start w:w="120" w:type="dxa"/>
              <w:bottom w:w="80" w:type="dxa"/>
              <w:end w:w="120" w:type="dxa"/>
            </w:tcMar>
            <w:vAlign w:val="center"/>
          </w:tcPr>
          <w:p>
            <w:pPr>
              <w:spacing w:after="0" w:line="252" w:lineRule="auto"/>
            </w:pPr>
            <w:r>
              <w:rPr>
                <w:sz w:val="18"/>
              </w:rPr>
              <w:t>Compare plusieurs régions pour une même année et fournit un graphique en barres.</w:t>
            </w:r>
          </w:p>
        </w:tc>
      </w:tr>
      <w:tr>
        <w:tc>
          <w:tcPr>
            <w:tcW w:type="dxa" w:w="2200"/>
            <w:tcMar>
              <w:top w:w="80" w:type="dxa"/>
              <w:start w:w="120" w:type="dxa"/>
              <w:bottom w:w="80" w:type="dxa"/>
              <w:end w:w="120" w:type="dxa"/>
            </w:tcMar>
            <w:vAlign w:val="center"/>
          </w:tcPr>
          <w:p>
            <w:pPr>
              <w:spacing w:after="0" w:line="252" w:lineRule="auto"/>
            </w:pPr>
            <w:r>
              <w:rPr>
                <w:sz w:val="18"/>
              </w:rPr>
              <w:t>Évolution</w:t>
            </w:r>
          </w:p>
        </w:tc>
        <w:tc>
          <w:tcPr>
            <w:tcW w:type="dxa" w:w="7160"/>
            <w:tcMar>
              <w:top w:w="80" w:type="dxa"/>
              <w:start w:w="120" w:type="dxa"/>
              <w:bottom w:w="80" w:type="dxa"/>
              <w:end w:w="120" w:type="dxa"/>
            </w:tcMar>
            <w:vAlign w:val="center"/>
          </w:tcPr>
          <w:p>
            <w:pPr>
              <w:spacing w:after="0" w:line="252" w:lineRule="auto"/>
            </w:pPr>
            <w:r>
              <w:rPr>
                <w:sz w:val="18"/>
              </w:rPr>
              <w:t>Retourne une série annuelle et une courbe.</w:t>
            </w:r>
          </w:p>
        </w:tc>
      </w:tr>
      <w:tr>
        <w:tc>
          <w:tcPr>
            <w:tcW w:type="dxa" w:w="2200"/>
            <w:shd w:fill="F7FAF9"/>
            <w:tcMar>
              <w:top w:w="80" w:type="dxa"/>
              <w:start w:w="120" w:type="dxa"/>
              <w:bottom w:w="80" w:type="dxa"/>
              <w:end w:w="120" w:type="dxa"/>
            </w:tcMar>
            <w:vAlign w:val="center"/>
          </w:tcPr>
          <w:p>
            <w:pPr>
              <w:spacing w:after="0" w:line="252" w:lineRule="auto"/>
            </w:pPr>
            <w:r>
              <w:rPr>
                <w:sz w:val="18"/>
              </w:rPr>
              <w:t>Classement</w:t>
            </w:r>
          </w:p>
        </w:tc>
        <w:tc>
          <w:tcPr>
            <w:tcW w:type="dxa" w:w="7160"/>
            <w:shd w:fill="F7FAF9"/>
            <w:tcMar>
              <w:top w:w="80" w:type="dxa"/>
              <w:start w:w="120" w:type="dxa"/>
              <w:bottom w:w="80" w:type="dxa"/>
              <w:end w:w="120" w:type="dxa"/>
            </w:tcMar>
            <w:vAlign w:val="center"/>
          </w:tcPr>
          <w:p>
            <w:pPr>
              <w:spacing w:after="0" w:line="252" w:lineRule="auto"/>
            </w:pPr>
            <w:r>
              <w:rPr>
                <w:sz w:val="18"/>
              </w:rPr>
              <w:t>Trie les régions et limite le résultat au nombre demandé.</w:t>
            </w:r>
          </w:p>
        </w:tc>
      </w:tr>
      <w:tr>
        <w:tc>
          <w:tcPr>
            <w:tcW w:type="dxa" w:w="2200"/>
            <w:tcMar>
              <w:top w:w="80" w:type="dxa"/>
              <w:start w:w="120" w:type="dxa"/>
              <w:bottom w:w="80" w:type="dxa"/>
              <w:end w:w="120" w:type="dxa"/>
            </w:tcMar>
            <w:vAlign w:val="center"/>
          </w:tcPr>
          <w:p>
            <w:pPr>
              <w:spacing w:after="0" w:line="252" w:lineRule="auto"/>
            </w:pPr>
            <w:r>
              <w:rPr>
                <w:sz w:val="18"/>
              </w:rPr>
              <w:t>Agrégation</w:t>
            </w:r>
          </w:p>
        </w:tc>
        <w:tc>
          <w:tcPr>
            <w:tcW w:type="dxa" w:w="7160"/>
            <w:tcMar>
              <w:top w:w="80" w:type="dxa"/>
              <w:start w:w="120" w:type="dxa"/>
              <w:bottom w:w="80" w:type="dxa"/>
              <w:end w:w="120" w:type="dxa"/>
            </w:tcMar>
            <w:vAlign w:val="center"/>
          </w:tcPr>
          <w:p>
            <w:pPr>
              <w:spacing w:after="0" w:line="252" w:lineRule="auto"/>
            </w:pPr>
            <w:r>
              <w:rPr>
                <w:sz w:val="18"/>
              </w:rPr>
              <w:t>Calcule une somme ou une moyenne en expliquant le calcul.</w:t>
            </w:r>
          </w:p>
        </w:tc>
      </w:tr>
      <w:tr>
        <w:tc>
          <w:tcPr>
            <w:tcW w:type="dxa" w:w="2200"/>
            <w:shd w:fill="F7FAF9"/>
            <w:tcMar>
              <w:top w:w="80" w:type="dxa"/>
              <w:start w:w="120" w:type="dxa"/>
              <w:bottom w:w="80" w:type="dxa"/>
              <w:end w:w="120" w:type="dxa"/>
            </w:tcMar>
            <w:vAlign w:val="center"/>
          </w:tcPr>
          <w:p>
            <w:pPr>
              <w:spacing w:after="0" w:line="252" w:lineRule="auto"/>
            </w:pPr>
            <w:r>
              <w:rPr>
                <w:sz w:val="18"/>
              </w:rPr>
              <w:t>Clarification</w:t>
            </w:r>
          </w:p>
        </w:tc>
        <w:tc>
          <w:tcPr>
            <w:tcW w:type="dxa" w:w="7160"/>
            <w:shd w:fill="F7FAF9"/>
            <w:tcMar>
              <w:top w:w="80" w:type="dxa"/>
              <w:start w:w="120" w:type="dxa"/>
              <w:bottom w:w="80" w:type="dxa"/>
              <w:end w:w="120" w:type="dxa"/>
            </w:tcMar>
            <w:vAlign w:val="center"/>
          </w:tcPr>
          <w:p>
            <w:pPr>
              <w:spacing w:after="0" w:line="252" w:lineRule="auto"/>
            </w:pPr>
            <w:r>
              <w:rPr>
                <w:sz w:val="18"/>
              </w:rPr>
              <w:t>Demande l’indicateur ou l’année lorsque la question est incomplète.</w:t>
            </w:r>
          </w:p>
        </w:tc>
      </w:tr>
      <w:tr>
        <w:tc>
          <w:tcPr>
            <w:tcW w:type="dxa" w:w="2200"/>
            <w:tcMar>
              <w:top w:w="80" w:type="dxa"/>
              <w:start w:w="120" w:type="dxa"/>
              <w:bottom w:w="80" w:type="dxa"/>
              <w:end w:w="120" w:type="dxa"/>
            </w:tcMar>
            <w:vAlign w:val="center"/>
          </w:tcPr>
          <w:p>
            <w:pPr>
              <w:spacing w:after="0" w:line="252" w:lineRule="auto"/>
            </w:pPr>
            <w:r>
              <w:rPr>
                <w:sz w:val="18"/>
              </w:rPr>
              <w:t>Hors périmètre</w:t>
            </w:r>
          </w:p>
        </w:tc>
        <w:tc>
          <w:tcPr>
            <w:tcW w:type="dxa" w:w="7160"/>
            <w:tcMar>
              <w:top w:w="80" w:type="dxa"/>
              <w:start w:w="120" w:type="dxa"/>
              <w:bottom w:w="80" w:type="dxa"/>
              <w:end w:w="120" w:type="dxa"/>
            </w:tcMar>
            <w:vAlign w:val="center"/>
          </w:tcPr>
          <w:p>
            <w:pPr>
              <w:spacing w:after="0" w:line="252" w:lineRule="auto"/>
            </w:pPr>
            <w:r>
              <w:rPr>
                <w:sz w:val="18"/>
              </w:rPr>
              <w:t>Indique que l’agent traite uniquement les statistiques du jeu fourni.</w:t>
            </w:r>
          </w:p>
        </w:tc>
      </w:tr>
    </w:tbl>
    <w:p>
      <w:pPr>
        <w:spacing w:after="0"/>
      </w:pPr>
    </w:p>
    <w:p>
      <w:pPr>
        <w:pStyle w:val="Heading1"/>
      </w:pPr>
      <w:r>
        <w:t>4. Architecture recommandée</w:t>
      </w:r>
    </w:p>
    <w:p>
      <w:pPr>
        <w:pStyle w:val="ListNumber"/>
      </w:pPr>
      <w:r>
        <w:t>La page de dialogue envoie la question à POST /api/question/.</w:t>
      </w:r>
    </w:p>
    <w:p>
      <w:pPr>
        <w:pStyle w:val="ListNumber"/>
      </w:pPr>
      <w:r>
        <w:t>L’analyseur transforme la question en objet structuré QueryIntent.</w:t>
      </w:r>
    </w:p>
    <w:p>
      <w:pPr>
        <w:pStyle w:val="ListNumber"/>
      </w:pPr>
      <w:r>
        <w:t>Le validateur contrôle l’indicateur, les régions, les années et l’opération à partir de listes autorisées.</w:t>
      </w:r>
    </w:p>
    <w:p>
      <w:pPr>
        <w:pStyle w:val="ListNumber"/>
      </w:pPr>
      <w:r>
        <w:t>Le moteur ORM interroge StatistiqueRegionale sans accepter de SQL généré par un modèle de langage.</w:t>
      </w:r>
    </w:p>
    <w:p>
      <w:pPr>
        <w:pStyle w:val="ListNumber"/>
      </w:pPr>
      <w:r>
        <w:t>Le formateur renvoie answer, table, chart et metadata au navigateur.</w:t>
      </w:r>
    </w:p>
    <w:p>
      <w:pPr>
        <w:pStyle w:val="ListNumber"/>
      </w:pPr>
      <w:r>
        <w:t>Chart.js construit le graphique à partir des labels et datasets reçus.</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1F8F5"/>
          </w:tcPr>
          <w:p>
            <w:r>
              <w:rPr>
                <w:b/>
                <w:color w:val="0B6E4F"/>
              </w:rPr>
              <w:t xml:space="preserve">Principe de sécurité — </w:t>
            </w:r>
            <w:r>
              <w:t>Un modèle de langage peut aider à extraire une intention structurée, mais il ne doit jamais produire ni exécuter directement une requête SQL. La validation et l’ORM Django restent obligatoires.</w:t>
            </w:r>
          </w:p>
        </w:tc>
      </w:tr>
    </w:tbl>
    <w:p>
      <w:pPr>
        <w:spacing w:after="0"/>
      </w:pPr>
    </w:p>
    <w:p>
      <w:pPr>
        <w:pStyle w:val="Heading1"/>
      </w:pPr>
      <w:r>
        <w:t>5. Jeu de données fourni</w:t>
      </w:r>
    </w:p>
    <w:p>
      <w:r>
        <w:t>Le fichier donnees_statistiques_senegal_fictives.csv contient 70 lignes. La clé logique est le couple (region, annee). Le classeur Excel ajoute un dictionnaire et douze questions de test.</w:t>
      </w:r>
    </w:p>
    <w:tbl>
      <w:tblPr>
        <w:tblStyle w:val="TableGrid"/>
        <w:tblW w:type="dxa" w:w="9360"/>
        <w:jc w:val="center"/>
        <w:tblLayout w:type="fixed"/>
        <w:tblLook w:firstColumn="1" w:firstRow="1" w:lastColumn="0" w:lastRow="0" w:noHBand="0" w:noVBand="1" w:val="04A0"/>
        <w:tblInd w:w="120" w:type="dxa"/>
      </w:tblPr>
      <w:tblGrid>
        <w:gridCol w:w="3600"/>
        <w:gridCol w:w="3600"/>
        <w:gridCol w:w="2160"/>
      </w:tblGrid>
      <w:tr>
        <w:trPr>
          <w:tblHeader w:val="true"/>
        </w:trPr>
        <w:tc>
          <w:tcPr>
            <w:tcW w:type="dxa" w:w="3600"/>
            <w:shd w:fill="0B6E4F"/>
            <w:tcMar>
              <w:top w:w="80" w:type="dxa"/>
              <w:start w:w="120" w:type="dxa"/>
              <w:bottom w:w="80" w:type="dxa"/>
              <w:end w:w="120" w:type="dxa"/>
            </w:tcMar>
            <w:vAlign w:val="center"/>
          </w:tcPr>
          <w:p>
            <w:r>
              <w:rPr>
                <w:b/>
                <w:color w:val="FFFFFF"/>
                <w:sz w:val="19"/>
              </w:rPr>
              <w:t>Champ</w:t>
            </w:r>
          </w:p>
        </w:tc>
        <w:tc>
          <w:tcPr>
            <w:tcW w:type="dxa" w:w="3600"/>
            <w:shd w:fill="0B6E4F"/>
            <w:tcMar>
              <w:top w:w="80" w:type="dxa"/>
              <w:start w:w="120" w:type="dxa"/>
              <w:bottom w:w="80" w:type="dxa"/>
              <w:end w:w="120" w:type="dxa"/>
            </w:tcMar>
            <w:vAlign w:val="center"/>
          </w:tcPr>
          <w:p>
            <w:r>
              <w:rPr>
                <w:b/>
                <w:color w:val="FFFFFF"/>
                <w:sz w:val="19"/>
              </w:rPr>
              <w:t>Type Django</w:t>
            </w:r>
          </w:p>
        </w:tc>
        <w:tc>
          <w:tcPr>
            <w:tcW w:type="dxa" w:w="2160"/>
            <w:shd w:fill="0B6E4F"/>
            <w:tcMar>
              <w:top w:w="80" w:type="dxa"/>
              <w:start w:w="120" w:type="dxa"/>
              <w:bottom w:w="80" w:type="dxa"/>
              <w:end w:w="120" w:type="dxa"/>
            </w:tcMar>
            <w:vAlign w:val="center"/>
          </w:tcPr>
          <w:p>
            <w:r>
              <w:rPr>
                <w:b/>
                <w:color w:val="FFFFFF"/>
                <w:sz w:val="19"/>
              </w:rPr>
              <w:t>Unité</w:t>
            </w:r>
          </w:p>
        </w:tc>
      </w:tr>
      <w:tr>
        <w:tc>
          <w:tcPr>
            <w:tcW w:type="dxa" w:w="3600"/>
            <w:tcMar>
              <w:top w:w="80" w:type="dxa"/>
              <w:start w:w="120" w:type="dxa"/>
              <w:bottom w:w="80" w:type="dxa"/>
              <w:end w:w="120" w:type="dxa"/>
            </w:tcMar>
            <w:vAlign w:val="center"/>
          </w:tcPr>
          <w:p>
            <w:pPr>
              <w:spacing w:after="0" w:line="252" w:lineRule="auto"/>
            </w:pPr>
            <w:r>
              <w:rPr>
                <w:sz w:val="18"/>
              </w:rPr>
              <w:t>region</w:t>
            </w:r>
          </w:p>
        </w:tc>
        <w:tc>
          <w:tcPr>
            <w:tcW w:type="dxa" w:w="3600"/>
            <w:tcMar>
              <w:top w:w="80" w:type="dxa"/>
              <w:start w:w="120" w:type="dxa"/>
              <w:bottom w:w="80" w:type="dxa"/>
              <w:end w:w="120" w:type="dxa"/>
            </w:tcMar>
            <w:vAlign w:val="center"/>
          </w:tcPr>
          <w:p>
            <w:pPr>
              <w:spacing w:after="0" w:line="252" w:lineRule="auto"/>
            </w:pPr>
            <w:r>
              <w:rPr>
                <w:sz w:val="18"/>
              </w:rPr>
              <w:t>CharField(max_length=40)</w:t>
            </w:r>
          </w:p>
        </w:tc>
        <w:tc>
          <w:tcPr>
            <w:tcW w:type="dxa" w:w="2160"/>
            <w:tcMar>
              <w:top w:w="80" w:type="dxa"/>
              <w:start w:w="120" w:type="dxa"/>
              <w:bottom w:w="80" w:type="dxa"/>
              <w:end w:w="120" w:type="dxa"/>
            </w:tcMar>
            <w:vAlign w:val="center"/>
          </w:tcPr>
          <w:p>
            <w:pPr>
              <w:spacing w:after="0" w:line="252" w:lineRule="auto"/>
            </w:pPr>
            <w:r>
              <w:rPr>
                <w:sz w:val="18"/>
              </w:rPr>
              <w:t>—</w:t>
            </w:r>
          </w:p>
        </w:tc>
      </w:tr>
      <w:tr>
        <w:tc>
          <w:tcPr>
            <w:tcW w:type="dxa" w:w="3600"/>
            <w:shd w:fill="F7FAF9"/>
            <w:tcMar>
              <w:top w:w="80" w:type="dxa"/>
              <w:start w:w="120" w:type="dxa"/>
              <w:bottom w:w="80" w:type="dxa"/>
              <w:end w:w="120" w:type="dxa"/>
            </w:tcMar>
            <w:vAlign w:val="center"/>
          </w:tcPr>
          <w:p>
            <w:pPr>
              <w:spacing w:after="0" w:line="252" w:lineRule="auto"/>
            </w:pPr>
            <w:r>
              <w:rPr>
                <w:sz w:val="18"/>
              </w:rPr>
              <w:t>annee</w:t>
            </w:r>
          </w:p>
        </w:tc>
        <w:tc>
          <w:tcPr>
            <w:tcW w:type="dxa" w:w="3600"/>
            <w:shd w:fill="F7FAF9"/>
            <w:tcMar>
              <w:top w:w="80" w:type="dxa"/>
              <w:start w:w="120" w:type="dxa"/>
              <w:bottom w:w="80" w:type="dxa"/>
              <w:end w:w="120" w:type="dxa"/>
            </w:tcMar>
            <w:vAlign w:val="center"/>
          </w:tcPr>
          <w:p>
            <w:pPr>
              <w:spacing w:after="0" w:line="252" w:lineRule="auto"/>
            </w:pPr>
            <w:r>
              <w:rPr>
                <w:sz w:val="18"/>
              </w:rPr>
              <w:t>PositiveSmallIntegerField</w:t>
            </w:r>
          </w:p>
        </w:tc>
        <w:tc>
          <w:tcPr>
            <w:tcW w:type="dxa" w:w="2160"/>
            <w:shd w:fill="F7FAF9"/>
            <w:tcMar>
              <w:top w:w="80" w:type="dxa"/>
              <w:start w:w="120" w:type="dxa"/>
              <w:bottom w:w="80" w:type="dxa"/>
              <w:end w:w="120" w:type="dxa"/>
            </w:tcMar>
            <w:vAlign w:val="center"/>
          </w:tcPr>
          <w:p>
            <w:pPr>
              <w:spacing w:after="0" w:line="252" w:lineRule="auto"/>
            </w:pPr>
            <w:r>
              <w:rPr>
                <w:sz w:val="18"/>
              </w:rPr>
              <w:t>année</w:t>
            </w:r>
          </w:p>
        </w:tc>
      </w:tr>
      <w:tr>
        <w:tc>
          <w:tcPr>
            <w:tcW w:type="dxa" w:w="3600"/>
            <w:tcMar>
              <w:top w:w="80" w:type="dxa"/>
              <w:start w:w="120" w:type="dxa"/>
              <w:bottom w:w="80" w:type="dxa"/>
              <w:end w:w="120" w:type="dxa"/>
            </w:tcMar>
            <w:vAlign w:val="center"/>
          </w:tcPr>
          <w:p>
            <w:pPr>
              <w:spacing w:after="0" w:line="252" w:lineRule="auto"/>
            </w:pPr>
            <w:r>
              <w:rPr>
                <w:sz w:val="18"/>
              </w:rPr>
              <w:t>population</w:t>
            </w:r>
          </w:p>
        </w:tc>
        <w:tc>
          <w:tcPr>
            <w:tcW w:type="dxa" w:w="3600"/>
            <w:tcMar>
              <w:top w:w="80" w:type="dxa"/>
              <w:start w:w="120" w:type="dxa"/>
              <w:bottom w:w="80" w:type="dxa"/>
              <w:end w:w="120" w:type="dxa"/>
            </w:tcMar>
            <w:vAlign w:val="center"/>
          </w:tcPr>
          <w:p>
            <w:pPr>
              <w:spacing w:after="0" w:line="252" w:lineRule="auto"/>
            </w:pPr>
            <w:r>
              <w:rPr>
                <w:sz w:val="18"/>
              </w:rPr>
              <w:t>PositiveBigIntegerField</w:t>
            </w:r>
          </w:p>
        </w:tc>
        <w:tc>
          <w:tcPr>
            <w:tcW w:type="dxa" w:w="2160"/>
            <w:tcMar>
              <w:top w:w="80" w:type="dxa"/>
              <w:start w:w="120" w:type="dxa"/>
              <w:bottom w:w="80" w:type="dxa"/>
              <w:end w:w="120" w:type="dxa"/>
            </w:tcMar>
            <w:vAlign w:val="center"/>
          </w:tcPr>
          <w:p>
            <w:pPr>
              <w:spacing w:after="0" w:line="252" w:lineRule="auto"/>
            </w:pPr>
            <w:r>
              <w:rPr>
                <w:sz w:val="18"/>
              </w:rPr>
              <w:t>personnes</w:t>
            </w:r>
          </w:p>
        </w:tc>
      </w:tr>
      <w:tr>
        <w:tc>
          <w:tcPr>
            <w:tcW w:type="dxa" w:w="3600"/>
            <w:shd w:fill="F7FAF9"/>
            <w:tcMar>
              <w:top w:w="80" w:type="dxa"/>
              <w:start w:w="120" w:type="dxa"/>
              <w:bottom w:w="80" w:type="dxa"/>
              <w:end w:w="120" w:type="dxa"/>
            </w:tcMar>
            <w:vAlign w:val="center"/>
          </w:tcPr>
          <w:p>
            <w:pPr>
              <w:spacing w:after="0" w:line="252" w:lineRule="auto"/>
            </w:pPr>
            <w:r>
              <w:rPr>
                <w:sz w:val="18"/>
              </w:rPr>
              <w:t>taux_urbanisation_pct</w:t>
            </w:r>
          </w:p>
        </w:tc>
        <w:tc>
          <w:tcPr>
            <w:tcW w:type="dxa" w:w="3600"/>
            <w:shd w:fill="F7FAF9"/>
            <w:tcMar>
              <w:top w:w="80" w:type="dxa"/>
              <w:start w:w="120" w:type="dxa"/>
              <w:bottom w:w="80" w:type="dxa"/>
              <w:end w:w="120" w:type="dxa"/>
            </w:tcMar>
            <w:vAlign w:val="center"/>
          </w:tcPr>
          <w:p>
            <w:pPr>
              <w:spacing w:after="0" w:line="252" w:lineRule="auto"/>
            </w:pPr>
            <w:r>
              <w:rPr>
                <w:sz w:val="18"/>
              </w:rPr>
              <w:t>DecimalField</w:t>
            </w:r>
          </w:p>
        </w:tc>
        <w:tc>
          <w:tcPr>
            <w:tcW w:type="dxa" w:w="2160"/>
            <w:shd w:fill="F7FAF9"/>
            <w:tcMar>
              <w:top w:w="80" w:type="dxa"/>
              <w:start w:w="120" w:type="dxa"/>
              <w:bottom w:w="80" w:type="dxa"/>
              <w:end w:w="120" w:type="dxa"/>
            </w:tcMar>
            <w:vAlign w:val="center"/>
          </w:tcPr>
          <w:p>
            <w:pPr>
              <w:spacing w:after="0" w:line="252" w:lineRule="auto"/>
            </w:pPr>
            <w:r>
              <w:rPr>
                <w:sz w:val="18"/>
              </w:rPr>
              <w:t>%</w:t>
            </w:r>
          </w:p>
        </w:tc>
      </w:tr>
      <w:tr>
        <w:tc>
          <w:tcPr>
            <w:tcW w:type="dxa" w:w="3600"/>
            <w:tcMar>
              <w:top w:w="80" w:type="dxa"/>
              <w:start w:w="120" w:type="dxa"/>
              <w:bottom w:w="80" w:type="dxa"/>
              <w:end w:w="120" w:type="dxa"/>
            </w:tcMar>
            <w:vAlign w:val="center"/>
          </w:tcPr>
          <w:p>
            <w:pPr>
              <w:spacing w:after="0" w:line="252" w:lineRule="auto"/>
            </w:pPr>
            <w:r>
              <w:rPr>
                <w:sz w:val="18"/>
              </w:rPr>
              <w:t>taux_alphabetisation_pct</w:t>
            </w:r>
          </w:p>
        </w:tc>
        <w:tc>
          <w:tcPr>
            <w:tcW w:type="dxa" w:w="3600"/>
            <w:tcMar>
              <w:top w:w="80" w:type="dxa"/>
              <w:start w:w="120" w:type="dxa"/>
              <w:bottom w:w="80" w:type="dxa"/>
              <w:end w:w="120" w:type="dxa"/>
            </w:tcMar>
            <w:vAlign w:val="center"/>
          </w:tcPr>
          <w:p>
            <w:pPr>
              <w:spacing w:after="0" w:line="252" w:lineRule="auto"/>
            </w:pPr>
            <w:r>
              <w:rPr>
                <w:sz w:val="18"/>
              </w:rPr>
              <w:t>DecimalField</w:t>
            </w:r>
          </w:p>
        </w:tc>
        <w:tc>
          <w:tcPr>
            <w:tcW w:type="dxa" w:w="2160"/>
            <w:tcMar>
              <w:top w:w="80" w:type="dxa"/>
              <w:start w:w="120" w:type="dxa"/>
              <w:bottom w:w="80" w:type="dxa"/>
              <w:end w:w="120" w:type="dxa"/>
            </w:tcMar>
            <w:vAlign w:val="center"/>
          </w:tcPr>
          <w:p>
            <w:pPr>
              <w:spacing w:after="0" w:line="252" w:lineRule="auto"/>
            </w:pPr>
            <w:r>
              <w:rPr>
                <w:sz w:val="18"/>
              </w:rPr>
              <w:t>%</w:t>
            </w:r>
          </w:p>
        </w:tc>
      </w:tr>
      <w:tr>
        <w:tc>
          <w:tcPr>
            <w:tcW w:type="dxa" w:w="3600"/>
            <w:shd w:fill="F7FAF9"/>
            <w:tcMar>
              <w:top w:w="80" w:type="dxa"/>
              <w:start w:w="120" w:type="dxa"/>
              <w:bottom w:w="80" w:type="dxa"/>
              <w:end w:w="120" w:type="dxa"/>
            </w:tcMar>
            <w:vAlign w:val="center"/>
          </w:tcPr>
          <w:p>
            <w:pPr>
              <w:spacing w:after="0" w:line="252" w:lineRule="auto"/>
            </w:pPr>
            <w:r>
              <w:rPr>
                <w:sz w:val="18"/>
              </w:rPr>
              <w:t>taux_chomage_pct</w:t>
            </w:r>
          </w:p>
        </w:tc>
        <w:tc>
          <w:tcPr>
            <w:tcW w:type="dxa" w:w="3600"/>
            <w:shd w:fill="F7FAF9"/>
            <w:tcMar>
              <w:top w:w="80" w:type="dxa"/>
              <w:start w:w="120" w:type="dxa"/>
              <w:bottom w:w="80" w:type="dxa"/>
              <w:end w:w="120" w:type="dxa"/>
            </w:tcMar>
            <w:vAlign w:val="center"/>
          </w:tcPr>
          <w:p>
            <w:pPr>
              <w:spacing w:after="0" w:line="252" w:lineRule="auto"/>
            </w:pPr>
            <w:r>
              <w:rPr>
                <w:sz w:val="18"/>
              </w:rPr>
              <w:t>DecimalField</w:t>
            </w:r>
          </w:p>
        </w:tc>
        <w:tc>
          <w:tcPr>
            <w:tcW w:type="dxa" w:w="2160"/>
            <w:shd w:fill="F7FAF9"/>
            <w:tcMar>
              <w:top w:w="80" w:type="dxa"/>
              <w:start w:w="120" w:type="dxa"/>
              <w:bottom w:w="80" w:type="dxa"/>
              <w:end w:w="120" w:type="dxa"/>
            </w:tcMar>
            <w:vAlign w:val="center"/>
          </w:tcPr>
          <w:p>
            <w:pPr>
              <w:spacing w:after="0" w:line="252" w:lineRule="auto"/>
            </w:pPr>
            <w:r>
              <w:rPr>
                <w:sz w:val="18"/>
              </w:rPr>
              <w:t>%</w:t>
            </w:r>
          </w:p>
        </w:tc>
      </w:tr>
      <w:tr>
        <w:tc>
          <w:tcPr>
            <w:tcW w:type="dxa" w:w="3600"/>
            <w:tcMar>
              <w:top w:w="80" w:type="dxa"/>
              <w:start w:w="120" w:type="dxa"/>
              <w:bottom w:w="80" w:type="dxa"/>
              <w:end w:w="120" w:type="dxa"/>
            </w:tcMar>
            <w:vAlign w:val="center"/>
          </w:tcPr>
          <w:p>
            <w:pPr>
              <w:spacing w:after="0" w:line="252" w:lineRule="auto"/>
            </w:pPr>
            <w:r>
              <w:rPr>
                <w:sz w:val="18"/>
              </w:rPr>
              <w:t>taux_pauvrete_pct</w:t>
            </w:r>
          </w:p>
        </w:tc>
        <w:tc>
          <w:tcPr>
            <w:tcW w:type="dxa" w:w="3600"/>
            <w:tcMar>
              <w:top w:w="80" w:type="dxa"/>
              <w:start w:w="120" w:type="dxa"/>
              <w:bottom w:w="80" w:type="dxa"/>
              <w:end w:w="120" w:type="dxa"/>
            </w:tcMar>
            <w:vAlign w:val="center"/>
          </w:tcPr>
          <w:p>
            <w:pPr>
              <w:spacing w:after="0" w:line="252" w:lineRule="auto"/>
            </w:pPr>
            <w:r>
              <w:rPr>
                <w:sz w:val="18"/>
              </w:rPr>
              <w:t>DecimalField</w:t>
            </w:r>
          </w:p>
        </w:tc>
        <w:tc>
          <w:tcPr>
            <w:tcW w:type="dxa" w:w="2160"/>
            <w:tcMar>
              <w:top w:w="80" w:type="dxa"/>
              <w:start w:w="120" w:type="dxa"/>
              <w:bottom w:w="80" w:type="dxa"/>
              <w:end w:w="120" w:type="dxa"/>
            </w:tcMar>
            <w:vAlign w:val="center"/>
          </w:tcPr>
          <w:p>
            <w:pPr>
              <w:spacing w:after="0" w:line="252" w:lineRule="auto"/>
            </w:pPr>
            <w:r>
              <w:rPr>
                <w:sz w:val="18"/>
              </w:rPr>
              <w:t>%</w:t>
            </w:r>
          </w:p>
        </w:tc>
      </w:tr>
      <w:tr>
        <w:tc>
          <w:tcPr>
            <w:tcW w:type="dxa" w:w="3600"/>
            <w:shd w:fill="F7FAF9"/>
            <w:tcMar>
              <w:top w:w="80" w:type="dxa"/>
              <w:start w:w="120" w:type="dxa"/>
              <w:bottom w:w="80" w:type="dxa"/>
              <w:end w:w="120" w:type="dxa"/>
            </w:tcMar>
            <w:vAlign w:val="center"/>
          </w:tcPr>
          <w:p>
            <w:pPr>
              <w:spacing w:after="0" w:line="252" w:lineRule="auto"/>
            </w:pPr>
            <w:r>
              <w:rPr>
                <w:sz w:val="18"/>
              </w:rPr>
              <w:t>acces_internet_pct</w:t>
            </w:r>
          </w:p>
        </w:tc>
        <w:tc>
          <w:tcPr>
            <w:tcW w:type="dxa" w:w="3600"/>
            <w:shd w:fill="F7FAF9"/>
            <w:tcMar>
              <w:top w:w="80" w:type="dxa"/>
              <w:start w:w="120" w:type="dxa"/>
              <w:bottom w:w="80" w:type="dxa"/>
              <w:end w:w="120" w:type="dxa"/>
            </w:tcMar>
            <w:vAlign w:val="center"/>
          </w:tcPr>
          <w:p>
            <w:pPr>
              <w:spacing w:after="0" w:line="252" w:lineRule="auto"/>
            </w:pPr>
            <w:r>
              <w:rPr>
                <w:sz w:val="18"/>
              </w:rPr>
              <w:t>DecimalField</w:t>
            </w:r>
          </w:p>
        </w:tc>
        <w:tc>
          <w:tcPr>
            <w:tcW w:type="dxa" w:w="2160"/>
            <w:shd w:fill="F7FAF9"/>
            <w:tcMar>
              <w:top w:w="80" w:type="dxa"/>
              <w:start w:w="120" w:type="dxa"/>
              <w:bottom w:w="80" w:type="dxa"/>
              <w:end w:w="120" w:type="dxa"/>
            </w:tcMar>
            <w:vAlign w:val="center"/>
          </w:tcPr>
          <w:p>
            <w:pPr>
              <w:spacing w:after="0" w:line="252" w:lineRule="auto"/>
            </w:pPr>
            <w:r>
              <w:rPr>
                <w:sz w:val="18"/>
              </w:rPr>
              <w:t>%</w:t>
            </w:r>
          </w:p>
        </w:tc>
      </w:tr>
      <w:tr>
        <w:tc>
          <w:tcPr>
            <w:tcW w:type="dxa" w:w="3600"/>
            <w:tcMar>
              <w:top w:w="80" w:type="dxa"/>
              <w:start w:w="120" w:type="dxa"/>
              <w:bottom w:w="80" w:type="dxa"/>
              <w:end w:w="120" w:type="dxa"/>
            </w:tcMar>
            <w:vAlign w:val="center"/>
          </w:tcPr>
          <w:p>
            <w:pPr>
              <w:spacing w:after="0" w:line="252" w:lineRule="auto"/>
            </w:pPr>
            <w:r>
              <w:rPr>
                <w:sz w:val="18"/>
              </w:rPr>
              <w:t>centres_sante</w:t>
            </w:r>
          </w:p>
        </w:tc>
        <w:tc>
          <w:tcPr>
            <w:tcW w:type="dxa" w:w="3600"/>
            <w:tcMar>
              <w:top w:w="80" w:type="dxa"/>
              <w:start w:w="120" w:type="dxa"/>
              <w:bottom w:w="80" w:type="dxa"/>
              <w:end w:w="120" w:type="dxa"/>
            </w:tcMar>
            <w:vAlign w:val="center"/>
          </w:tcPr>
          <w:p>
            <w:pPr>
              <w:spacing w:after="0" w:line="252" w:lineRule="auto"/>
            </w:pPr>
            <w:r>
              <w:rPr>
                <w:sz w:val="18"/>
              </w:rPr>
              <w:t>PositiveIntegerField</w:t>
            </w:r>
          </w:p>
        </w:tc>
        <w:tc>
          <w:tcPr>
            <w:tcW w:type="dxa" w:w="2160"/>
            <w:tcMar>
              <w:top w:w="80" w:type="dxa"/>
              <w:start w:w="120" w:type="dxa"/>
              <w:bottom w:w="80" w:type="dxa"/>
              <w:end w:w="120" w:type="dxa"/>
            </w:tcMar>
            <w:vAlign w:val="center"/>
          </w:tcPr>
          <w:p>
            <w:pPr>
              <w:spacing w:after="0" w:line="252" w:lineRule="auto"/>
            </w:pPr>
            <w:r>
              <w:rPr>
                <w:sz w:val="18"/>
              </w:rPr>
              <w:t>établissements</w:t>
            </w:r>
          </w:p>
        </w:tc>
      </w:tr>
      <w:tr>
        <w:tc>
          <w:tcPr>
            <w:tcW w:type="dxa" w:w="3600"/>
            <w:shd w:fill="F7FAF9"/>
            <w:tcMar>
              <w:top w:w="80" w:type="dxa"/>
              <w:start w:w="120" w:type="dxa"/>
              <w:bottom w:w="80" w:type="dxa"/>
              <w:end w:w="120" w:type="dxa"/>
            </w:tcMar>
            <w:vAlign w:val="center"/>
          </w:tcPr>
          <w:p>
            <w:pPr>
              <w:spacing w:after="0" w:line="252" w:lineRule="auto"/>
            </w:pPr>
            <w:r>
              <w:rPr>
                <w:sz w:val="18"/>
              </w:rPr>
              <w:t>taux_scolarisation_pct</w:t>
            </w:r>
          </w:p>
        </w:tc>
        <w:tc>
          <w:tcPr>
            <w:tcW w:type="dxa" w:w="3600"/>
            <w:shd w:fill="F7FAF9"/>
            <w:tcMar>
              <w:top w:w="80" w:type="dxa"/>
              <w:start w:w="120" w:type="dxa"/>
              <w:bottom w:w="80" w:type="dxa"/>
              <w:end w:w="120" w:type="dxa"/>
            </w:tcMar>
            <w:vAlign w:val="center"/>
          </w:tcPr>
          <w:p>
            <w:pPr>
              <w:spacing w:after="0" w:line="252" w:lineRule="auto"/>
            </w:pPr>
            <w:r>
              <w:rPr>
                <w:sz w:val="18"/>
              </w:rPr>
              <w:t>DecimalField</w:t>
            </w:r>
          </w:p>
        </w:tc>
        <w:tc>
          <w:tcPr>
            <w:tcW w:type="dxa" w:w="2160"/>
            <w:shd w:fill="F7FAF9"/>
            <w:tcMar>
              <w:top w:w="80" w:type="dxa"/>
              <w:start w:w="120" w:type="dxa"/>
              <w:bottom w:w="80" w:type="dxa"/>
              <w:end w:w="120" w:type="dxa"/>
            </w:tcMar>
            <w:vAlign w:val="center"/>
          </w:tcPr>
          <w:p>
            <w:pPr>
              <w:spacing w:after="0" w:line="252" w:lineRule="auto"/>
            </w:pPr>
            <w:r>
              <w:rPr>
                <w:sz w:val="18"/>
              </w:rPr>
              <w:t>%</w:t>
            </w:r>
          </w:p>
        </w:tc>
      </w:tr>
      <w:tr>
        <w:tc>
          <w:tcPr>
            <w:tcW w:type="dxa" w:w="3600"/>
            <w:tcMar>
              <w:top w:w="80" w:type="dxa"/>
              <w:start w:w="120" w:type="dxa"/>
              <w:bottom w:w="80" w:type="dxa"/>
              <w:end w:w="120" w:type="dxa"/>
            </w:tcMar>
            <w:vAlign w:val="center"/>
          </w:tcPr>
          <w:p>
            <w:pPr>
              <w:spacing w:after="0" w:line="252" w:lineRule="auto"/>
            </w:pPr>
            <w:r>
              <w:rPr>
                <w:sz w:val="18"/>
              </w:rPr>
              <w:t>production_cerealiere_tonnes</w:t>
            </w:r>
          </w:p>
        </w:tc>
        <w:tc>
          <w:tcPr>
            <w:tcW w:type="dxa" w:w="3600"/>
            <w:tcMar>
              <w:top w:w="80" w:type="dxa"/>
              <w:start w:w="120" w:type="dxa"/>
              <w:bottom w:w="80" w:type="dxa"/>
              <w:end w:w="120" w:type="dxa"/>
            </w:tcMar>
            <w:vAlign w:val="center"/>
          </w:tcPr>
          <w:p>
            <w:pPr>
              <w:spacing w:after="0" w:line="252" w:lineRule="auto"/>
            </w:pPr>
            <w:r>
              <w:rPr>
                <w:sz w:val="18"/>
              </w:rPr>
              <w:t>PositiveIntegerField</w:t>
            </w:r>
          </w:p>
        </w:tc>
        <w:tc>
          <w:tcPr>
            <w:tcW w:type="dxa" w:w="2160"/>
            <w:tcMar>
              <w:top w:w="80" w:type="dxa"/>
              <w:start w:w="120" w:type="dxa"/>
              <w:bottom w:w="80" w:type="dxa"/>
              <w:end w:w="120" w:type="dxa"/>
            </w:tcMar>
            <w:vAlign w:val="center"/>
          </w:tcPr>
          <w:p>
            <w:pPr>
              <w:spacing w:after="0" w:line="252" w:lineRule="auto"/>
            </w:pPr>
            <w:r>
              <w:rPr>
                <w:sz w:val="18"/>
              </w:rPr>
              <w:t>tonnes</w:t>
            </w:r>
          </w:p>
        </w:tc>
      </w:tr>
    </w:tbl>
    <w:p>
      <w:pPr>
        <w:spacing w:after="0"/>
      </w:pPr>
    </w:p>
    <w:p>
      <w:pPr>
        <w:pStyle w:val="Heading1"/>
      </w:pPr>
      <w:r>
        <w:t>6. Travail à réaliser</w:t>
      </w:r>
    </w:p>
    <w:p>
      <w:pPr>
        <w:pStyle w:val="Heading2"/>
      </w:pPr>
      <w:r>
        <w:t>Étape A — Initialisation et modèle (1 h)</w:t>
      </w:r>
    </w:p>
    <w:p>
      <w:pPr>
        <w:pStyle w:val="ListBullet"/>
      </w:pPr>
      <w:r>
        <w:t>Créer l’environnement virtuel, installer les dépendances et lancer les migrations.</w:t>
      </w:r>
    </w:p>
    <w:p>
      <w:pPr>
        <w:pStyle w:val="ListBullet"/>
      </w:pPr>
      <w:r>
        <w:t>Compléter StatistiqueRegionale et ajouter une contrainte d’unicité sur region + annee.</w:t>
      </w:r>
    </w:p>
    <w:p>
      <w:pPr>
        <w:pStyle w:val="ListBullet"/>
      </w:pPr>
      <w:r>
        <w:t>Enregistrer le modèle dans l’administration Django.</w:t>
      </w:r>
    </w:p>
    <w:p>
      <w:pPr>
        <w:pStyle w:val="ListBullet"/>
      </w:pPr>
      <w:r>
        <w:t>Afficher clairement la mention « données pédagogiques fictives » dans l’interface.</w:t>
      </w:r>
    </w:p>
    <w:p>
      <w:pPr>
        <w:pStyle w:val="Code"/>
      </w:pPr>
      <w:r>
        <w:t>python -m venv .venv</w:t>
      </w:r>
    </w:p>
    <w:p>
      <w:pPr>
        <w:pStyle w:val="Code"/>
      </w:pPr>
      <w:r>
        <w:t># Activer l'environnement, puis :</w:t>
      </w:r>
    </w:p>
    <w:p>
      <w:pPr>
        <w:pStyle w:val="Code"/>
      </w:pPr>
      <w:r>
        <w:t>pip install -r requirements.txt</w:t>
      </w:r>
    </w:p>
    <w:p>
      <w:pPr>
        <w:pStyle w:val="Code"/>
      </w:pPr>
      <w:r>
        <w:t>python manage.py migrate</w:t>
      </w:r>
    </w:p>
    <w:p>
      <w:pPr>
        <w:pStyle w:val="Code"/>
      </w:pPr>
      <w:r>
        <w:t>python manage.py runserver</w:t>
      </w:r>
    </w:p>
    <w:p>
      <w:pPr>
        <w:pStyle w:val="Heading2"/>
      </w:pPr>
      <w:r>
        <w:t>Étape B — Import CSV et qualité (1 h)</w:t>
      </w:r>
    </w:p>
    <w:p>
      <w:pPr>
        <w:pStyle w:val="ListBullet"/>
      </w:pPr>
      <w:r>
        <w:t>Créer la commande python manage.py importer_statistiques chemin.csv.</w:t>
      </w:r>
    </w:p>
    <w:p>
      <w:pPr>
        <w:pStyle w:val="ListBullet"/>
      </w:pPr>
      <w:r>
        <w:t>Vérifier les colonnes obligatoires, les années 2020–2024 et les pourcentages entre 0 et 100.</w:t>
      </w:r>
    </w:p>
    <w:p>
      <w:pPr>
        <w:pStyle w:val="ListBullet"/>
      </w:pPr>
      <w:r>
        <w:t>Utiliser update_or_create pour permettre un second import sans doublons.</w:t>
      </w:r>
    </w:p>
    <w:p>
      <w:pPr>
        <w:pStyle w:val="ListBullet"/>
      </w:pPr>
      <w:r>
        <w:t>Afficher le nombre de lignes créées, mises à jour et rejetées.</w:t>
      </w:r>
    </w:p>
    <w:p>
      <w:pPr>
        <w:pStyle w:val="Heading2"/>
      </w:pPr>
      <w:r>
        <w:t>Étape C — Analyse de la question (1 h 30)</w:t>
      </w:r>
    </w:p>
    <w:p>
      <w:r>
        <w:t>Définir une structure QueryIntent. Une question ne doit pas être envoyée directement à la base.</w:t>
      </w:r>
    </w:p>
    <w:p>
      <w:pPr>
        <w:pStyle w:val="Code"/>
      </w:pPr>
      <w:r>
        <w:t>{</w:t>
      </w:r>
    </w:p>
    <w:p>
      <w:pPr>
        <w:pStyle w:val="Code"/>
      </w:pPr>
      <w:r>
        <w:t xml:space="preserve">  "indicator": "acces_internet_pct",</w:t>
      </w:r>
    </w:p>
    <w:p>
      <w:pPr>
        <w:pStyle w:val="Code"/>
      </w:pPr>
      <w:r>
        <w:t xml:space="preserve">  "regions": ["Kaolack"],</w:t>
      </w:r>
    </w:p>
    <w:p>
      <w:pPr>
        <w:pStyle w:val="Code"/>
      </w:pPr>
      <w:r>
        <w:t xml:space="preserve">  "start_year": 2020,</w:t>
      </w:r>
    </w:p>
    <w:p>
      <w:pPr>
        <w:pStyle w:val="Code"/>
      </w:pPr>
      <w:r>
        <w:t xml:space="preserve">  "end_year": 2024,</w:t>
      </w:r>
    </w:p>
    <w:p>
      <w:pPr>
        <w:pStyle w:val="Code"/>
      </w:pPr>
      <w:r>
        <w:t xml:space="preserve">  "operation": "trend",</w:t>
      </w:r>
    </w:p>
    <w:p>
      <w:pPr>
        <w:pStyle w:val="Code"/>
      </w:pPr>
      <w:r>
        <w:t xml:space="preserve">  "limit": null,</w:t>
      </w:r>
    </w:p>
    <w:p>
      <w:pPr>
        <w:pStyle w:val="Code"/>
      </w:pPr>
      <w:r>
        <w:t xml:space="preserve">  "chart_type": "line"</w:t>
      </w:r>
    </w:p>
    <w:p>
      <w:pPr>
        <w:pStyle w:val="Code"/>
      </w:pPr>
      <w:r>
        <w:t>}</w:t>
      </w:r>
    </w:p>
    <w:p>
      <w:pPr>
        <w:pStyle w:val="ListBullet"/>
      </w:pPr>
      <w:r>
        <w:t>Créer une table de correspondance entre mots usuels et champs : chômage → taux_chomage_pct, Internet → acces_internet_pct, etc.</w:t>
      </w:r>
    </w:p>
    <w:p>
      <w:pPr>
        <w:pStyle w:val="ListBullet"/>
      </w:pPr>
      <w:r>
        <w:t>Détecter les 14 noms de région sans tenir compte de la casse ni des accents.</w:t>
      </w:r>
    </w:p>
    <w:p>
      <w:pPr>
        <w:pStyle w:val="ListBullet"/>
      </w:pPr>
      <w:r>
        <w:t>Extraire les années avec une expression régulière.</w:t>
      </w:r>
    </w:p>
    <w:p>
      <w:pPr>
        <w:pStyle w:val="ListBullet"/>
      </w:pPr>
      <w:r>
        <w:t>Reconnaître au minimum value, compare, trend, ranking, sum et average.</w:t>
      </w:r>
    </w:p>
    <w:p>
      <w:pPr>
        <w:pStyle w:val="ListBullet"/>
      </w:pPr>
      <w:r>
        <w:t>Retourner needs_clarification=true si un élément indispensable manque.</w:t>
      </w:r>
    </w:p>
    <w:p>
      <w:pPr>
        <w:pStyle w:val="Heading2"/>
      </w:pPr>
      <w:r>
        <w:t>Étape D — Moteur de requêtes ORM (1 h 30)</w:t>
      </w:r>
    </w:p>
    <w:tbl>
      <w:tblPr>
        <w:tblStyle w:val="TableGrid"/>
        <w:tblW w:type="dxa" w:w="9360"/>
        <w:jc w:val="center"/>
        <w:tblLayout w:type="fixed"/>
        <w:tblLook w:firstColumn="1" w:firstRow="1" w:lastColumn="0" w:lastRow="0" w:noHBand="0" w:noVBand="1" w:val="04A0"/>
        <w:tblInd w:w="120" w:type="dxa"/>
      </w:tblPr>
      <w:tblGrid>
        <w:gridCol w:w="1900"/>
        <w:gridCol w:w="4800"/>
        <w:gridCol w:w="2660"/>
      </w:tblGrid>
      <w:tr>
        <w:trPr>
          <w:tblHeader w:val="true"/>
        </w:trPr>
        <w:tc>
          <w:tcPr>
            <w:tcW w:type="dxa" w:w="1900"/>
            <w:shd w:fill="0B6E4F"/>
            <w:tcMar>
              <w:top w:w="80" w:type="dxa"/>
              <w:start w:w="120" w:type="dxa"/>
              <w:bottom w:w="80" w:type="dxa"/>
              <w:end w:w="120" w:type="dxa"/>
            </w:tcMar>
            <w:vAlign w:val="center"/>
          </w:tcPr>
          <w:p>
            <w:r>
              <w:rPr>
                <w:b/>
                <w:color w:val="FFFFFF"/>
                <w:sz w:val="19"/>
              </w:rPr>
              <w:t>Opération</w:t>
            </w:r>
          </w:p>
        </w:tc>
        <w:tc>
          <w:tcPr>
            <w:tcW w:type="dxa" w:w="4800"/>
            <w:shd w:fill="0B6E4F"/>
            <w:tcMar>
              <w:top w:w="80" w:type="dxa"/>
              <w:start w:w="120" w:type="dxa"/>
              <w:bottom w:w="80" w:type="dxa"/>
              <w:end w:w="120" w:type="dxa"/>
            </w:tcMar>
            <w:vAlign w:val="center"/>
          </w:tcPr>
          <w:p>
            <w:r>
              <w:rPr>
                <w:b/>
                <w:color w:val="FFFFFF"/>
                <w:sz w:val="19"/>
              </w:rPr>
              <w:t>Méthodes ORM suggérées</w:t>
            </w:r>
          </w:p>
        </w:tc>
        <w:tc>
          <w:tcPr>
            <w:tcW w:type="dxa" w:w="2660"/>
            <w:shd w:fill="0B6E4F"/>
            <w:tcMar>
              <w:top w:w="80" w:type="dxa"/>
              <w:start w:w="120" w:type="dxa"/>
              <w:bottom w:w="80" w:type="dxa"/>
              <w:end w:w="120" w:type="dxa"/>
            </w:tcMar>
            <w:vAlign w:val="center"/>
          </w:tcPr>
          <w:p>
            <w:r>
              <w:rPr>
                <w:b/>
                <w:color w:val="FFFFFF"/>
                <w:sz w:val="19"/>
              </w:rPr>
              <w:t>Graphique</w:t>
            </w:r>
          </w:p>
        </w:tc>
      </w:tr>
      <w:tr>
        <w:tc>
          <w:tcPr>
            <w:tcW w:type="dxa" w:w="1900"/>
            <w:tcMar>
              <w:top w:w="80" w:type="dxa"/>
              <w:start w:w="120" w:type="dxa"/>
              <w:bottom w:w="80" w:type="dxa"/>
              <w:end w:w="120" w:type="dxa"/>
            </w:tcMar>
            <w:vAlign w:val="center"/>
          </w:tcPr>
          <w:p>
            <w:pPr>
              <w:spacing w:after="0" w:line="252" w:lineRule="auto"/>
            </w:pPr>
            <w:r>
              <w:rPr>
                <w:sz w:val="18"/>
              </w:rPr>
              <w:t>value</w:t>
            </w:r>
          </w:p>
        </w:tc>
        <w:tc>
          <w:tcPr>
            <w:tcW w:type="dxa" w:w="4800"/>
            <w:tcMar>
              <w:top w:w="80" w:type="dxa"/>
              <w:start w:w="120" w:type="dxa"/>
              <w:bottom w:w="80" w:type="dxa"/>
              <w:end w:w="120" w:type="dxa"/>
            </w:tcMar>
            <w:vAlign w:val="center"/>
          </w:tcPr>
          <w:p>
            <w:pPr>
              <w:spacing w:after="0" w:line="252" w:lineRule="auto"/>
            </w:pPr>
            <w:r>
              <w:rPr>
                <w:sz w:val="18"/>
              </w:rPr>
              <w:t>filter(), values(), first()</w:t>
            </w:r>
          </w:p>
        </w:tc>
        <w:tc>
          <w:tcPr>
            <w:tcW w:type="dxa" w:w="2660"/>
            <w:tcMar>
              <w:top w:w="80" w:type="dxa"/>
              <w:start w:w="120" w:type="dxa"/>
              <w:bottom w:w="80" w:type="dxa"/>
              <w:end w:w="120" w:type="dxa"/>
            </w:tcMar>
            <w:vAlign w:val="center"/>
          </w:tcPr>
          <w:p>
            <w:pPr>
              <w:spacing w:after="0" w:line="252" w:lineRule="auto"/>
            </w:pPr>
            <w:r>
              <w:rPr>
                <w:sz w:val="18"/>
              </w:rPr>
              <w:t>Aucun</w:t>
            </w:r>
          </w:p>
        </w:tc>
      </w:tr>
      <w:tr>
        <w:tc>
          <w:tcPr>
            <w:tcW w:type="dxa" w:w="1900"/>
            <w:shd w:fill="F7FAF9"/>
            <w:tcMar>
              <w:top w:w="80" w:type="dxa"/>
              <w:start w:w="120" w:type="dxa"/>
              <w:bottom w:w="80" w:type="dxa"/>
              <w:end w:w="120" w:type="dxa"/>
            </w:tcMar>
            <w:vAlign w:val="center"/>
          </w:tcPr>
          <w:p>
            <w:pPr>
              <w:spacing w:after="0" w:line="252" w:lineRule="auto"/>
            </w:pPr>
            <w:r>
              <w:rPr>
                <w:sz w:val="18"/>
              </w:rPr>
              <w:t>compare</w:t>
            </w:r>
          </w:p>
        </w:tc>
        <w:tc>
          <w:tcPr>
            <w:tcW w:type="dxa" w:w="4800"/>
            <w:shd w:fill="F7FAF9"/>
            <w:tcMar>
              <w:top w:w="80" w:type="dxa"/>
              <w:start w:w="120" w:type="dxa"/>
              <w:bottom w:w="80" w:type="dxa"/>
              <w:end w:w="120" w:type="dxa"/>
            </w:tcMar>
            <w:vAlign w:val="center"/>
          </w:tcPr>
          <w:p>
            <w:pPr>
              <w:spacing w:after="0" w:line="252" w:lineRule="auto"/>
            </w:pPr>
            <w:r>
              <w:rPr>
                <w:sz w:val="18"/>
              </w:rPr>
              <w:t>filter(region__in=...), order_by()</w:t>
            </w:r>
          </w:p>
        </w:tc>
        <w:tc>
          <w:tcPr>
            <w:tcW w:type="dxa" w:w="2660"/>
            <w:shd w:fill="F7FAF9"/>
            <w:tcMar>
              <w:top w:w="80" w:type="dxa"/>
              <w:start w:w="120" w:type="dxa"/>
              <w:bottom w:w="80" w:type="dxa"/>
              <w:end w:w="120" w:type="dxa"/>
            </w:tcMar>
            <w:vAlign w:val="center"/>
          </w:tcPr>
          <w:p>
            <w:pPr>
              <w:spacing w:after="0" w:line="252" w:lineRule="auto"/>
            </w:pPr>
            <w:r>
              <w:rPr>
                <w:sz w:val="18"/>
              </w:rPr>
              <w:t>bar</w:t>
            </w:r>
          </w:p>
        </w:tc>
      </w:tr>
      <w:tr>
        <w:tc>
          <w:tcPr>
            <w:tcW w:type="dxa" w:w="1900"/>
            <w:tcMar>
              <w:top w:w="80" w:type="dxa"/>
              <w:start w:w="120" w:type="dxa"/>
              <w:bottom w:w="80" w:type="dxa"/>
              <w:end w:w="120" w:type="dxa"/>
            </w:tcMar>
            <w:vAlign w:val="center"/>
          </w:tcPr>
          <w:p>
            <w:pPr>
              <w:spacing w:after="0" w:line="252" w:lineRule="auto"/>
            </w:pPr>
            <w:r>
              <w:rPr>
                <w:sz w:val="18"/>
              </w:rPr>
              <w:t>trend</w:t>
            </w:r>
          </w:p>
        </w:tc>
        <w:tc>
          <w:tcPr>
            <w:tcW w:type="dxa" w:w="4800"/>
            <w:tcMar>
              <w:top w:w="80" w:type="dxa"/>
              <w:start w:w="120" w:type="dxa"/>
              <w:bottom w:w="80" w:type="dxa"/>
              <w:end w:w="120" w:type="dxa"/>
            </w:tcMar>
            <w:vAlign w:val="center"/>
          </w:tcPr>
          <w:p>
            <w:pPr>
              <w:spacing w:after="0" w:line="252" w:lineRule="auto"/>
            </w:pPr>
            <w:r>
              <w:rPr>
                <w:sz w:val="18"/>
              </w:rPr>
              <w:t>filter(), order_by("annee")</w:t>
            </w:r>
          </w:p>
        </w:tc>
        <w:tc>
          <w:tcPr>
            <w:tcW w:type="dxa" w:w="2660"/>
            <w:tcMar>
              <w:top w:w="80" w:type="dxa"/>
              <w:start w:w="120" w:type="dxa"/>
              <w:bottom w:w="80" w:type="dxa"/>
              <w:end w:w="120" w:type="dxa"/>
            </w:tcMar>
            <w:vAlign w:val="center"/>
          </w:tcPr>
          <w:p>
            <w:pPr>
              <w:spacing w:after="0" w:line="252" w:lineRule="auto"/>
            </w:pPr>
            <w:r>
              <w:rPr>
                <w:sz w:val="18"/>
              </w:rPr>
              <w:t>line</w:t>
            </w:r>
          </w:p>
        </w:tc>
      </w:tr>
      <w:tr>
        <w:tc>
          <w:tcPr>
            <w:tcW w:type="dxa" w:w="1900"/>
            <w:shd w:fill="F7FAF9"/>
            <w:tcMar>
              <w:top w:w="80" w:type="dxa"/>
              <w:start w:w="120" w:type="dxa"/>
              <w:bottom w:w="80" w:type="dxa"/>
              <w:end w:w="120" w:type="dxa"/>
            </w:tcMar>
            <w:vAlign w:val="center"/>
          </w:tcPr>
          <w:p>
            <w:pPr>
              <w:spacing w:after="0" w:line="252" w:lineRule="auto"/>
            </w:pPr>
            <w:r>
              <w:rPr>
                <w:sz w:val="18"/>
              </w:rPr>
              <w:t>ranking</w:t>
            </w:r>
          </w:p>
        </w:tc>
        <w:tc>
          <w:tcPr>
            <w:tcW w:type="dxa" w:w="4800"/>
            <w:shd w:fill="F7FAF9"/>
            <w:tcMar>
              <w:top w:w="80" w:type="dxa"/>
              <w:start w:w="120" w:type="dxa"/>
              <w:bottom w:w="80" w:type="dxa"/>
              <w:end w:w="120" w:type="dxa"/>
            </w:tcMar>
            <w:vAlign w:val="center"/>
          </w:tcPr>
          <w:p>
            <w:pPr>
              <w:spacing w:after="0" w:line="252" w:lineRule="auto"/>
            </w:pPr>
            <w:r>
              <w:rPr>
                <w:sz w:val="18"/>
              </w:rPr>
              <w:t>filter(), order_by("-champ")[:n]</w:t>
            </w:r>
          </w:p>
        </w:tc>
        <w:tc>
          <w:tcPr>
            <w:tcW w:type="dxa" w:w="2660"/>
            <w:shd w:fill="F7FAF9"/>
            <w:tcMar>
              <w:top w:w="80" w:type="dxa"/>
              <w:start w:w="120" w:type="dxa"/>
              <w:bottom w:w="80" w:type="dxa"/>
              <w:end w:w="120" w:type="dxa"/>
            </w:tcMar>
            <w:vAlign w:val="center"/>
          </w:tcPr>
          <w:p>
            <w:pPr>
              <w:spacing w:after="0" w:line="252" w:lineRule="auto"/>
            </w:pPr>
            <w:r>
              <w:rPr>
                <w:sz w:val="18"/>
              </w:rPr>
              <w:t>bar</w:t>
            </w:r>
          </w:p>
        </w:tc>
      </w:tr>
      <w:tr>
        <w:tc>
          <w:tcPr>
            <w:tcW w:type="dxa" w:w="1900"/>
            <w:tcMar>
              <w:top w:w="80" w:type="dxa"/>
              <w:start w:w="120" w:type="dxa"/>
              <w:bottom w:w="80" w:type="dxa"/>
              <w:end w:w="120" w:type="dxa"/>
            </w:tcMar>
            <w:vAlign w:val="center"/>
          </w:tcPr>
          <w:p>
            <w:pPr>
              <w:spacing w:after="0" w:line="252" w:lineRule="auto"/>
            </w:pPr>
            <w:r>
              <w:rPr>
                <w:sz w:val="18"/>
              </w:rPr>
              <w:t>sum</w:t>
            </w:r>
          </w:p>
        </w:tc>
        <w:tc>
          <w:tcPr>
            <w:tcW w:type="dxa" w:w="4800"/>
            <w:tcMar>
              <w:top w:w="80" w:type="dxa"/>
              <w:start w:w="120" w:type="dxa"/>
              <w:bottom w:w="80" w:type="dxa"/>
              <w:end w:w="120" w:type="dxa"/>
            </w:tcMar>
            <w:vAlign w:val="center"/>
          </w:tcPr>
          <w:p>
            <w:pPr>
              <w:spacing w:after="0" w:line="252" w:lineRule="auto"/>
            </w:pPr>
            <w:r>
              <w:rPr>
                <w:sz w:val="18"/>
              </w:rPr>
              <w:t>aggregate(Sum(...))</w:t>
            </w:r>
          </w:p>
        </w:tc>
        <w:tc>
          <w:tcPr>
            <w:tcW w:type="dxa" w:w="2660"/>
            <w:tcMar>
              <w:top w:w="80" w:type="dxa"/>
              <w:start w:w="120" w:type="dxa"/>
              <w:bottom w:w="80" w:type="dxa"/>
              <w:end w:w="120" w:type="dxa"/>
            </w:tcMar>
            <w:vAlign w:val="center"/>
          </w:tcPr>
          <w:p>
            <w:pPr>
              <w:spacing w:after="0" w:line="252" w:lineRule="auto"/>
            </w:pPr>
            <w:r>
              <w:rPr>
                <w:sz w:val="18"/>
              </w:rPr>
              <w:t>Aucun</w:t>
            </w:r>
          </w:p>
        </w:tc>
      </w:tr>
      <w:tr>
        <w:tc>
          <w:tcPr>
            <w:tcW w:type="dxa" w:w="1900"/>
            <w:shd w:fill="F7FAF9"/>
            <w:tcMar>
              <w:top w:w="80" w:type="dxa"/>
              <w:start w:w="120" w:type="dxa"/>
              <w:bottom w:w="80" w:type="dxa"/>
              <w:end w:w="120" w:type="dxa"/>
            </w:tcMar>
            <w:vAlign w:val="center"/>
          </w:tcPr>
          <w:p>
            <w:pPr>
              <w:spacing w:after="0" w:line="252" w:lineRule="auto"/>
            </w:pPr>
            <w:r>
              <w:rPr>
                <w:sz w:val="18"/>
              </w:rPr>
              <w:t>average</w:t>
            </w:r>
          </w:p>
        </w:tc>
        <w:tc>
          <w:tcPr>
            <w:tcW w:type="dxa" w:w="4800"/>
            <w:shd w:fill="F7FAF9"/>
            <w:tcMar>
              <w:top w:w="80" w:type="dxa"/>
              <w:start w:w="120" w:type="dxa"/>
              <w:bottom w:w="80" w:type="dxa"/>
              <w:end w:w="120" w:type="dxa"/>
            </w:tcMar>
            <w:vAlign w:val="center"/>
          </w:tcPr>
          <w:p>
            <w:pPr>
              <w:spacing w:after="0" w:line="252" w:lineRule="auto"/>
            </w:pPr>
            <w:r>
              <w:rPr>
                <w:sz w:val="18"/>
              </w:rPr>
              <w:t>aggregate(Avg(...))</w:t>
            </w:r>
          </w:p>
        </w:tc>
        <w:tc>
          <w:tcPr>
            <w:tcW w:type="dxa" w:w="2660"/>
            <w:shd w:fill="F7FAF9"/>
            <w:tcMar>
              <w:top w:w="80" w:type="dxa"/>
              <w:start w:w="120" w:type="dxa"/>
              <w:bottom w:w="80" w:type="dxa"/>
              <w:end w:w="120" w:type="dxa"/>
            </w:tcMar>
            <w:vAlign w:val="center"/>
          </w:tcPr>
          <w:p>
            <w:pPr>
              <w:spacing w:after="0" w:line="252" w:lineRule="auto"/>
            </w:pPr>
            <w:r>
              <w:rPr>
                <w:sz w:val="18"/>
              </w:rPr>
              <w:t>Aucun ou bar</w:t>
            </w:r>
          </w:p>
        </w:tc>
      </w:tr>
    </w:tbl>
    <w:p>
      <w:pPr>
        <w:spacing w:after="0"/>
      </w:pP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1F8F5"/>
          </w:tcPr>
          <w:p>
            <w:r>
              <w:rPr>
                <w:b/>
                <w:color w:val="0B6E4F"/>
              </w:rPr>
              <w:t xml:space="preserve">Règle — </w:t>
            </w:r>
            <w:r>
              <w:t>Le nom du champ utilisé dans values(), order_by() ou aggregate() doit provenir d’une liste blanche définie par le développeur, jamais directement du texte de l’utilisateur.</w:t>
            </w:r>
          </w:p>
        </w:tc>
      </w:tr>
    </w:tbl>
    <w:p>
      <w:pPr>
        <w:spacing w:after="0"/>
      </w:pPr>
    </w:p>
    <w:p>
      <w:pPr>
        <w:pStyle w:val="Heading2"/>
      </w:pPr>
      <w:r>
        <w:t>Étape E — API et interface conversationnelle (1 h 15)</w:t>
      </w:r>
    </w:p>
    <w:p>
      <w:r>
        <w:t>L’endpoint accepte uniquement POST et renvoie un JSON stable. Le navigateur doit pouvoir afficher la réponse même si chart vaut null.</w:t>
      </w:r>
    </w:p>
    <w:p>
      <w:pPr>
        <w:pStyle w:val="Code"/>
      </w:pPr>
      <w:r>
        <w:t>{</w:t>
      </w:r>
    </w:p>
    <w:p>
      <w:pPr>
        <w:pStyle w:val="Code"/>
      </w:pPr>
      <w:r>
        <w:t xml:space="preserve">  "answer": "À Kaolack, l’accès à Internet passe de 41,0 % en 2020 à 57,8 % en 2024.",</w:t>
      </w:r>
    </w:p>
    <w:p>
      <w:pPr>
        <w:pStyle w:val="Code"/>
      </w:pPr>
      <w:r>
        <w:t xml:space="preserve">  "table": [{"annee": 2020, "valeur": 41.0}],</w:t>
      </w:r>
    </w:p>
    <w:p>
      <w:pPr>
        <w:pStyle w:val="Code"/>
      </w:pPr>
      <w:r>
        <w:t xml:space="preserve">  "chart": {</w:t>
      </w:r>
    </w:p>
    <w:p>
      <w:pPr>
        <w:pStyle w:val="Code"/>
      </w:pPr>
      <w:r>
        <w:t xml:space="preserve">    "type": "line",</w:t>
      </w:r>
    </w:p>
    <w:p>
      <w:pPr>
        <w:pStyle w:val="Code"/>
      </w:pPr>
      <w:r>
        <w:t xml:space="preserve">    "labels": [2020, 2021, 2022, 2023, 2024],</w:t>
      </w:r>
    </w:p>
    <w:p>
      <w:pPr>
        <w:pStyle w:val="Code"/>
      </w:pPr>
      <w:r>
        <w:t xml:space="preserve">    "datasets": [{"label": "Accès à Internet (%)", "data": [41.0, 45.2, 49.4, 53.6, 57.8]}]</w:t>
      </w:r>
    </w:p>
    <w:p>
      <w:pPr>
        <w:pStyle w:val="Code"/>
      </w:pPr>
      <w:r>
        <w:t xml:space="preserve">  },</w:t>
      </w:r>
    </w:p>
    <w:p>
      <w:pPr>
        <w:pStyle w:val="Code"/>
      </w:pPr>
      <w:r>
        <w:t xml:space="preserve">  "metadata": {"fictitious": true, "rows_used": 5}</w:t>
      </w:r>
    </w:p>
    <w:p>
      <w:pPr>
        <w:pStyle w:val="Code"/>
      </w:pPr>
      <w:r>
        <w:t>}</w:t>
      </w:r>
    </w:p>
    <w:p>
      <w:pPr>
        <w:pStyle w:val="ListBullet"/>
      </w:pPr>
      <w:r>
        <w:t>Créer une zone de saisie, un bouton Envoyer et une zone de réponse.</w:t>
      </w:r>
    </w:p>
    <w:p>
      <w:pPr>
        <w:pStyle w:val="ListBullet"/>
      </w:pPr>
      <w:r>
        <w:t>Afficher un indicateur de chargement et un message d’erreur compréhensible.</w:t>
      </w:r>
    </w:p>
    <w:p>
      <w:pPr>
        <w:pStyle w:val="ListBullet"/>
      </w:pPr>
      <w:r>
        <w:t>Détruire l’ancien graphique Chart.js avant d’en créer un nouveau.</w:t>
      </w:r>
    </w:p>
    <w:p>
      <w:pPr>
        <w:pStyle w:val="ListBullet"/>
      </w:pPr>
      <w:r>
        <w:t>Protéger la requête POST avec le jeton CSRF Django.</w:t>
      </w:r>
    </w:p>
    <w:p>
      <w:pPr>
        <w:pStyle w:val="ListBullet"/>
      </w:pPr>
      <w:r>
        <w:t>Afficher les données tabulaires ayant servi au graphique.</w:t>
      </w:r>
    </w:p>
    <w:p>
      <w:pPr>
        <w:pStyle w:val="Heading2"/>
      </w:pPr>
      <w:r>
        <w:t>Étape F — Tests et démonstration (1 h 45)</w:t>
      </w:r>
    </w:p>
    <w:p>
      <w:pPr>
        <w:pStyle w:val="ListBullet"/>
      </w:pPr>
      <w:r>
        <w:t>Écrire des tests pour l’import, l’unicité, les alias d’indicateurs et l’extraction des années.</w:t>
      </w:r>
    </w:p>
    <w:p>
      <w:pPr>
        <w:pStyle w:val="ListBullet"/>
      </w:pPr>
      <w:r>
        <w:t>Tester chaque opération du moteur de requêtes.</w:t>
      </w:r>
    </w:p>
    <w:p>
      <w:pPr>
        <w:pStyle w:val="ListBullet"/>
      </w:pPr>
      <w:r>
        <w:t>Tester une question ambiguë, une région inconnue, une année absente et une question hors sujet.</w:t>
      </w:r>
    </w:p>
    <w:p>
      <w:pPr>
        <w:pStyle w:val="ListBullet"/>
      </w:pPr>
      <w:r>
        <w:t>Préparer cinq questions de démonstration, dont au moins deux produisent un graphique.</w:t>
      </w:r>
    </w:p>
    <w:p>
      <w:pPr>
        <w:pStyle w:val="Heading1"/>
      </w:pPr>
      <w:r>
        <w:t>7. Option IA générative — bonus</w:t>
      </w:r>
    </w:p>
    <w:p>
      <w:r>
        <w:t>Le prototype de base peut utiliser un analyseur déterministe. En bonus, un modèle de langage peut convertir la question en QueryIntent JSON ou reformuler la réponse. Le schéma doit être strict, la température faible, la sortie validée côté serveur et un mécanisme de repli déterministe doit rester disponible.</w:t>
      </w:r>
    </w:p>
    <w:p>
      <w:pPr>
        <w:pStyle w:val="ListBullet"/>
      </w:pPr>
      <w:r>
        <w:t>Conserver la clé API dans une variable d’environnement et jamais dans Git.</w:t>
      </w:r>
    </w:p>
    <w:p>
      <w:pPr>
        <w:pStyle w:val="ListBullet"/>
      </w:pPr>
      <w:r>
        <w:t>N’envoyer au modèle que les métadonnées utiles; ne pas transmettre la base complète sans nécessité.</w:t>
      </w:r>
    </w:p>
    <w:p>
      <w:pPr>
        <w:pStyle w:val="ListBullet"/>
      </w:pPr>
      <w:r>
        <w:t>Journaliser l’intention validée, pas les secrets.</w:t>
      </w:r>
    </w:p>
    <w:p>
      <w:pPr>
        <w:pStyle w:val="ListBullet"/>
      </w:pPr>
      <w:r>
        <w:t>Ajouter une limite de taille et un délai d’expiration aux requêtes externes.</w:t>
      </w:r>
    </w:p>
    <w:p>
      <w:pPr>
        <w:pStyle w:val="Heading1"/>
      </w:pPr>
      <w:r>
        <w:t>8. Questions d’acceptation</w:t>
      </w:r>
    </w:p>
    <w:tbl>
      <w:tblPr>
        <w:tblStyle w:val="TableGrid"/>
        <w:tblW w:type="dxa" w:w="9360"/>
        <w:jc w:val="center"/>
        <w:tblLayout w:type="fixed"/>
        <w:tblLook w:firstColumn="1" w:firstRow="1" w:lastColumn="0" w:lastRow="0" w:noHBand="0" w:noVBand="1" w:val="04A0"/>
        <w:tblInd w:w="120" w:type="dxa"/>
      </w:tblPr>
      <w:tblGrid>
        <w:gridCol w:w="1500"/>
        <w:gridCol w:w="5260"/>
        <w:gridCol w:w="2600"/>
      </w:tblGrid>
      <w:tr>
        <w:trPr>
          <w:tblHeader w:val="true"/>
        </w:trPr>
        <w:tc>
          <w:tcPr>
            <w:tcW w:type="dxa" w:w="1500"/>
            <w:shd w:fill="0B6E4F"/>
            <w:tcMar>
              <w:top w:w="80" w:type="dxa"/>
              <w:start w:w="120" w:type="dxa"/>
              <w:bottom w:w="80" w:type="dxa"/>
              <w:end w:w="120" w:type="dxa"/>
            </w:tcMar>
            <w:vAlign w:val="center"/>
          </w:tcPr>
          <w:p>
            <w:r>
              <w:rPr>
                <w:b/>
                <w:color w:val="FFFFFF"/>
                <w:sz w:val="19"/>
              </w:rPr>
              <w:t>Cas</w:t>
            </w:r>
          </w:p>
        </w:tc>
        <w:tc>
          <w:tcPr>
            <w:tcW w:type="dxa" w:w="5260"/>
            <w:shd w:fill="0B6E4F"/>
            <w:tcMar>
              <w:top w:w="80" w:type="dxa"/>
              <w:start w:w="120" w:type="dxa"/>
              <w:bottom w:w="80" w:type="dxa"/>
              <w:end w:w="120" w:type="dxa"/>
            </w:tcMar>
            <w:vAlign w:val="center"/>
          </w:tcPr>
          <w:p>
            <w:r>
              <w:rPr>
                <w:b/>
                <w:color w:val="FFFFFF"/>
                <w:sz w:val="19"/>
              </w:rPr>
              <w:t>Question</w:t>
            </w:r>
          </w:p>
        </w:tc>
        <w:tc>
          <w:tcPr>
            <w:tcW w:type="dxa" w:w="2600"/>
            <w:shd w:fill="0B6E4F"/>
            <w:tcMar>
              <w:top w:w="80" w:type="dxa"/>
              <w:start w:w="120" w:type="dxa"/>
              <w:bottom w:w="80" w:type="dxa"/>
              <w:end w:w="120" w:type="dxa"/>
            </w:tcMar>
            <w:vAlign w:val="center"/>
          </w:tcPr>
          <w:p>
            <w:r>
              <w:rPr>
                <w:b/>
                <w:color w:val="FFFFFF"/>
                <w:sz w:val="19"/>
              </w:rPr>
              <w:t>Attendu</w:t>
            </w:r>
          </w:p>
        </w:tc>
      </w:tr>
      <w:tr>
        <w:tc>
          <w:tcPr>
            <w:tcW w:type="dxa" w:w="1500"/>
            <w:tcMar>
              <w:top w:w="80" w:type="dxa"/>
              <w:start w:w="120" w:type="dxa"/>
              <w:bottom w:w="80" w:type="dxa"/>
              <w:end w:w="120" w:type="dxa"/>
            </w:tcMar>
            <w:vAlign w:val="center"/>
          </w:tcPr>
          <w:p>
            <w:pPr>
              <w:spacing w:after="0" w:line="252" w:lineRule="auto"/>
            </w:pPr>
            <w:r>
              <w:rPr>
                <w:sz w:val="18"/>
              </w:rPr>
              <w:t>Valeur</w:t>
            </w:r>
          </w:p>
        </w:tc>
        <w:tc>
          <w:tcPr>
            <w:tcW w:type="dxa" w:w="5260"/>
            <w:tcMar>
              <w:top w:w="80" w:type="dxa"/>
              <w:start w:w="120" w:type="dxa"/>
              <w:bottom w:w="80" w:type="dxa"/>
              <w:end w:w="120" w:type="dxa"/>
            </w:tcMar>
            <w:vAlign w:val="center"/>
          </w:tcPr>
          <w:p>
            <w:pPr>
              <w:spacing w:after="0" w:line="252" w:lineRule="auto"/>
            </w:pPr>
            <w:r>
              <w:rPr>
                <w:sz w:val="18"/>
              </w:rPr>
              <w:t>Quelle est la population de Thiès en 2024 ?</w:t>
            </w:r>
          </w:p>
        </w:tc>
        <w:tc>
          <w:tcPr>
            <w:tcW w:type="dxa" w:w="2600"/>
            <w:tcMar>
              <w:top w:w="80" w:type="dxa"/>
              <w:start w:w="120" w:type="dxa"/>
              <w:bottom w:w="80" w:type="dxa"/>
              <w:end w:w="120" w:type="dxa"/>
            </w:tcMar>
            <w:vAlign w:val="center"/>
          </w:tcPr>
          <w:p>
            <w:pPr>
              <w:spacing w:after="0" w:line="252" w:lineRule="auto"/>
            </w:pPr>
            <w:r>
              <w:rPr>
                <w:sz w:val="18"/>
              </w:rPr>
              <w:t>Une valeur numérique et l’unité.</w:t>
            </w:r>
          </w:p>
        </w:tc>
      </w:tr>
      <w:tr>
        <w:tc>
          <w:tcPr>
            <w:tcW w:type="dxa" w:w="1500"/>
            <w:shd w:fill="F7FAF9"/>
            <w:tcMar>
              <w:top w:w="80" w:type="dxa"/>
              <w:start w:w="120" w:type="dxa"/>
              <w:bottom w:w="80" w:type="dxa"/>
              <w:end w:w="120" w:type="dxa"/>
            </w:tcMar>
            <w:vAlign w:val="center"/>
          </w:tcPr>
          <w:p>
            <w:pPr>
              <w:spacing w:after="0" w:line="252" w:lineRule="auto"/>
            </w:pPr>
            <w:r>
              <w:rPr>
                <w:sz w:val="18"/>
              </w:rPr>
              <w:t>Comparaison</w:t>
            </w:r>
          </w:p>
        </w:tc>
        <w:tc>
          <w:tcPr>
            <w:tcW w:type="dxa" w:w="5260"/>
            <w:shd w:fill="F7FAF9"/>
            <w:tcMar>
              <w:top w:w="80" w:type="dxa"/>
              <w:start w:w="120" w:type="dxa"/>
              <w:bottom w:w="80" w:type="dxa"/>
              <w:end w:w="120" w:type="dxa"/>
            </w:tcMar>
            <w:vAlign w:val="center"/>
          </w:tcPr>
          <w:p>
            <w:pPr>
              <w:spacing w:after="0" w:line="252" w:lineRule="auto"/>
            </w:pPr>
            <w:r>
              <w:rPr>
                <w:sz w:val="18"/>
              </w:rPr>
              <w:t>Compare le chômage à Dakar, Thiès et Saint-Louis en 2024.</w:t>
            </w:r>
          </w:p>
        </w:tc>
        <w:tc>
          <w:tcPr>
            <w:tcW w:type="dxa" w:w="2600"/>
            <w:shd w:fill="F7FAF9"/>
            <w:tcMar>
              <w:top w:w="80" w:type="dxa"/>
              <w:start w:w="120" w:type="dxa"/>
              <w:bottom w:w="80" w:type="dxa"/>
              <w:end w:w="120" w:type="dxa"/>
            </w:tcMar>
            <w:vAlign w:val="center"/>
          </w:tcPr>
          <w:p>
            <w:pPr>
              <w:spacing w:after="0" w:line="252" w:lineRule="auto"/>
            </w:pPr>
            <w:r>
              <w:rPr>
                <w:sz w:val="18"/>
              </w:rPr>
              <w:t>Tableau + barres.</w:t>
            </w:r>
          </w:p>
        </w:tc>
      </w:tr>
      <w:tr>
        <w:tc>
          <w:tcPr>
            <w:tcW w:type="dxa" w:w="1500"/>
            <w:tcMar>
              <w:top w:w="80" w:type="dxa"/>
              <w:start w:w="120" w:type="dxa"/>
              <w:bottom w:w="80" w:type="dxa"/>
              <w:end w:w="120" w:type="dxa"/>
            </w:tcMar>
            <w:vAlign w:val="center"/>
          </w:tcPr>
          <w:p>
            <w:pPr>
              <w:spacing w:after="0" w:line="252" w:lineRule="auto"/>
            </w:pPr>
            <w:r>
              <w:rPr>
                <w:sz w:val="18"/>
              </w:rPr>
              <w:t>Classement</w:t>
            </w:r>
          </w:p>
        </w:tc>
        <w:tc>
          <w:tcPr>
            <w:tcW w:type="dxa" w:w="5260"/>
            <w:tcMar>
              <w:top w:w="80" w:type="dxa"/>
              <w:start w:w="120" w:type="dxa"/>
              <w:bottom w:w="80" w:type="dxa"/>
              <w:end w:w="120" w:type="dxa"/>
            </w:tcMar>
            <w:vAlign w:val="center"/>
          </w:tcPr>
          <w:p>
            <w:pPr>
              <w:spacing w:after="0" w:line="252" w:lineRule="auto"/>
            </w:pPr>
            <w:r>
              <w:rPr>
                <w:sz w:val="18"/>
              </w:rPr>
              <w:t>Quelles sont les cinq régions les plus peuplées en 2024 ?</w:t>
            </w:r>
          </w:p>
        </w:tc>
        <w:tc>
          <w:tcPr>
            <w:tcW w:type="dxa" w:w="2600"/>
            <w:tcMar>
              <w:top w:w="80" w:type="dxa"/>
              <w:start w:w="120" w:type="dxa"/>
              <w:bottom w:w="80" w:type="dxa"/>
              <w:end w:w="120" w:type="dxa"/>
            </w:tcMar>
            <w:vAlign w:val="center"/>
          </w:tcPr>
          <w:p>
            <w:pPr>
              <w:spacing w:after="0" w:line="252" w:lineRule="auto"/>
            </w:pPr>
            <w:r>
              <w:rPr>
                <w:sz w:val="18"/>
              </w:rPr>
              <w:t>Top 5 décroissant + barres.</w:t>
            </w:r>
          </w:p>
        </w:tc>
      </w:tr>
      <w:tr>
        <w:tc>
          <w:tcPr>
            <w:tcW w:type="dxa" w:w="1500"/>
            <w:shd w:fill="F7FAF9"/>
            <w:tcMar>
              <w:top w:w="80" w:type="dxa"/>
              <w:start w:w="120" w:type="dxa"/>
              <w:bottom w:w="80" w:type="dxa"/>
              <w:end w:w="120" w:type="dxa"/>
            </w:tcMar>
            <w:vAlign w:val="center"/>
          </w:tcPr>
          <w:p>
            <w:pPr>
              <w:spacing w:after="0" w:line="252" w:lineRule="auto"/>
            </w:pPr>
            <w:r>
              <w:rPr>
                <w:sz w:val="18"/>
              </w:rPr>
              <w:t>Évolution</w:t>
            </w:r>
          </w:p>
        </w:tc>
        <w:tc>
          <w:tcPr>
            <w:tcW w:type="dxa" w:w="5260"/>
            <w:shd w:fill="F7FAF9"/>
            <w:tcMar>
              <w:top w:w="80" w:type="dxa"/>
              <w:start w:w="120" w:type="dxa"/>
              <w:bottom w:w="80" w:type="dxa"/>
              <w:end w:w="120" w:type="dxa"/>
            </w:tcMar>
            <w:vAlign w:val="center"/>
          </w:tcPr>
          <w:p>
            <w:pPr>
              <w:spacing w:after="0" w:line="252" w:lineRule="auto"/>
            </w:pPr>
            <w:r>
              <w:rPr>
                <w:sz w:val="18"/>
              </w:rPr>
              <w:t>Montre l’évolution de l’accès à Internet à Kaolack entre 2020 et 2024.</w:t>
            </w:r>
          </w:p>
        </w:tc>
        <w:tc>
          <w:tcPr>
            <w:tcW w:type="dxa" w:w="2600"/>
            <w:shd w:fill="F7FAF9"/>
            <w:tcMar>
              <w:top w:w="80" w:type="dxa"/>
              <w:start w:w="120" w:type="dxa"/>
              <w:bottom w:w="80" w:type="dxa"/>
              <w:end w:w="120" w:type="dxa"/>
            </w:tcMar>
            <w:vAlign w:val="center"/>
          </w:tcPr>
          <w:p>
            <w:pPr>
              <w:spacing w:after="0" w:line="252" w:lineRule="auto"/>
            </w:pPr>
            <w:r>
              <w:rPr>
                <w:sz w:val="18"/>
              </w:rPr>
              <w:t>Courbe de 5 points.</w:t>
            </w:r>
          </w:p>
        </w:tc>
      </w:tr>
      <w:tr>
        <w:tc>
          <w:tcPr>
            <w:tcW w:type="dxa" w:w="1500"/>
            <w:tcMar>
              <w:top w:w="80" w:type="dxa"/>
              <w:start w:w="120" w:type="dxa"/>
              <w:bottom w:w="80" w:type="dxa"/>
              <w:end w:w="120" w:type="dxa"/>
            </w:tcMar>
            <w:vAlign w:val="center"/>
          </w:tcPr>
          <w:p>
            <w:pPr>
              <w:spacing w:after="0" w:line="252" w:lineRule="auto"/>
            </w:pPr>
            <w:r>
              <w:rPr>
                <w:sz w:val="18"/>
              </w:rPr>
              <w:t>Agrégation</w:t>
            </w:r>
          </w:p>
        </w:tc>
        <w:tc>
          <w:tcPr>
            <w:tcW w:type="dxa" w:w="5260"/>
            <w:tcMar>
              <w:top w:w="80" w:type="dxa"/>
              <w:start w:w="120" w:type="dxa"/>
              <w:bottom w:w="80" w:type="dxa"/>
              <w:end w:w="120" w:type="dxa"/>
            </w:tcMar>
            <w:vAlign w:val="center"/>
          </w:tcPr>
          <w:p>
            <w:pPr>
              <w:spacing w:after="0" w:line="252" w:lineRule="auto"/>
            </w:pPr>
            <w:r>
              <w:rPr>
                <w:sz w:val="18"/>
              </w:rPr>
              <w:t>Quelle est la population totale estimée du Sénégal en 2024 ?</w:t>
            </w:r>
          </w:p>
        </w:tc>
        <w:tc>
          <w:tcPr>
            <w:tcW w:type="dxa" w:w="2600"/>
            <w:tcMar>
              <w:top w:w="80" w:type="dxa"/>
              <w:start w:w="120" w:type="dxa"/>
              <w:bottom w:w="80" w:type="dxa"/>
              <w:end w:w="120" w:type="dxa"/>
            </w:tcMar>
            <w:vAlign w:val="center"/>
          </w:tcPr>
          <w:p>
            <w:pPr>
              <w:spacing w:after="0" w:line="252" w:lineRule="auto"/>
            </w:pPr>
            <w:r>
              <w:rPr>
                <w:sz w:val="18"/>
              </w:rPr>
              <w:t>Somme des 14 régions.</w:t>
            </w:r>
          </w:p>
        </w:tc>
      </w:tr>
      <w:tr>
        <w:tc>
          <w:tcPr>
            <w:tcW w:type="dxa" w:w="1500"/>
            <w:shd w:fill="F7FAF9"/>
            <w:tcMar>
              <w:top w:w="80" w:type="dxa"/>
              <w:start w:w="120" w:type="dxa"/>
              <w:bottom w:w="80" w:type="dxa"/>
              <w:end w:w="120" w:type="dxa"/>
            </w:tcMar>
            <w:vAlign w:val="center"/>
          </w:tcPr>
          <w:p>
            <w:pPr>
              <w:spacing w:after="0" w:line="252" w:lineRule="auto"/>
            </w:pPr>
            <w:r>
              <w:rPr>
                <w:sz w:val="18"/>
              </w:rPr>
              <w:t>Ambiguë</w:t>
            </w:r>
          </w:p>
        </w:tc>
        <w:tc>
          <w:tcPr>
            <w:tcW w:type="dxa" w:w="5260"/>
            <w:shd w:fill="F7FAF9"/>
            <w:tcMar>
              <w:top w:w="80" w:type="dxa"/>
              <w:start w:w="120" w:type="dxa"/>
              <w:bottom w:w="80" w:type="dxa"/>
              <w:end w:w="120" w:type="dxa"/>
            </w:tcMar>
            <w:vAlign w:val="center"/>
          </w:tcPr>
          <w:p>
            <w:pPr>
              <w:spacing w:after="0" w:line="252" w:lineRule="auto"/>
            </w:pPr>
            <w:r>
              <w:rPr>
                <w:sz w:val="18"/>
              </w:rPr>
              <w:t>Donne-moi le taux de Dakar.</w:t>
            </w:r>
          </w:p>
        </w:tc>
        <w:tc>
          <w:tcPr>
            <w:tcW w:type="dxa" w:w="2600"/>
            <w:shd w:fill="F7FAF9"/>
            <w:tcMar>
              <w:top w:w="80" w:type="dxa"/>
              <w:start w:w="120" w:type="dxa"/>
              <w:bottom w:w="80" w:type="dxa"/>
              <w:end w:w="120" w:type="dxa"/>
            </w:tcMar>
            <w:vAlign w:val="center"/>
          </w:tcPr>
          <w:p>
            <w:pPr>
              <w:spacing w:after="0" w:line="252" w:lineRule="auto"/>
            </w:pPr>
            <w:r>
              <w:rPr>
                <w:sz w:val="18"/>
              </w:rPr>
              <w:t>Demande de précision.</w:t>
            </w:r>
          </w:p>
        </w:tc>
      </w:tr>
      <w:tr>
        <w:tc>
          <w:tcPr>
            <w:tcW w:type="dxa" w:w="1500"/>
            <w:tcMar>
              <w:top w:w="80" w:type="dxa"/>
              <w:start w:w="120" w:type="dxa"/>
              <w:bottom w:w="80" w:type="dxa"/>
              <w:end w:w="120" w:type="dxa"/>
            </w:tcMar>
            <w:vAlign w:val="center"/>
          </w:tcPr>
          <w:p>
            <w:pPr>
              <w:spacing w:after="0" w:line="252" w:lineRule="auto"/>
            </w:pPr>
            <w:r>
              <w:rPr>
                <w:sz w:val="18"/>
              </w:rPr>
              <w:t>Hors sujet</w:t>
            </w:r>
          </w:p>
        </w:tc>
        <w:tc>
          <w:tcPr>
            <w:tcW w:type="dxa" w:w="5260"/>
            <w:tcMar>
              <w:top w:w="80" w:type="dxa"/>
              <w:start w:w="120" w:type="dxa"/>
              <w:bottom w:w="80" w:type="dxa"/>
              <w:end w:w="120" w:type="dxa"/>
            </w:tcMar>
            <w:vAlign w:val="center"/>
          </w:tcPr>
          <w:p>
            <w:pPr>
              <w:spacing w:after="0" w:line="252" w:lineRule="auto"/>
            </w:pPr>
            <w:r>
              <w:rPr>
                <w:sz w:val="18"/>
              </w:rPr>
              <w:t>Qui a gagné la dernière Coupe du monde ?</w:t>
            </w:r>
          </w:p>
        </w:tc>
        <w:tc>
          <w:tcPr>
            <w:tcW w:type="dxa" w:w="2600"/>
            <w:tcMar>
              <w:top w:w="80" w:type="dxa"/>
              <w:start w:w="120" w:type="dxa"/>
              <w:bottom w:w="80" w:type="dxa"/>
              <w:end w:w="120" w:type="dxa"/>
            </w:tcMar>
            <w:vAlign w:val="center"/>
          </w:tcPr>
          <w:p>
            <w:pPr>
              <w:spacing w:after="0" w:line="252" w:lineRule="auto"/>
            </w:pPr>
            <w:r>
              <w:rPr>
                <w:sz w:val="18"/>
              </w:rPr>
              <w:t>Refus poli.</w:t>
            </w:r>
          </w:p>
        </w:tc>
      </w:tr>
    </w:tbl>
    <w:p>
      <w:pPr>
        <w:spacing w:after="0"/>
      </w:pPr>
    </w:p>
    <w:p>
      <w:pPr>
        <w:pStyle w:val="Heading1"/>
      </w:pPr>
      <w:r>
        <w:t>9. Barème sur 100 points</w:t>
      </w:r>
    </w:p>
    <w:tbl>
      <w:tblPr>
        <w:tblStyle w:val="TableGrid"/>
        <w:tblW w:type="dxa" w:w="9360"/>
        <w:jc w:val="center"/>
        <w:tblLayout w:type="fixed"/>
        <w:tblLook w:firstColumn="1" w:firstRow="1" w:lastColumn="0" w:lastRow="0" w:noHBand="0" w:noVBand="1" w:val="04A0"/>
        <w:tblInd w:w="120" w:type="dxa"/>
      </w:tblPr>
      <w:tblGrid>
        <w:gridCol w:w="3000"/>
        <w:gridCol w:w="1000"/>
        <w:gridCol w:w="5360"/>
      </w:tblGrid>
      <w:tr>
        <w:trPr>
          <w:tblHeader w:val="true"/>
        </w:trPr>
        <w:tc>
          <w:tcPr>
            <w:tcW w:type="dxa" w:w="3000"/>
            <w:shd w:fill="0B6E4F"/>
            <w:tcMar>
              <w:top w:w="80" w:type="dxa"/>
              <w:start w:w="120" w:type="dxa"/>
              <w:bottom w:w="80" w:type="dxa"/>
              <w:end w:w="120" w:type="dxa"/>
            </w:tcMar>
            <w:vAlign w:val="center"/>
          </w:tcPr>
          <w:p>
            <w:r>
              <w:rPr>
                <w:b/>
                <w:color w:val="FFFFFF"/>
                <w:sz w:val="19"/>
              </w:rPr>
              <w:t>Critère</w:t>
            </w:r>
          </w:p>
        </w:tc>
        <w:tc>
          <w:tcPr>
            <w:tcW w:type="dxa" w:w="1000"/>
            <w:shd w:fill="0B6E4F"/>
            <w:tcMar>
              <w:top w:w="80" w:type="dxa"/>
              <w:start w:w="120" w:type="dxa"/>
              <w:bottom w:w="80" w:type="dxa"/>
              <w:end w:w="120" w:type="dxa"/>
            </w:tcMar>
            <w:vAlign w:val="center"/>
          </w:tcPr>
          <w:p>
            <w:r>
              <w:rPr>
                <w:b/>
                <w:color w:val="FFFFFF"/>
                <w:sz w:val="19"/>
              </w:rPr>
              <w:t>Points</w:t>
            </w:r>
          </w:p>
        </w:tc>
        <w:tc>
          <w:tcPr>
            <w:tcW w:type="dxa" w:w="5360"/>
            <w:shd w:fill="0B6E4F"/>
            <w:tcMar>
              <w:top w:w="80" w:type="dxa"/>
              <w:start w:w="120" w:type="dxa"/>
              <w:bottom w:w="80" w:type="dxa"/>
              <w:end w:w="120" w:type="dxa"/>
            </w:tcMar>
            <w:vAlign w:val="center"/>
          </w:tcPr>
          <w:p>
            <w:r>
              <w:rPr>
                <w:b/>
                <w:color w:val="FFFFFF"/>
                <w:sz w:val="19"/>
              </w:rPr>
              <w:t>Indicateurs</w:t>
            </w:r>
          </w:p>
        </w:tc>
      </w:tr>
      <w:tr>
        <w:tc>
          <w:tcPr>
            <w:tcW w:type="dxa" w:w="3000"/>
            <w:tcMar>
              <w:top w:w="80" w:type="dxa"/>
              <w:start w:w="120" w:type="dxa"/>
              <w:bottom w:w="80" w:type="dxa"/>
              <w:end w:w="120" w:type="dxa"/>
            </w:tcMar>
            <w:vAlign w:val="center"/>
          </w:tcPr>
          <w:p>
            <w:pPr>
              <w:spacing w:after="0" w:line="252" w:lineRule="auto"/>
            </w:pPr>
            <w:r>
              <w:rPr>
                <w:sz w:val="18"/>
              </w:rPr>
              <w:t>Modèle et import</w:t>
            </w:r>
          </w:p>
        </w:tc>
        <w:tc>
          <w:tcPr>
            <w:tcW w:type="dxa" w:w="1000"/>
            <w:tcMar>
              <w:top w:w="80" w:type="dxa"/>
              <w:start w:w="120" w:type="dxa"/>
              <w:bottom w:w="80" w:type="dxa"/>
              <w:end w:w="120" w:type="dxa"/>
            </w:tcMar>
            <w:vAlign w:val="center"/>
          </w:tcPr>
          <w:p>
            <w:pPr>
              <w:spacing w:after="0" w:line="252" w:lineRule="auto"/>
            </w:pPr>
            <w:r>
              <w:rPr>
                <w:sz w:val="18"/>
              </w:rPr>
              <w:t>15</w:t>
            </w:r>
          </w:p>
        </w:tc>
        <w:tc>
          <w:tcPr>
            <w:tcW w:type="dxa" w:w="5360"/>
            <w:tcMar>
              <w:top w:w="80" w:type="dxa"/>
              <w:start w:w="120" w:type="dxa"/>
              <w:bottom w:w="80" w:type="dxa"/>
              <w:end w:w="120" w:type="dxa"/>
            </w:tcMar>
            <w:vAlign w:val="center"/>
          </w:tcPr>
          <w:p>
            <w:pPr>
              <w:spacing w:after="0" w:line="252" w:lineRule="auto"/>
            </w:pPr>
            <w:r>
              <w:rPr>
                <w:sz w:val="18"/>
              </w:rPr>
              <w:t>Modèle correct, contrainte, validation, import idempotent.</w:t>
            </w:r>
          </w:p>
        </w:tc>
      </w:tr>
      <w:tr>
        <w:tc>
          <w:tcPr>
            <w:tcW w:type="dxa" w:w="3000"/>
            <w:shd w:fill="F7FAF9"/>
            <w:tcMar>
              <w:top w:w="80" w:type="dxa"/>
              <w:start w:w="120" w:type="dxa"/>
              <w:bottom w:w="80" w:type="dxa"/>
              <w:end w:w="120" w:type="dxa"/>
            </w:tcMar>
            <w:vAlign w:val="center"/>
          </w:tcPr>
          <w:p>
            <w:pPr>
              <w:spacing w:after="0" w:line="252" w:lineRule="auto"/>
            </w:pPr>
            <w:r>
              <w:rPr>
                <w:sz w:val="18"/>
              </w:rPr>
              <w:t>Analyse des questions</w:t>
            </w:r>
          </w:p>
        </w:tc>
        <w:tc>
          <w:tcPr>
            <w:tcW w:type="dxa" w:w="1000"/>
            <w:shd w:fill="F7FAF9"/>
            <w:tcMar>
              <w:top w:w="80" w:type="dxa"/>
              <w:start w:w="120" w:type="dxa"/>
              <w:bottom w:w="80" w:type="dxa"/>
              <w:end w:w="120" w:type="dxa"/>
            </w:tcMar>
            <w:vAlign w:val="center"/>
          </w:tcPr>
          <w:p>
            <w:pPr>
              <w:spacing w:after="0" w:line="252" w:lineRule="auto"/>
            </w:pPr>
            <w:r>
              <w:rPr>
                <w:sz w:val="18"/>
              </w:rPr>
              <w:t>20</w:t>
            </w:r>
          </w:p>
        </w:tc>
        <w:tc>
          <w:tcPr>
            <w:tcW w:type="dxa" w:w="5360"/>
            <w:shd w:fill="F7FAF9"/>
            <w:tcMar>
              <w:top w:w="80" w:type="dxa"/>
              <w:start w:w="120" w:type="dxa"/>
              <w:bottom w:w="80" w:type="dxa"/>
              <w:end w:w="120" w:type="dxa"/>
            </w:tcMar>
            <w:vAlign w:val="center"/>
          </w:tcPr>
          <w:p>
            <w:pPr>
              <w:spacing w:after="0" w:line="252" w:lineRule="auto"/>
            </w:pPr>
            <w:r>
              <w:rPr>
                <w:sz w:val="18"/>
              </w:rPr>
              <w:t>Indicateurs, régions, années, opérations, ambiguïtés.</w:t>
            </w:r>
          </w:p>
        </w:tc>
      </w:tr>
      <w:tr>
        <w:tc>
          <w:tcPr>
            <w:tcW w:type="dxa" w:w="3000"/>
            <w:tcMar>
              <w:top w:w="80" w:type="dxa"/>
              <w:start w:w="120" w:type="dxa"/>
              <w:bottom w:w="80" w:type="dxa"/>
              <w:end w:w="120" w:type="dxa"/>
            </w:tcMar>
            <w:vAlign w:val="center"/>
          </w:tcPr>
          <w:p>
            <w:pPr>
              <w:spacing w:after="0" w:line="252" w:lineRule="auto"/>
            </w:pPr>
            <w:r>
              <w:rPr>
                <w:sz w:val="18"/>
              </w:rPr>
              <w:t>Requêtes et exactitude</w:t>
            </w:r>
          </w:p>
        </w:tc>
        <w:tc>
          <w:tcPr>
            <w:tcW w:type="dxa" w:w="1000"/>
            <w:tcMar>
              <w:top w:w="80" w:type="dxa"/>
              <w:start w:w="120" w:type="dxa"/>
              <w:bottom w:w="80" w:type="dxa"/>
              <w:end w:w="120" w:type="dxa"/>
            </w:tcMar>
            <w:vAlign w:val="center"/>
          </w:tcPr>
          <w:p>
            <w:pPr>
              <w:spacing w:after="0" w:line="252" w:lineRule="auto"/>
            </w:pPr>
            <w:r>
              <w:rPr>
                <w:sz w:val="18"/>
              </w:rPr>
              <w:t>20</w:t>
            </w:r>
          </w:p>
        </w:tc>
        <w:tc>
          <w:tcPr>
            <w:tcW w:type="dxa" w:w="5360"/>
            <w:tcMar>
              <w:top w:w="80" w:type="dxa"/>
              <w:start w:w="120" w:type="dxa"/>
              <w:bottom w:w="80" w:type="dxa"/>
              <w:end w:w="120" w:type="dxa"/>
            </w:tcMar>
            <w:vAlign w:val="center"/>
          </w:tcPr>
          <w:p>
            <w:pPr>
              <w:spacing w:after="0" w:line="252" w:lineRule="auto"/>
            </w:pPr>
            <w:r>
              <w:rPr>
                <w:sz w:val="18"/>
              </w:rPr>
              <w:t>ORM sûr, agrégations justes, classement et évolution.</w:t>
            </w:r>
          </w:p>
        </w:tc>
      </w:tr>
      <w:tr>
        <w:tc>
          <w:tcPr>
            <w:tcW w:type="dxa" w:w="3000"/>
            <w:shd w:fill="F7FAF9"/>
            <w:tcMar>
              <w:top w:w="80" w:type="dxa"/>
              <w:start w:w="120" w:type="dxa"/>
              <w:bottom w:w="80" w:type="dxa"/>
              <w:end w:w="120" w:type="dxa"/>
            </w:tcMar>
            <w:vAlign w:val="center"/>
          </w:tcPr>
          <w:p>
            <w:pPr>
              <w:spacing w:after="0" w:line="252" w:lineRule="auto"/>
            </w:pPr>
            <w:r>
              <w:rPr>
                <w:sz w:val="18"/>
              </w:rPr>
              <w:t>API Django</w:t>
            </w:r>
          </w:p>
        </w:tc>
        <w:tc>
          <w:tcPr>
            <w:tcW w:type="dxa" w:w="1000"/>
            <w:shd w:fill="F7FAF9"/>
            <w:tcMar>
              <w:top w:w="80" w:type="dxa"/>
              <w:start w:w="120" w:type="dxa"/>
              <w:bottom w:w="80" w:type="dxa"/>
              <w:end w:w="120" w:type="dxa"/>
            </w:tcMar>
            <w:vAlign w:val="center"/>
          </w:tcPr>
          <w:p>
            <w:pPr>
              <w:spacing w:after="0" w:line="252" w:lineRule="auto"/>
            </w:pPr>
            <w:r>
              <w:rPr>
                <w:sz w:val="18"/>
              </w:rPr>
              <w:t>10</w:t>
            </w:r>
          </w:p>
        </w:tc>
        <w:tc>
          <w:tcPr>
            <w:tcW w:type="dxa" w:w="5360"/>
            <w:shd w:fill="F7FAF9"/>
            <w:tcMar>
              <w:top w:w="80" w:type="dxa"/>
              <w:start w:w="120" w:type="dxa"/>
              <w:bottom w:w="80" w:type="dxa"/>
              <w:end w:w="120" w:type="dxa"/>
            </w:tcMar>
            <w:vAlign w:val="center"/>
          </w:tcPr>
          <w:p>
            <w:pPr>
              <w:spacing w:after="0" w:line="252" w:lineRule="auto"/>
            </w:pPr>
            <w:r>
              <w:rPr>
                <w:sz w:val="18"/>
              </w:rPr>
              <w:t>Contrat JSON stable, erreurs, CSRF, méthodes HTTP.</w:t>
            </w:r>
          </w:p>
        </w:tc>
      </w:tr>
      <w:tr>
        <w:tc>
          <w:tcPr>
            <w:tcW w:type="dxa" w:w="3000"/>
            <w:tcMar>
              <w:top w:w="80" w:type="dxa"/>
              <w:start w:w="120" w:type="dxa"/>
              <w:bottom w:w="80" w:type="dxa"/>
              <w:end w:w="120" w:type="dxa"/>
            </w:tcMar>
            <w:vAlign w:val="center"/>
          </w:tcPr>
          <w:p>
            <w:pPr>
              <w:spacing w:after="0" w:line="252" w:lineRule="auto"/>
            </w:pPr>
            <w:r>
              <w:rPr>
                <w:sz w:val="18"/>
              </w:rPr>
              <w:t>Interface et graphiques</w:t>
            </w:r>
          </w:p>
        </w:tc>
        <w:tc>
          <w:tcPr>
            <w:tcW w:type="dxa" w:w="1000"/>
            <w:tcMar>
              <w:top w:w="80" w:type="dxa"/>
              <w:start w:w="120" w:type="dxa"/>
              <w:bottom w:w="80" w:type="dxa"/>
              <w:end w:w="120" w:type="dxa"/>
            </w:tcMar>
            <w:vAlign w:val="center"/>
          </w:tcPr>
          <w:p>
            <w:pPr>
              <w:spacing w:after="0" w:line="252" w:lineRule="auto"/>
            </w:pPr>
            <w:r>
              <w:rPr>
                <w:sz w:val="18"/>
              </w:rPr>
              <w:t>15</w:t>
            </w:r>
          </w:p>
        </w:tc>
        <w:tc>
          <w:tcPr>
            <w:tcW w:type="dxa" w:w="5360"/>
            <w:tcMar>
              <w:top w:w="80" w:type="dxa"/>
              <w:start w:w="120" w:type="dxa"/>
              <w:bottom w:w="80" w:type="dxa"/>
              <w:end w:w="120" w:type="dxa"/>
            </w:tcMar>
            <w:vAlign w:val="center"/>
          </w:tcPr>
          <w:p>
            <w:pPr>
              <w:spacing w:after="0" w:line="252" w:lineRule="auto"/>
            </w:pPr>
            <w:r>
              <w:rPr>
                <w:sz w:val="18"/>
              </w:rPr>
              <w:t>Dialogue lisible, tableau source, barres/courbes correctes.</w:t>
            </w:r>
          </w:p>
        </w:tc>
      </w:tr>
      <w:tr>
        <w:tc>
          <w:tcPr>
            <w:tcW w:type="dxa" w:w="3000"/>
            <w:shd w:fill="F7FAF9"/>
            <w:tcMar>
              <w:top w:w="80" w:type="dxa"/>
              <w:start w:w="120" w:type="dxa"/>
              <w:bottom w:w="80" w:type="dxa"/>
              <w:end w:w="120" w:type="dxa"/>
            </w:tcMar>
            <w:vAlign w:val="center"/>
          </w:tcPr>
          <w:p>
            <w:pPr>
              <w:spacing w:after="0" w:line="252" w:lineRule="auto"/>
            </w:pPr>
            <w:r>
              <w:rPr>
                <w:sz w:val="18"/>
              </w:rPr>
              <w:t>Tests</w:t>
            </w:r>
          </w:p>
        </w:tc>
        <w:tc>
          <w:tcPr>
            <w:tcW w:type="dxa" w:w="1000"/>
            <w:shd w:fill="F7FAF9"/>
            <w:tcMar>
              <w:top w:w="80" w:type="dxa"/>
              <w:start w:w="120" w:type="dxa"/>
              <w:bottom w:w="80" w:type="dxa"/>
              <w:end w:w="120" w:type="dxa"/>
            </w:tcMar>
            <w:vAlign w:val="center"/>
          </w:tcPr>
          <w:p>
            <w:pPr>
              <w:spacing w:after="0" w:line="252" w:lineRule="auto"/>
            </w:pPr>
            <w:r>
              <w:rPr>
                <w:sz w:val="18"/>
              </w:rPr>
              <w:t>10</w:t>
            </w:r>
          </w:p>
        </w:tc>
        <w:tc>
          <w:tcPr>
            <w:tcW w:type="dxa" w:w="5360"/>
            <w:shd w:fill="F7FAF9"/>
            <w:tcMar>
              <w:top w:w="80" w:type="dxa"/>
              <w:start w:w="120" w:type="dxa"/>
              <w:bottom w:w="80" w:type="dxa"/>
              <w:end w:w="120" w:type="dxa"/>
            </w:tcMar>
            <w:vAlign w:val="center"/>
          </w:tcPr>
          <w:p>
            <w:pPr>
              <w:spacing w:after="0" w:line="252" w:lineRule="auto"/>
            </w:pPr>
            <w:r>
              <w:rPr>
                <w:sz w:val="18"/>
              </w:rPr>
              <w:t>Cas nominaux, limites et hors périmètre.</w:t>
            </w:r>
          </w:p>
        </w:tc>
      </w:tr>
      <w:tr>
        <w:tc>
          <w:tcPr>
            <w:tcW w:type="dxa" w:w="3000"/>
            <w:tcMar>
              <w:top w:w="80" w:type="dxa"/>
              <w:start w:w="120" w:type="dxa"/>
              <w:bottom w:w="80" w:type="dxa"/>
              <w:end w:w="120" w:type="dxa"/>
            </w:tcMar>
            <w:vAlign w:val="center"/>
          </w:tcPr>
          <w:p>
            <w:pPr>
              <w:spacing w:after="0" w:line="252" w:lineRule="auto"/>
            </w:pPr>
            <w:r>
              <w:rPr>
                <w:sz w:val="18"/>
              </w:rPr>
              <w:t>Qualité du code</w:t>
            </w:r>
          </w:p>
        </w:tc>
        <w:tc>
          <w:tcPr>
            <w:tcW w:type="dxa" w:w="1000"/>
            <w:tcMar>
              <w:top w:w="80" w:type="dxa"/>
              <w:start w:w="120" w:type="dxa"/>
              <w:bottom w:w="80" w:type="dxa"/>
              <w:end w:w="120" w:type="dxa"/>
            </w:tcMar>
            <w:vAlign w:val="center"/>
          </w:tcPr>
          <w:p>
            <w:pPr>
              <w:spacing w:after="0" w:line="252" w:lineRule="auto"/>
            </w:pPr>
            <w:r>
              <w:rPr>
                <w:sz w:val="18"/>
              </w:rPr>
              <w:t>5</w:t>
            </w:r>
          </w:p>
        </w:tc>
        <w:tc>
          <w:tcPr>
            <w:tcW w:type="dxa" w:w="5360"/>
            <w:tcMar>
              <w:top w:w="80" w:type="dxa"/>
              <w:start w:w="120" w:type="dxa"/>
              <w:bottom w:w="80" w:type="dxa"/>
              <w:end w:w="120" w:type="dxa"/>
            </w:tcMar>
            <w:vAlign w:val="center"/>
          </w:tcPr>
          <w:p>
            <w:pPr>
              <w:spacing w:after="0" w:line="252" w:lineRule="auto"/>
            </w:pPr>
            <w:r>
              <w:rPr>
                <w:sz w:val="18"/>
              </w:rPr>
              <w:t>Séparation des responsabilités, noms, commentaires utiles.</w:t>
            </w:r>
          </w:p>
        </w:tc>
      </w:tr>
      <w:tr>
        <w:tc>
          <w:tcPr>
            <w:tcW w:type="dxa" w:w="3000"/>
            <w:shd w:fill="F7FAF9"/>
            <w:tcMar>
              <w:top w:w="80" w:type="dxa"/>
              <w:start w:w="120" w:type="dxa"/>
              <w:bottom w:w="80" w:type="dxa"/>
              <w:end w:w="120" w:type="dxa"/>
            </w:tcMar>
            <w:vAlign w:val="center"/>
          </w:tcPr>
          <w:p>
            <w:pPr>
              <w:spacing w:after="0" w:line="252" w:lineRule="auto"/>
            </w:pPr>
            <w:r>
              <w:rPr>
                <w:sz w:val="18"/>
              </w:rPr>
              <w:t>Présentation</w:t>
            </w:r>
          </w:p>
        </w:tc>
        <w:tc>
          <w:tcPr>
            <w:tcW w:type="dxa" w:w="1000"/>
            <w:shd w:fill="F7FAF9"/>
            <w:tcMar>
              <w:top w:w="80" w:type="dxa"/>
              <w:start w:w="120" w:type="dxa"/>
              <w:bottom w:w="80" w:type="dxa"/>
              <w:end w:w="120" w:type="dxa"/>
            </w:tcMar>
            <w:vAlign w:val="center"/>
          </w:tcPr>
          <w:p>
            <w:pPr>
              <w:spacing w:after="0" w:line="252" w:lineRule="auto"/>
            </w:pPr>
            <w:r>
              <w:rPr>
                <w:sz w:val="18"/>
              </w:rPr>
              <w:t>5</w:t>
            </w:r>
          </w:p>
        </w:tc>
        <w:tc>
          <w:tcPr>
            <w:tcW w:type="dxa" w:w="5360"/>
            <w:shd w:fill="F7FAF9"/>
            <w:tcMar>
              <w:top w:w="80" w:type="dxa"/>
              <w:start w:w="120" w:type="dxa"/>
              <w:bottom w:w="80" w:type="dxa"/>
              <w:end w:w="120" w:type="dxa"/>
            </w:tcMar>
            <w:vAlign w:val="center"/>
          </w:tcPr>
          <w:p>
            <w:pPr>
              <w:spacing w:after="0" w:line="252" w:lineRule="auto"/>
            </w:pPr>
            <w:r>
              <w:rPr>
                <w:sz w:val="18"/>
              </w:rPr>
              <w:t>Démonstration claire et avertissement sur les données.</w:t>
            </w:r>
          </w:p>
        </w:tc>
      </w:tr>
    </w:tbl>
    <w:p>
      <w:pPr>
        <w:spacing w:after="0"/>
      </w:pPr>
    </w:p>
    <w:p>
      <w:pPr>
        <w:pStyle w:val="Heading1"/>
      </w:pPr>
      <w:r>
        <w:t>10. Livrables étudiants</w:t>
      </w:r>
    </w:p>
    <w:p>
      <w:pPr>
        <w:pStyle w:val="ListBullet"/>
      </w:pPr>
      <w:r>
        <w:t>Le projet Django exécutable, sans environnement virtuel ni secret.</w:t>
      </w:r>
    </w:p>
    <w:p>
      <w:pPr>
        <w:pStyle w:val="ListBullet"/>
      </w:pPr>
      <w:r>
        <w:t>Un fichier README avec installation, import des données et exemples de questions.</w:t>
      </w:r>
    </w:p>
    <w:p>
      <w:pPr>
        <w:pStyle w:val="ListBullet"/>
      </w:pPr>
      <w:r>
        <w:t>Au moins huit tests automatisés.</w:t>
      </w:r>
    </w:p>
    <w:p>
      <w:pPr>
        <w:pStyle w:val="ListBullet"/>
      </w:pPr>
      <w:r>
        <w:t>Trois captures d’écran : réponse simple, comparaison et évolution.</w:t>
      </w:r>
    </w:p>
    <w:p>
      <w:pPr>
        <w:pStyle w:val="ListBullet"/>
      </w:pPr>
      <w:r>
        <w:t>Une courte note expliquant les limites et les améliorations possibles.</w:t>
      </w:r>
    </w:p>
    <w:p>
      <w:pPr>
        <w:pStyle w:val="Heading1"/>
      </w:pPr>
      <w:r>
        <w:t>11. Critères de réussite technique</w:t>
      </w:r>
    </w:p>
    <w:p>
      <w:pPr>
        <w:pStyle w:val="ListBullet"/>
      </w:pPr>
      <w:r>
        <w:t>☐ L’import crée exactement 70 couples région–année.</w:t>
      </w:r>
    </w:p>
    <w:p>
      <w:pPr>
        <w:pStyle w:val="ListBullet"/>
      </w:pPr>
      <w:r>
        <w:t>☐ Une seconde exécution de l’import ne crée aucun doublon.</w:t>
      </w:r>
    </w:p>
    <w:p>
      <w:pPr>
        <w:pStyle w:val="ListBullet"/>
      </w:pPr>
      <w:r>
        <w:t>☐ Toutes les valeurs de pourcentage sont validées entre 0 et 100.</w:t>
      </w:r>
    </w:p>
    <w:p>
      <w:pPr>
        <w:pStyle w:val="ListBullet"/>
      </w:pPr>
      <w:r>
        <w:t>☐ Aucun SQL issu du texte utilisateur n’est exécuté.</w:t>
      </w:r>
    </w:p>
    <w:p>
      <w:pPr>
        <w:pStyle w:val="ListBullet"/>
      </w:pPr>
      <w:r>
        <w:t>☐ Les graphiques utilisent exactement les mêmes valeurs que le tableau affiché.</w:t>
      </w:r>
    </w:p>
    <w:p>
      <w:pPr>
        <w:pStyle w:val="ListBullet"/>
      </w:pPr>
      <w:r>
        <w:t>☐ Les questions ambiguës ne déclenchent pas une réponse inventée.</w:t>
      </w:r>
    </w:p>
    <w:p>
      <w:pPr>
        <w:pStyle w:val="ListBullet"/>
      </w:pPr>
      <w:r>
        <w:t>☐ L’application fonctionne sans service IA externe grâce au mode déterministe.</w:t>
      </w:r>
    </w:p>
    <w:p>
      <w:pPr>
        <w:pStyle w:val="Heading1"/>
      </w:pPr>
      <w:r>
        <w:t>12. Pistes d’extension</w:t>
      </w:r>
    </w:p>
    <w:p>
      <w:pPr>
        <w:pStyle w:val="ListBullet"/>
      </w:pPr>
      <w:r>
        <w:t>Ajouter un filtre par période et l’export PNG/CSV du résultat.</w:t>
      </w:r>
    </w:p>
    <w:p>
      <w:pPr>
        <w:pStyle w:val="ListBullet"/>
      </w:pPr>
      <w:r>
        <w:t>Mémoriser localement l’historique de la conversation.</w:t>
      </w:r>
    </w:p>
    <w:p>
      <w:pPr>
        <w:pStyle w:val="ListBullet"/>
      </w:pPr>
      <w:r>
        <w:t>Ajouter d’autres indicateurs et un dictionnaire administrable.</w:t>
      </w:r>
    </w:p>
    <w:p>
      <w:pPr>
        <w:pStyle w:val="ListBullet"/>
      </w:pPr>
      <w:r>
        <w:t>Produire une carte choroplèthe après ajout de géométries régionales.</w:t>
      </w:r>
    </w:p>
    <w:p>
      <w:pPr>
        <w:pStyle w:val="ListBullet"/>
      </w:pPr>
      <w:r>
        <w:t>Ajouter une authentification et des quotas par utilisateur.</w:t>
      </w:r>
    </w:p>
    <w:p>
      <w:pPr>
        <w:pStyle w:val="ListBullet"/>
      </w:pPr>
      <w:r>
        <w:t>Connecter ultérieurement une API ou un entrepôt officiel avec traçabilité des sources.</w:t>
      </w:r>
    </w:p>
    <w:p/>
    <w:p>
      <w:pPr>
        <w:jc w:val="center"/>
      </w:pPr>
      <w:r>
        <w:rPr>
          <w:b/>
          <w:color w:val="0B6E4F"/>
        </w:rPr>
        <w:t>Fin du lab • Concevoir des réponses utiles, traçables et prudentes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66"/>
        <w:sz w:val="16"/>
      </w:rPr>
      <w:t xml:space="preserve">Données pédagogiques fictives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F6B66"/>
        <w:sz w:val="17"/>
      </w:rPr>
      <w:t>LAB DJANGO • AGENT IA STATISTIQUE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3E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val="0"/>
      <w:color w:val="0B6E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ind w:left="259"/>
    </w:pPr>
    <w:rPr>
      <w:rFonts w:ascii="Consolas" w:hAnsi="Consolas"/>
      <w:color w:val="173E3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