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23"/>
        <w:gridCol w:w="3969"/>
      </w:tblGrid>
      <w:tr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52000" cy="51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51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rFonts w:ascii="Liberation Sans" w:hAnsi="Liberation Sans"/>
                <w:b/>
                <w:color w:val="0B183D"/>
                <w:sz w:val="38"/>
              </w:rPr>
              <w:t>QUOTATION</w:t>
            </w:r>
          </w:p>
          <w:p>
            <w:pPr>
              <w:keepNext w:val="0"/>
              <w:spacing w:before="20" w:after="0" w:line="240" w:lineRule="auto"/>
              <w:jc w:val="right"/>
            </w:pPr>
            <w:r>
              <w:rPr>
                <w:rFonts w:ascii="Liberation Sans" w:hAnsi="Liberation Sans"/>
                <w:b/>
                <w:color w:val="0877FF"/>
                <w:sz w:val="16"/>
              </w:rPr>
              <w:t>LANGGANAN TAHUNAN</w:t>
            </w:r>
          </w:p>
        </w:tc>
      </w:tr>
    </w:tbl>
    <w:p>
      <w:pPr>
        <w:keepNext w:val="0"/>
        <w:spacing w:before="100" w:after="160" w:line="240" w:lineRule="auto"/>
        <w:pBdr>
          <w:bottom w:val="single" w:sz="14" w:color="0877FF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710"/>
      </w:tblGrid>
      <w:tr>
        <w:trPr>
          <w:trHeight w:val="408"/>
        </w:trPr>
        <w:tc>
          <w:tcPr>
            <w:tcW w:type="dxa" w:w="5046"/>
            <w:shd w:fill="F3F7FC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6" w:color="DCE4F0"/>
              <w:bottom w:val="single" w:sz="6" w:color="DCE4F0"/>
              <w:start w:val="single" w:sz="6" w:color="DCE4F0"/>
              <w:end w:val="single" w:sz="6" w:color="DCE4F0"/>
            </w:tcBorders>
          </w:tcPr>
          <w:p>
            <w:r>
              <w:rPr>
                <w:rFonts w:ascii="Liberation Sans" w:hAnsi="Liberation Sans"/>
                <w:b/>
                <w:color w:val="68758A"/>
                <w:sz w:val="17"/>
              </w:rPr>
              <w:t>Nomor penawaran</w:t>
            </w:r>
          </w:p>
        </w:tc>
        <w:tc>
          <w:tcPr>
            <w:tcW w:type="dxa" w:w="5046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6" w:color="DCE4F0"/>
              <w:bottom w:val="single" w:sz="6" w:color="DCE4F0"/>
              <w:start w:val="single" w:sz="6" w:color="DCE4F0"/>
              <w:end w:val="single" w:sz="6" w:color="DCE4F0"/>
            </w:tcBorders>
          </w:tcPr>
          <w:p>
            <w:r>
              <w:rPr>
                <w:rFonts w:ascii="Liberation Sans" w:hAnsi="Liberation Sans"/>
                <w:b/>
                <w:color w:val="0B183D"/>
                <w:sz w:val="18"/>
              </w:rPr>
              <w:t>QTN/MAVAPOS/VII/2026/001</w:t>
            </w:r>
          </w:p>
        </w:tc>
      </w:tr>
      <w:tr>
        <w:trPr>
          <w:trHeight w:val="408"/>
        </w:trPr>
        <w:tc>
          <w:tcPr>
            <w:tcW w:type="dxa" w:w="5046"/>
            <w:shd w:fill="F3F7FC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6" w:color="DCE4F0"/>
              <w:bottom w:val="single" w:sz="6" w:color="DCE4F0"/>
              <w:start w:val="single" w:sz="6" w:color="DCE4F0"/>
              <w:end w:val="single" w:sz="6" w:color="DCE4F0"/>
            </w:tcBorders>
          </w:tcPr>
          <w:p>
            <w:r>
              <w:rPr>
                <w:rFonts w:ascii="Liberation Sans" w:hAnsi="Liberation Sans"/>
                <w:b/>
                <w:color w:val="68758A"/>
                <w:sz w:val="17"/>
              </w:rPr>
              <w:t>Tanggal</w:t>
            </w:r>
          </w:p>
        </w:tc>
        <w:tc>
          <w:tcPr>
            <w:tcW w:type="dxa" w:w="5046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6" w:color="DCE4F0"/>
              <w:bottom w:val="single" w:sz="6" w:color="DCE4F0"/>
              <w:start w:val="single" w:sz="6" w:color="DCE4F0"/>
              <w:end w:val="single" w:sz="6" w:color="DCE4F0"/>
            </w:tcBorders>
          </w:tcPr>
          <w:p>
            <w:r>
              <w:rPr>
                <w:rFonts w:ascii="Liberation Sans" w:hAnsi="Liberation Sans"/>
                <w:b/>
                <w:color w:val="0B183D"/>
                <w:sz w:val="18"/>
              </w:rPr>
              <w:t>14 Juli 2026</w:t>
            </w:r>
          </w:p>
        </w:tc>
      </w:tr>
      <w:tr>
        <w:trPr>
          <w:trHeight w:val="408"/>
        </w:trPr>
        <w:tc>
          <w:tcPr>
            <w:tcW w:type="dxa" w:w="5046"/>
            <w:shd w:fill="F3F7FC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6" w:color="DCE4F0"/>
              <w:bottom w:val="single" w:sz="6" w:color="DCE4F0"/>
              <w:start w:val="single" w:sz="6" w:color="DCE4F0"/>
              <w:end w:val="single" w:sz="6" w:color="DCE4F0"/>
            </w:tcBorders>
          </w:tcPr>
          <w:p>
            <w:r>
              <w:rPr>
                <w:rFonts w:ascii="Liberation Sans" w:hAnsi="Liberation Sans"/>
                <w:b/>
                <w:color w:val="68758A"/>
                <w:sz w:val="17"/>
              </w:rPr>
              <w:t>Ditujukan kepada</w:t>
            </w:r>
          </w:p>
        </w:tc>
        <w:tc>
          <w:tcPr>
            <w:tcW w:type="dxa" w:w="5046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  <w:tcBorders>
              <w:top w:val="single" w:sz="6" w:color="DCE4F0"/>
              <w:bottom w:val="single" w:sz="6" w:color="DCE4F0"/>
              <w:start w:val="single" w:sz="6" w:color="DCE4F0"/>
              <w:end w:val="single" w:sz="6" w:color="DCE4F0"/>
            </w:tcBorders>
          </w:tcPr>
          <w:p>
            <w:r>
              <w:rPr>
                <w:rFonts w:ascii="Liberation Sans" w:hAnsi="Liberation Sans"/>
                <w:b/>
                <w:color w:val="0B183D"/>
                <w:sz w:val="18"/>
              </w:rPr>
              <w:t>MELT</w:t>
            </w:r>
          </w:p>
        </w:tc>
      </w:tr>
    </w:tbl>
    <w:p>
      <w:pPr>
        <w:keepNext w:val="0"/>
        <w:spacing w:before="200" w:after="140" w:line="269" w:lineRule="auto"/>
      </w:pPr>
      <w:r>
        <w:rPr>
          <w:rFonts w:ascii="Liberation Sans" w:hAnsi="Liberation Sans"/>
          <w:b w:val="0"/>
          <w:color w:val="26334D"/>
          <w:sz w:val="19"/>
        </w:rPr>
        <w:t>MAVAPOS menawarkan langganan aplikasi kasir dan operasional toko selama 12 bulan. Paket ini mencakup akses sistem, aktivasi akun, konfigurasi awal, onboarding dasar, dan dukungan standar selama masa berlangganan.</w:t>
      </w:r>
    </w:p>
    <w:p>
      <w:pPr>
        <w:keepNext/>
        <w:spacing w:before="100" w:after="80" w:line="240" w:lineRule="auto"/>
      </w:pPr>
      <w:r>
        <w:rPr>
          <w:rFonts w:ascii="Liberation Sans" w:hAnsi="Liberation Sans"/>
          <w:b/>
          <w:color w:val="0B183D"/>
          <w:sz w:val="23"/>
        </w:rPr>
        <w:t>Rincian Penawaran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2"/>
        <w:gridCol w:w="1134"/>
        <w:gridCol w:w="1814"/>
        <w:gridCol w:w="1871"/>
      </w:tblGrid>
      <w:tr>
        <w:tc>
          <w:tcPr>
            <w:tcW w:type="dxa" w:w="2523"/>
            <w:shd w:fill="0B183D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Layanan</w:t>
            </w:r>
          </w:p>
        </w:tc>
        <w:tc>
          <w:tcPr>
            <w:tcW w:type="dxa" w:w="2523"/>
            <w:shd w:fill="0B183D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Periode</w:t>
            </w:r>
          </w:p>
        </w:tc>
        <w:tc>
          <w:tcPr>
            <w:tcW w:type="dxa" w:w="2523"/>
            <w:shd w:fill="0B183D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Harga</w:t>
            </w:r>
          </w:p>
        </w:tc>
        <w:tc>
          <w:tcPr>
            <w:tcW w:type="dxa" w:w="2523"/>
            <w:shd w:fill="0B183D"/>
            <w:tcMar>
              <w:top w:w="115" w:type="dxa"/>
              <w:start w:w="120" w:type="dxa"/>
              <w:bottom w:w="115" w:type="dxa"/>
              <w:end w:w="12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Jumlah</w:t>
            </w:r>
          </w:p>
        </w:tc>
      </w:tr>
      <w:tr>
        <w:trPr>
          <w:cantSplit/>
        </w:trPr>
        <w:tc>
          <w:tcPr>
            <w:tcW w:type="dxa" w:w="2523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bottom w:val="single" w:sz="6" w:color="DCE4F0"/>
              <w:start w:val="single" w:sz="6" w:color="DCE4F0"/>
              <w:end w:val="single" w:sz="6" w:color="DCE4F0"/>
            </w:tcBorders>
          </w:tcPr>
          <w:p>
            <w:r>
              <w:rPr>
                <w:rFonts w:ascii="Liberation Sans" w:hAnsi="Liberation Sans"/>
                <w:b/>
                <w:color w:val="0B183D"/>
                <w:sz w:val="18"/>
              </w:rPr>
              <w:t>Langganan MavaPOS</w:t>
            </w:r>
          </w:p>
        </w:tc>
        <w:tc>
          <w:tcPr>
            <w:tcW w:type="dxa" w:w="2523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bottom w:val="single" w:sz="6" w:color="DCE4F0"/>
              <w:start w:val="single" w:sz="6" w:color="DCE4F0"/>
              <w:end w:val="single" w:sz="6" w:color="DCE4F0"/>
            </w:tcBorders>
          </w:tcPr>
          <w:p>
            <w:r>
              <w:rPr>
                <w:rFonts w:ascii="Liberation Sans" w:hAnsi="Liberation Sans"/>
                <w:b w:val="0"/>
                <w:color w:val="26334D"/>
                <w:sz w:val="18"/>
              </w:rPr>
              <w:t>1 tahun</w:t>
            </w:r>
          </w:p>
        </w:tc>
        <w:tc>
          <w:tcPr>
            <w:tcW w:type="dxa" w:w="2523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bottom w:val="single" w:sz="6" w:color="DCE4F0"/>
              <w:start w:val="single" w:sz="6" w:color="DCE4F0"/>
              <w:end w:val="single" w:sz="6" w:color="DCE4F0"/>
            </w:tcBorders>
          </w:tcPr>
          <w:p>
            <w:pPr>
              <w:jc w:val="right"/>
            </w:pPr>
            <w:r>
              <w:rPr>
                <w:rFonts w:ascii="Liberation Sans" w:hAnsi="Liberation Sans"/>
                <w:b w:val="0"/>
                <w:color w:val="26334D"/>
                <w:sz w:val="18"/>
              </w:rPr>
              <w:t>Rp4.000.000</w:t>
            </w:r>
          </w:p>
        </w:tc>
        <w:tc>
          <w:tcPr>
            <w:tcW w:type="dxa" w:w="2523"/>
            <w:vAlign w:val="center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bottom w:val="single" w:sz="6" w:color="DCE4F0"/>
              <w:start w:val="single" w:sz="6" w:color="DCE4F0"/>
              <w:end w:val="single" w:sz="6" w:color="DCE4F0"/>
            </w:tcBorders>
          </w:tcPr>
          <w:p>
            <w:pPr>
              <w:jc w:val="right"/>
            </w:pPr>
            <w:r>
              <w:rPr>
                <w:rFonts w:ascii="Liberation Sans" w:hAnsi="Liberation Sans"/>
                <w:b/>
                <w:color w:val="0B183D"/>
                <w:sz w:val="18"/>
              </w:rPr>
              <w:t>Rp4.000.000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04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right"/>
            </w:pPr>
            <w:r>
              <w:rPr>
                <w:rFonts w:ascii="Liberation Sans" w:hAnsi="Liberation Sans"/>
                <w:b/>
                <w:color w:val="68758A"/>
                <w:sz w:val="18"/>
              </w:rPr>
              <w:t>TOTAL NETT</w:t>
            </w:r>
          </w:p>
        </w:tc>
        <w:tc>
          <w:tcPr>
            <w:tcW w:type="dxa" w:w="5046"/>
            <w:shd w:fill="0877F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right"/>
            </w:pPr>
            <w:r>
              <w:rPr>
                <w:rFonts w:ascii="Liberation Sans" w:hAnsi="Liberation Sans"/>
                <w:b/>
                <w:color w:val="FFFFFF"/>
                <w:sz w:val="27"/>
              </w:rPr>
              <w:t>Rp4.000.000</w:t>
            </w:r>
          </w:p>
        </w:tc>
      </w:tr>
    </w:tbl>
    <w:p>
      <w:pPr>
        <w:keepNext w:val="0"/>
        <w:spacing w:before="120" w:after="160" w:line="240" w:lineRule="auto"/>
      </w:pPr>
      <w:r>
        <w:rPr>
          <w:rFonts w:ascii="Liberation Sans" w:hAnsi="Liberation Sans"/>
          <w:b/>
          <w:color w:val="0877FF"/>
          <w:sz w:val="17"/>
        </w:rPr>
        <w:t>Harga di atas bersifat nett dan masih dapat dinegosiasikan berdasarkan kesepakatan komersial dengan MELT.</w:t>
      </w:r>
    </w:p>
    <w:p>
      <w:pPr>
        <w:keepNext/>
        <w:spacing w:before="60" w:after="80" w:line="240" w:lineRule="auto"/>
      </w:pPr>
      <w:r>
        <w:rPr>
          <w:rFonts w:ascii="Liberation Sans" w:hAnsi="Liberation Sans"/>
          <w:b/>
          <w:color w:val="0B183D"/>
          <w:sz w:val="23"/>
        </w:rPr>
        <w:t>Ketentuan Komersial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824"/>
      </w:tblGrid>
      <w:tr>
        <w:trPr>
          <w:cantSplit/>
        </w:trPr>
        <w:tc>
          <w:tcPr>
            <w:tcW w:type="dxa" w:w="5046"/>
            <w:shd w:fill="F3F7FC"/>
            <w:tcMar>
              <w:top w:w="75" w:type="dxa"/>
              <w:start w:w="110" w:type="dxa"/>
              <w:bottom w:w="75" w:type="dxa"/>
              <w:end w:w="11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/>
                <w:color w:val="0B183D"/>
                <w:sz w:val="16"/>
              </w:rPr>
              <w:t>Masa langganan</w:t>
            </w:r>
          </w:p>
        </w:tc>
        <w:tc>
          <w:tcPr>
            <w:tcW w:type="dxa" w:w="5046"/>
            <w:tcMar>
              <w:top w:w="75" w:type="dxa"/>
              <w:start w:w="110" w:type="dxa"/>
              <w:bottom w:w="75" w:type="dxa"/>
              <w:end w:w="11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 w:val="0"/>
                <w:color w:val="26334D"/>
                <w:sz w:val="16"/>
              </w:rPr>
              <w:t>12 bulan sejak tanggal aktivasi.</w:t>
            </w:r>
          </w:p>
        </w:tc>
      </w:tr>
      <w:tr>
        <w:trPr>
          <w:cantSplit/>
        </w:trPr>
        <w:tc>
          <w:tcPr>
            <w:tcW w:type="dxa" w:w="5046"/>
            <w:shd w:fill="F3F7FC"/>
            <w:tcMar>
              <w:top w:w="75" w:type="dxa"/>
              <w:start w:w="110" w:type="dxa"/>
              <w:bottom w:w="75" w:type="dxa"/>
              <w:end w:w="11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/>
                <w:color w:val="0B183D"/>
                <w:sz w:val="16"/>
              </w:rPr>
              <w:t>Pembayaran</w:t>
            </w:r>
          </w:p>
        </w:tc>
        <w:tc>
          <w:tcPr>
            <w:tcW w:type="dxa" w:w="5046"/>
            <w:tcMar>
              <w:top w:w="75" w:type="dxa"/>
              <w:start w:w="110" w:type="dxa"/>
              <w:bottom w:w="75" w:type="dxa"/>
              <w:end w:w="11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 w:val="0"/>
                <w:color w:val="26334D"/>
                <w:sz w:val="16"/>
              </w:rPr>
              <w:t>Pembayaran tahunan dilakukan di muka.</w:t>
            </w:r>
          </w:p>
        </w:tc>
      </w:tr>
      <w:tr>
        <w:trPr>
          <w:cantSplit/>
        </w:trPr>
        <w:tc>
          <w:tcPr>
            <w:tcW w:type="dxa" w:w="5046"/>
            <w:shd w:fill="F3F7FC"/>
            <w:tcMar>
              <w:top w:w="75" w:type="dxa"/>
              <w:start w:w="110" w:type="dxa"/>
              <w:bottom w:w="75" w:type="dxa"/>
              <w:end w:w="11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/>
                <w:color w:val="0B183D"/>
                <w:sz w:val="16"/>
              </w:rPr>
              <w:t>Masa berlaku</w:t>
            </w:r>
          </w:p>
        </w:tc>
        <w:tc>
          <w:tcPr>
            <w:tcW w:type="dxa" w:w="5046"/>
            <w:tcMar>
              <w:top w:w="75" w:type="dxa"/>
              <w:start w:w="110" w:type="dxa"/>
              <w:bottom w:w="75" w:type="dxa"/>
              <w:end w:w="11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 w:val="0"/>
                <w:color w:val="26334D"/>
                <w:sz w:val="16"/>
              </w:rPr>
              <w:t>Penawaran berlaku selama 14 hari kalender sejak tanggal dokumen.</w:t>
            </w:r>
          </w:p>
        </w:tc>
      </w:tr>
      <w:tr>
        <w:trPr>
          <w:cantSplit/>
        </w:trPr>
        <w:tc>
          <w:tcPr>
            <w:tcW w:type="dxa" w:w="5046"/>
            <w:shd w:fill="F3F7FC"/>
            <w:tcMar>
              <w:top w:w="75" w:type="dxa"/>
              <w:start w:w="110" w:type="dxa"/>
              <w:bottom w:w="75" w:type="dxa"/>
              <w:end w:w="11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/>
                <w:color w:val="0B183D"/>
                <w:sz w:val="16"/>
              </w:rPr>
              <w:t>Termasuk</w:t>
            </w:r>
          </w:p>
        </w:tc>
        <w:tc>
          <w:tcPr>
            <w:tcW w:type="dxa" w:w="5046"/>
            <w:tcMar>
              <w:top w:w="75" w:type="dxa"/>
              <w:start w:w="110" w:type="dxa"/>
              <w:bottom w:w="75" w:type="dxa"/>
              <w:end w:w="11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 w:val="0"/>
                <w:color w:val="26334D"/>
                <w:sz w:val="16"/>
              </w:rPr>
              <w:t>Aktivasi akun, konfigurasi awal, onboarding dasar, dan dukungan standar.</w:t>
            </w:r>
          </w:p>
        </w:tc>
      </w:tr>
      <w:tr>
        <w:trPr>
          <w:cantSplit/>
        </w:trPr>
        <w:tc>
          <w:tcPr>
            <w:tcW w:type="dxa" w:w="5046"/>
            <w:shd w:fill="F3F7FC"/>
            <w:tcMar>
              <w:top w:w="75" w:type="dxa"/>
              <w:start w:w="110" w:type="dxa"/>
              <w:bottom w:w="75" w:type="dxa"/>
              <w:end w:w="11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/>
                <w:color w:val="0B183D"/>
                <w:sz w:val="16"/>
              </w:rPr>
              <w:t>Tidak termasuk</w:t>
            </w:r>
          </w:p>
        </w:tc>
        <w:tc>
          <w:tcPr>
            <w:tcW w:type="dxa" w:w="5046"/>
            <w:tcMar>
              <w:top w:w="75" w:type="dxa"/>
              <w:start w:w="110" w:type="dxa"/>
              <w:bottom w:w="75" w:type="dxa"/>
              <w:end w:w="11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 w:val="0"/>
                <w:color w:val="26334D"/>
                <w:sz w:val="16"/>
              </w:rPr>
              <w:t>Perangkat kasir/printer, kertas, jaringan, biaya layanan pihak ketiga, integrasi khusus, pengembangan fitur khusus, dan pekerjaan on-site.</w:t>
            </w:r>
          </w:p>
        </w:tc>
      </w:tr>
    </w:tbl>
    <w:p>
      <w:pPr>
        <w:keepNext w:val="0"/>
        <w:spacing w:before="180" w:after="0" w:line="259" w:lineRule="auto"/>
      </w:pPr>
      <w:r>
        <w:rPr>
          <w:rFonts w:ascii="Liberation Sans" w:hAnsi="Liberation Sans"/>
          <w:b w:val="0"/>
          <w:color w:val="68758A"/>
          <w:sz w:val="18"/>
        </w:rPr>
        <w:t>Kami berharap penawaran ini dapat mendukung operasional MELT dengan proses kasir, stok, dan laporan yang lebih terintegrasi.</w:t>
      </w:r>
    </w:p>
    <w:p>
      <w:r>
        <w:br w:type="page"/>
      </w:r>
    </w:p>
    <w:p>
      <w:pPr>
        <w:keepNext/>
        <w:spacing w:before="0" w:after="40" w:line="240" w:lineRule="auto"/>
      </w:pPr>
      <w:r>
        <w:rPr>
          <w:rFonts w:ascii="Liberation Sans" w:hAnsi="Liberation Sans"/>
          <w:b/>
          <w:color w:val="0B183D"/>
          <w:sz w:val="38"/>
        </w:rPr>
        <w:t>Fitur yang Termasuk</w:t>
      </w:r>
    </w:p>
    <w:p>
      <w:pPr>
        <w:keepNext w:val="0"/>
        <w:spacing w:before="0" w:after="160" w:line="259" w:lineRule="auto"/>
      </w:pPr>
      <w:r>
        <w:rPr>
          <w:rFonts w:ascii="Liberation Sans" w:hAnsi="Liberation Sans"/>
          <w:b w:val="0"/>
          <w:color w:val="68758A"/>
          <w:sz w:val="18"/>
        </w:rPr>
        <w:t>Akses selama 12 bulan untuk modul MavaPOS berikut, sesuai konfigurasi akun dan peran pengguna.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257"/>
      </w:tblGrid>
      <w:tr>
        <w:trPr>
          <w:tblHeader w:val="true"/>
        </w:trPr>
        <w:tc>
          <w:tcPr>
            <w:tcW w:type="dxa" w:w="5046"/>
            <w:shd w:fill="0B183D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Kelompok fitur</w:t>
            </w:r>
          </w:p>
        </w:tc>
        <w:tc>
          <w:tcPr>
            <w:tcW w:type="dxa" w:w="5046"/>
            <w:shd w:fill="0B183D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Cakupan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7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/>
                <w:color w:val="0B183D"/>
                <w:sz w:val="16"/>
              </w:rPr>
              <w:t>Dashboard dan monitoring</w:t>
            </w:r>
          </w:p>
        </w:tc>
        <w:tc>
          <w:tcPr>
            <w:tcW w:type="dxa" w:w="7257"/>
            <w:vAlign w:val="center"/>
            <w:shd w:fill="F3F7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 w:val="0"/>
                <w:color w:val="26334D"/>
                <w:sz w:val="16"/>
              </w:rPr>
              <w:t>Metrik operasional toko, aktivitas terbaru, pencarian global, dan notifikasi yang memerlukan perhatian.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/>
                <w:color w:val="0B183D"/>
                <w:sz w:val="16"/>
              </w:rPr>
              <w:t>Kasir dan penjualan</w:t>
            </w:r>
          </w:p>
        </w:tc>
        <w:tc>
          <w:tcPr>
            <w:tcW w:type="dxa" w:w="7257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 w:val="0"/>
                <w:color w:val="26334D"/>
                <w:sz w:val="16"/>
              </w:rPr>
              <w:t>POS berbasis web, pencarian produk/kategori, keranjang, pembayaran tunai/QRIS/kartu, perhitungan kembalian, shift kasir, riwayat penjualan, dan customer display.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7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/>
                <w:color w:val="0B183D"/>
                <w:sz w:val="16"/>
              </w:rPr>
              <w:t>Produk dan inventori</w:t>
            </w:r>
          </w:p>
        </w:tc>
        <w:tc>
          <w:tcPr>
            <w:tcW w:type="dxa" w:w="7257"/>
            <w:vAlign w:val="center"/>
            <w:shd w:fill="F3F7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 w:val="0"/>
                <w:color w:val="26334D"/>
                <w:sz w:val="16"/>
              </w:rPr>
              <w:t>Produk, kategori, varian, SKU/barcode, harga beli/jual, stok minimum, histori stok masuk/keluar, stok per cabang, transfer stok, dan purchase order.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/>
                <w:color w:val="0B183D"/>
                <w:sz w:val="16"/>
              </w:rPr>
              <w:t>Operasional F&amp;B</w:t>
            </w:r>
          </w:p>
        </w:tc>
        <w:tc>
          <w:tcPr>
            <w:tcW w:type="dxa" w:w="7257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 w:val="0"/>
                <w:color w:val="26334D"/>
                <w:sz w:val="16"/>
              </w:rPr>
              <w:t>Master bahan baku dan resep produk dengan pengurangan stok bahan berdasarkan transaksi.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7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/>
                <w:color w:val="0B183D"/>
                <w:sz w:val="16"/>
              </w:rPr>
              <w:t>Keuangan dan laporan</w:t>
            </w:r>
          </w:p>
        </w:tc>
        <w:tc>
          <w:tcPr>
            <w:tcW w:type="dxa" w:w="7257"/>
            <w:vAlign w:val="center"/>
            <w:shd w:fill="F3F7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 w:val="0"/>
                <w:color w:val="26334D"/>
                <w:sz w:val="16"/>
              </w:rPr>
              <w:t>Pencatatan pengeluaran, ringkasan penjualan/inventori/pengeluaran, performa kasir, estimasi profit, dan laporan PDF.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/>
                <w:color w:val="0B183D"/>
                <w:sz w:val="16"/>
              </w:rPr>
              <w:t>Administrasi</w:t>
            </w:r>
          </w:p>
        </w:tc>
        <w:tc>
          <w:tcPr>
            <w:tcW w:type="dxa" w:w="7257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 w:val="0"/>
                <w:color w:val="26334D"/>
                <w:sz w:val="16"/>
              </w:rPr>
              <w:t>Cabang, user dan role owner/admin/kasir/gudang, identitas toko, pengaturan struk, jalur printer, dark mode, dan dukungan PWA.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7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/>
                <w:color w:val="0B183D"/>
                <w:sz w:val="16"/>
              </w:rPr>
              <w:t>Operasional langganan</w:t>
            </w:r>
          </w:p>
        </w:tc>
        <w:tc>
          <w:tcPr>
            <w:tcW w:type="dxa" w:w="7257"/>
            <w:vAlign w:val="center"/>
            <w:shd w:fill="F3F7FC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bottom w:val="single" w:sz="5" w:color="DCE4F0"/>
            </w:tcBorders>
          </w:tcPr>
          <w:p>
            <w:r>
              <w:rPr>
                <w:rFonts w:ascii="Liberation Sans" w:hAnsi="Liberation Sans"/>
                <w:b w:val="0"/>
                <w:color w:val="26334D"/>
                <w:sz w:val="16"/>
              </w:rPr>
              <w:t>Billing QRIS melalui Pakasir, refresh status pembayaran, dan pembaruan status melalui webhook.</w:t>
            </w:r>
          </w:p>
        </w:tc>
      </w:tr>
    </w:tbl>
    <w:p>
      <w:pPr>
        <w:keepNext/>
        <w:spacing w:before="200" w:after="100" w:line="240" w:lineRule="auto"/>
      </w:pPr>
      <w:r>
        <w:rPr>
          <w:rFonts w:ascii="Liberation Sans" w:hAnsi="Liberation Sans"/>
          <w:b/>
          <w:color w:val="0B183D"/>
          <w:sz w:val="23"/>
        </w:rPr>
        <w:t>Tahapan Aktivasi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F3F7FC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6" w:color="DCE4F0"/>
              <w:bottom w:val="single" w:sz="6" w:color="DCE4F0"/>
              <w:start w:val="single" w:sz="6" w:color="DCE4F0"/>
              <w:end w:val="single" w:sz="6" w:color="DCE4F0"/>
            </w:tcBorders>
          </w:tcPr>
          <w:p>
            <w:pPr>
              <w:keepNext w:val="0"/>
              <w:spacing w:before="0" w:after="20" w:line="240" w:lineRule="auto"/>
              <w:jc w:val="left"/>
            </w:pPr>
            <w:r>
              <w:rPr>
                <w:rFonts w:ascii="Liberation Sans" w:hAnsi="Liberation Sans"/>
                <w:b/>
                <w:color w:val="0877FF"/>
                <w:sz w:val="16"/>
              </w:rPr>
              <w:t>01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0B183D"/>
                <w:sz w:val="16"/>
              </w:rPr>
              <w:t>Kesepakatan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68758A"/>
                <w:sz w:val="14"/>
              </w:rPr>
              <w:t>Konfirmasi ruang lingkup dan nilai akhir.</w:t>
            </w:r>
          </w:p>
        </w:tc>
        <w:tc>
          <w:tcPr>
            <w:tcW w:type="dxa" w:w="2018"/>
            <w:shd w:fill="F3F7FC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6" w:color="DCE4F0"/>
              <w:bottom w:val="single" w:sz="6" w:color="DCE4F0"/>
              <w:start w:val="single" w:sz="6" w:color="DCE4F0"/>
              <w:end w:val="single" w:sz="6" w:color="DCE4F0"/>
            </w:tcBorders>
          </w:tcPr>
          <w:p>
            <w:pPr>
              <w:keepNext w:val="0"/>
              <w:spacing w:before="0" w:after="20" w:line="240" w:lineRule="auto"/>
              <w:jc w:val="left"/>
            </w:pPr>
            <w:r>
              <w:rPr>
                <w:rFonts w:ascii="Liberation Sans" w:hAnsi="Liberation Sans"/>
                <w:b/>
                <w:color w:val="0877FF"/>
                <w:sz w:val="16"/>
              </w:rPr>
              <w:t>02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0B183D"/>
                <w:sz w:val="16"/>
              </w:rPr>
              <w:t>Pembayaran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68758A"/>
                <w:sz w:val="14"/>
              </w:rPr>
              <w:t>Pembayaran langganan tahunan.</w:t>
            </w:r>
          </w:p>
        </w:tc>
        <w:tc>
          <w:tcPr>
            <w:tcW w:type="dxa" w:w="2018"/>
            <w:shd w:fill="F3F7FC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6" w:color="DCE4F0"/>
              <w:bottom w:val="single" w:sz="6" w:color="DCE4F0"/>
              <w:start w:val="single" w:sz="6" w:color="DCE4F0"/>
              <w:end w:val="single" w:sz="6" w:color="DCE4F0"/>
            </w:tcBorders>
          </w:tcPr>
          <w:p>
            <w:pPr>
              <w:keepNext w:val="0"/>
              <w:spacing w:before="0" w:after="20" w:line="240" w:lineRule="auto"/>
              <w:jc w:val="left"/>
            </w:pPr>
            <w:r>
              <w:rPr>
                <w:rFonts w:ascii="Liberation Sans" w:hAnsi="Liberation Sans"/>
                <w:b/>
                <w:color w:val="0877FF"/>
                <w:sz w:val="16"/>
              </w:rPr>
              <w:t>03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0B183D"/>
                <w:sz w:val="16"/>
              </w:rPr>
              <w:t>Konfigurasi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68758A"/>
                <w:sz w:val="14"/>
              </w:rPr>
              <w:t>Pembuatan akun dan konfigurasi awal.</w:t>
            </w:r>
          </w:p>
        </w:tc>
        <w:tc>
          <w:tcPr>
            <w:tcW w:type="dxa" w:w="2018"/>
            <w:shd w:fill="F3F7FC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6" w:color="DCE4F0"/>
              <w:bottom w:val="single" w:sz="6" w:color="DCE4F0"/>
              <w:start w:val="single" w:sz="6" w:color="DCE4F0"/>
              <w:end w:val="single" w:sz="6" w:color="DCE4F0"/>
            </w:tcBorders>
          </w:tcPr>
          <w:p>
            <w:pPr>
              <w:keepNext w:val="0"/>
              <w:spacing w:before="0" w:after="20" w:line="240" w:lineRule="auto"/>
              <w:jc w:val="left"/>
            </w:pPr>
            <w:r>
              <w:rPr>
                <w:rFonts w:ascii="Liberation Sans" w:hAnsi="Liberation Sans"/>
                <w:b/>
                <w:color w:val="0877FF"/>
                <w:sz w:val="16"/>
              </w:rPr>
              <w:t>04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0B183D"/>
                <w:sz w:val="16"/>
              </w:rPr>
              <w:t>Onboarding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68758A"/>
                <w:sz w:val="14"/>
              </w:rPr>
              <w:t>Pengenalan alur kerja utama.</w:t>
            </w:r>
          </w:p>
        </w:tc>
        <w:tc>
          <w:tcPr>
            <w:tcW w:type="dxa" w:w="2018"/>
            <w:shd w:fill="F3F7FC"/>
            <w:tcMar>
              <w:top w:w="100" w:type="dxa"/>
              <w:start w:w="90" w:type="dxa"/>
              <w:bottom w:w="100" w:type="dxa"/>
              <w:end w:w="90" w:type="dxa"/>
            </w:tcMar>
            <w:tcBorders>
              <w:top w:val="single" w:sz="6" w:color="DCE4F0"/>
              <w:bottom w:val="single" w:sz="6" w:color="DCE4F0"/>
              <w:start w:val="single" w:sz="6" w:color="DCE4F0"/>
              <w:end w:val="single" w:sz="6" w:color="DCE4F0"/>
            </w:tcBorders>
          </w:tcPr>
          <w:p>
            <w:pPr>
              <w:keepNext w:val="0"/>
              <w:spacing w:before="0" w:after="20" w:line="240" w:lineRule="auto"/>
              <w:jc w:val="left"/>
            </w:pPr>
            <w:r>
              <w:rPr>
                <w:rFonts w:ascii="Liberation Sans" w:hAnsi="Liberation Sans"/>
                <w:b/>
                <w:color w:val="0877FF"/>
                <w:sz w:val="16"/>
              </w:rPr>
              <w:t>05</w:t>
            </w:r>
          </w:p>
          <w:p>
            <w:pPr>
              <w:keepNext w:val="0"/>
              <w:spacing w:before="0" w:after="40" w:line="240" w:lineRule="auto"/>
            </w:pPr>
            <w:r>
              <w:rPr>
                <w:rFonts w:ascii="Liberation Sans" w:hAnsi="Liberation Sans"/>
                <w:b/>
                <w:color w:val="0B183D"/>
                <w:sz w:val="16"/>
              </w:rPr>
              <w:t>Go-live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Liberation Sans" w:hAnsi="Liberation Sans"/>
                <w:b w:val="0"/>
                <w:color w:val="68758A"/>
                <w:sz w:val="14"/>
              </w:rPr>
              <w:t>Aktivasi penggunaan selama 12 bulan.</w:t>
            </w:r>
          </w:p>
        </w:tc>
      </w:tr>
    </w:tbl>
    <w:p>
      <w:pPr>
        <w:keepNext w:val="0"/>
        <w:spacing w:before="180" w:after="0" w:line="259" w:lineRule="auto"/>
      </w:pPr>
      <w:r>
        <w:rPr>
          <w:rFonts w:ascii="Liberation Sans" w:hAnsi="Liberation Sans"/>
          <w:b/>
          <w:color w:val="0877FF"/>
          <w:sz w:val="18"/>
        </w:rPr>
        <w:t>Langkah berikutnya: konfirmasi persetujuan penawaran untuk memulai proses aktivasi dan konfigurasi MAVAPOS bagi MELT.</w:t>
      </w:r>
    </w:p>
    <w:sectPr w:rsidR="00FC693F" w:rsidRPr="0006063C" w:rsidSect="00034616">
      <w:footerReference w:type="default" r:id="rId9"/>
      <w:pgSz w:w="11906" w:h="16838"/>
      <w:pgMar w:top="822" w:right="907" w:bottom="822" w:left="907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164"/>
      <w:gridCol w:w="1928"/>
    </w:tblGrid>
    <w:tr>
      <w:tc>
        <w:tcPr>
          <w:tcW w:type="dxa" w:w="5046"/>
          <w:tcBorders>
            <w:top w:val="single" w:sz="6" w:color="DCE4F0"/>
          </w:tcBorders>
          <w:tcMar>
            <w:top w:w="90" w:type="dxa"/>
            <w:start w:w="0" w:type="dxa"/>
            <w:bottom w:w="0" w:type="dxa"/>
            <w:end w:w="0" w:type="dxa"/>
          </w:tcMar>
        </w:tcPr>
        <w:p>
          <w:r>
            <w:rPr>
              <w:rFonts w:ascii="Liberation Sans" w:hAnsi="Liberation Sans"/>
              <w:b w:val="0"/>
              <w:color w:val="68758A"/>
              <w:sz w:val="16"/>
            </w:rPr>
            <w:t>MAVAPOS - Quotation for MELT</w:t>
          </w:r>
        </w:p>
      </w:tc>
      <w:tc>
        <w:tcPr>
          <w:tcW w:type="dxa" w:w="5046"/>
          <w:tcBorders>
            <w:top w:val="single" w:sz="6" w:color="DCE4F0"/>
          </w:tcBorders>
          <w:tcMar>
            <w:top w:w="9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Liberation Sans" w:hAnsi="Liberation Sans"/>
              <w:b w:val="0"/>
              <w:color w:val="68758A"/>
              <w:sz w:val="16"/>
            </w:rPr>
            <w:t xml:space="preserve">Halaman </w:t>
          </w:r>
          <w:r>
            <w:rPr>
              <w:rFonts w:ascii="Liberation Sans" w:hAnsi="Liberation Sans"/>
              <w:b w:val="0"/>
              <w:color w:val="68758A"/>
              <w:sz w:val="16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Liberation Sans" w:hAnsi="Liberation Sans"/>
      <w:color w:val="2633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 Langganan MavaPOS untuk MELT</dc:title>
  <dc:subject>Penawaran langganan MavaPOS 12 bulan</dc:subject>
  <dc:creator>MAVAPOS</dc:creator>
  <cp:keywords>MAVAPOS, MELT, quotation, langganan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