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4EC6" w14:textId="77777777" w:rsidR="00333CB6" w:rsidRPr="00333CB6" w:rsidRDefault="00333CB6" w:rsidP="00333CB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33CB6">
        <w:rPr>
          <w:rFonts w:ascii="Times New Roman" w:eastAsia="Times New Roman" w:hAnsi="Times New Roman" w:cs="Times New Roman"/>
          <w:b/>
          <w:bCs/>
          <w:kern w:val="36"/>
          <w:sz w:val="48"/>
          <w:szCs w:val="48"/>
          <w:lang w:eastAsia="en-IN"/>
          <w14:ligatures w14:val="none"/>
        </w:rPr>
        <w:t>Japan Biomaterials Market Size, Trends, Share &amp; Growth Analysis 2024-2032</w:t>
      </w:r>
    </w:p>
    <w:p w14:paraId="079DED02"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IMARC Group's report titled "</w:t>
      </w:r>
      <w:r w:rsidRPr="00333CB6">
        <w:rPr>
          <w:rFonts w:ascii="Times New Roman" w:eastAsia="Times New Roman" w:hAnsi="Times New Roman" w:cs="Times New Roman"/>
          <w:b/>
          <w:bCs/>
          <w:kern w:val="0"/>
          <w:sz w:val="24"/>
          <w:szCs w:val="24"/>
          <w:lang w:eastAsia="en-IN"/>
          <w14:ligatures w14:val="none"/>
        </w:rPr>
        <w:t>Japan Biomaterials Market Report by Type (Natural Biomaterial, Metallic Biomaterial, Ceramic Biomaterial, Polymeric Biomaterial), Application (Neurology, Cardiology, Orthopedics, Wound Care, Dental, Plastic Surgery, and Others), and Region 2024-2032</w:t>
      </w:r>
      <w:r w:rsidRPr="00333CB6">
        <w:rPr>
          <w:rFonts w:ascii="Times New Roman" w:eastAsia="Times New Roman" w:hAnsi="Times New Roman" w:cs="Times New Roman"/>
          <w:kern w:val="0"/>
          <w:sz w:val="24"/>
          <w:szCs w:val="24"/>
          <w:lang w:eastAsia="en-IN"/>
          <w14:ligatures w14:val="none"/>
        </w:rPr>
        <w:t>", </w:t>
      </w:r>
      <w:hyperlink r:id="rId5" w:history="1">
        <w:r w:rsidRPr="00333CB6">
          <w:rPr>
            <w:rFonts w:ascii="Times New Roman" w:eastAsia="Times New Roman" w:hAnsi="Times New Roman" w:cs="Times New Roman"/>
            <w:color w:val="0000FF"/>
            <w:kern w:val="0"/>
            <w:sz w:val="24"/>
            <w:szCs w:val="24"/>
            <w:u w:val="single"/>
            <w:lang w:eastAsia="en-IN"/>
            <w14:ligatures w14:val="none"/>
          </w:rPr>
          <w:t>Japan biomaterials market</w:t>
        </w:r>
      </w:hyperlink>
      <w:r w:rsidRPr="00333CB6">
        <w:rPr>
          <w:rFonts w:ascii="Times New Roman" w:eastAsia="Times New Roman" w:hAnsi="Times New Roman" w:cs="Times New Roman"/>
          <w:kern w:val="0"/>
          <w:sz w:val="24"/>
          <w:szCs w:val="24"/>
          <w:lang w:eastAsia="en-IN"/>
          <w14:ligatures w14:val="none"/>
        </w:rPr>
        <w:t xml:space="preserve"> is projected to exhibit a growth rate (CAGR) of 12.51% during 2024-2032.</w:t>
      </w:r>
    </w:p>
    <w:p w14:paraId="509A0891"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 xml:space="preserve">For an in-depth analysis, you can refer sample copy of the report: </w:t>
      </w:r>
      <w:hyperlink r:id="rId6" w:history="1">
        <w:r w:rsidRPr="00333CB6">
          <w:rPr>
            <w:rFonts w:ascii="Times New Roman" w:eastAsia="Times New Roman" w:hAnsi="Times New Roman" w:cs="Times New Roman"/>
            <w:color w:val="0000FF"/>
            <w:kern w:val="0"/>
            <w:sz w:val="24"/>
            <w:szCs w:val="24"/>
            <w:u w:val="single"/>
            <w:lang w:eastAsia="en-IN"/>
            <w14:ligatures w14:val="none"/>
          </w:rPr>
          <w:t>https://www.imarcgroup.com/japan-biomaterials-market/requestsample</w:t>
        </w:r>
      </w:hyperlink>
    </w:p>
    <w:p w14:paraId="40478E46"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Factors Affecting the Growth of the Japan Biomaterials Industry:</w:t>
      </w:r>
    </w:p>
    <w:p w14:paraId="1429E6FA" w14:textId="77777777" w:rsidR="00333CB6" w:rsidRPr="00333CB6" w:rsidRDefault="00333CB6" w:rsidP="00333CB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Rising Geriatric Population:</w:t>
      </w:r>
    </w:p>
    <w:p w14:paraId="268ECC9A"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The escalating demand for biomaterials due to the rising geriatric population in Japan is contributing to the growth of the market. In addition, elderly people often require medical interventions, such as joint replacements, dental implants, and cardiovascular devices, all of which rely on biomaterials. Furthermore, biomaterials like biocompatible metals, ceramics, and polymers are crucial components of these medical devices. Besides this, the growing demand for durable and long-lasting biomaterials is offering a positive market outlook. Moreover, the increasing focus on developing biomaterials with enhanced longevity, biocompatibility, and resistance to wear and tear is impelling the market growth.</w:t>
      </w:r>
    </w:p>
    <w:p w14:paraId="4F4C0A3C" w14:textId="77777777" w:rsidR="00333CB6" w:rsidRPr="00333CB6" w:rsidRDefault="00333CB6" w:rsidP="00333CB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Technological Advancements:</w:t>
      </w:r>
    </w:p>
    <w:p w14:paraId="333174EB"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Advancements in biomaterials technology benefit in improving the properties of biomaterials, such as their biocompatibility, mechanical strength, and bioactivity. Apart from this, innovative biomaterials, such as biodegradable polymers and smart materials, offer new possibilities in drug delivery, tissue engineering, and regenerative medicine. Additionally, advanced manufacturing techniques, including three-dimensional (3D) printing and nanotechnology, are employed to create precise and customized biomaterial implants, addressing individual patient needs. In line with this, biofabrication techniques, including bioprinting and bioplotting, allow for the precise placement of cells and biomaterials to create complex and functional tissues and organs.  </w:t>
      </w:r>
    </w:p>
    <w:p w14:paraId="0B5F1C0A" w14:textId="77777777" w:rsidR="00333CB6" w:rsidRPr="00333CB6" w:rsidRDefault="00333CB6" w:rsidP="00333C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Advanced Healthcare Infrastructure:</w:t>
      </w:r>
    </w:p>
    <w:p w14:paraId="5AC355BE"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Japan has an advanced and comprehensive healthcare infrastructure, characterized by well-established hospitals, clinics, and research institutions. This well-established infrastructure creates a conducive environment for biomaterials. In line with this, the healthcare infrastructure also plays a pivotal role in quality control and regulatory compliance, ensuring that biomaterial-based medical devices meet stringent safety and efficacy standards. This regulatory environment enhances trust among healthcare professionals and patients, which is bolstering the growth of the market in the country. Furthermore, advanced healthcare institutions are often involved in clinical research and trials to evaluate the safety and efficacy of biomaterial-based therapies.     </w:t>
      </w:r>
    </w:p>
    <w:p w14:paraId="12BD3703"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lastRenderedPageBreak/>
        <w:t xml:space="preserve">Ask Analyst for Sample Report: </w:t>
      </w:r>
      <w:hyperlink r:id="rId7" w:history="1">
        <w:r w:rsidRPr="00333CB6">
          <w:rPr>
            <w:rFonts w:ascii="Times New Roman" w:eastAsia="Times New Roman" w:hAnsi="Times New Roman" w:cs="Times New Roman"/>
            <w:color w:val="0000FF"/>
            <w:kern w:val="0"/>
            <w:sz w:val="24"/>
            <w:szCs w:val="24"/>
            <w:u w:val="single"/>
            <w:lang w:eastAsia="en-IN"/>
            <w14:ligatures w14:val="none"/>
          </w:rPr>
          <w:t>https://www.imarcgroup.com/request?type=report&amp;id=15512&amp;flag=C</w:t>
        </w:r>
      </w:hyperlink>
    </w:p>
    <w:p w14:paraId="7FF43186"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Japan Biomaterials Market Report Segmentation:</w:t>
      </w:r>
    </w:p>
    <w:p w14:paraId="561CCDCD"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By Type:</w:t>
      </w:r>
    </w:p>
    <w:p w14:paraId="2A100F82" w14:textId="77777777" w:rsidR="00333CB6" w:rsidRPr="00333CB6" w:rsidRDefault="00333CB6" w:rsidP="00333CB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Natural Biomaterial</w:t>
      </w:r>
    </w:p>
    <w:p w14:paraId="452FC67E" w14:textId="77777777" w:rsidR="00333CB6" w:rsidRPr="00333CB6" w:rsidRDefault="00333CB6" w:rsidP="00333CB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Metallic Biomaterial</w:t>
      </w:r>
    </w:p>
    <w:p w14:paraId="54DEA890" w14:textId="77777777" w:rsidR="00333CB6" w:rsidRPr="00333CB6" w:rsidRDefault="00333CB6" w:rsidP="00333CB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Ceramic Biomaterial</w:t>
      </w:r>
    </w:p>
    <w:p w14:paraId="7CF57F84" w14:textId="77777777" w:rsidR="00333CB6" w:rsidRPr="00333CB6" w:rsidRDefault="00333CB6" w:rsidP="00333CB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Polymeric Biomaterial</w:t>
      </w:r>
    </w:p>
    <w:p w14:paraId="7129D7AC"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On the basis of the type, the market has been divided into natural biomaterial, metallic biomaterial, ceramic biomaterial, and polymeric biomaterial.  </w:t>
      </w:r>
    </w:p>
    <w:p w14:paraId="6D43D0E6"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By Application:</w:t>
      </w:r>
    </w:p>
    <w:p w14:paraId="5DB20BA7" w14:textId="77777777" w:rsidR="00333CB6" w:rsidRPr="00333CB6" w:rsidRDefault="00333CB6" w:rsidP="00333CB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Neurology</w:t>
      </w:r>
    </w:p>
    <w:p w14:paraId="1275E880" w14:textId="77777777" w:rsidR="00333CB6" w:rsidRPr="00333CB6" w:rsidRDefault="00333CB6" w:rsidP="00333CB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Cardiology</w:t>
      </w:r>
    </w:p>
    <w:p w14:paraId="50654061" w14:textId="77777777" w:rsidR="00333CB6" w:rsidRPr="00333CB6" w:rsidRDefault="00333CB6" w:rsidP="00333CB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Orthopedics</w:t>
      </w:r>
    </w:p>
    <w:p w14:paraId="5763A6D3" w14:textId="77777777" w:rsidR="00333CB6" w:rsidRPr="00333CB6" w:rsidRDefault="00333CB6" w:rsidP="00333CB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Wound Care</w:t>
      </w:r>
    </w:p>
    <w:p w14:paraId="2503C179" w14:textId="77777777" w:rsidR="00333CB6" w:rsidRPr="00333CB6" w:rsidRDefault="00333CB6" w:rsidP="00333CB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Dental</w:t>
      </w:r>
    </w:p>
    <w:p w14:paraId="1C220A1D" w14:textId="77777777" w:rsidR="00333CB6" w:rsidRPr="00333CB6" w:rsidRDefault="00333CB6" w:rsidP="00333CB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Plastic Surgery</w:t>
      </w:r>
    </w:p>
    <w:p w14:paraId="60EAB521" w14:textId="77777777" w:rsidR="00333CB6" w:rsidRPr="00333CB6" w:rsidRDefault="00333CB6" w:rsidP="00333CB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Others</w:t>
      </w:r>
    </w:p>
    <w:p w14:paraId="27338E7A"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Based on the application, the market has been classified into neurology, cardiology, orthopedics, wound care, dental, plastic surgery, and others.  </w:t>
      </w:r>
    </w:p>
    <w:p w14:paraId="7FEDAFD7"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Regional Insights:</w:t>
      </w:r>
    </w:p>
    <w:p w14:paraId="5C7FBCEC" w14:textId="77777777" w:rsidR="00333CB6" w:rsidRPr="00333CB6" w:rsidRDefault="00333CB6" w:rsidP="00333CB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Kanto Region</w:t>
      </w:r>
    </w:p>
    <w:p w14:paraId="2B7F8047" w14:textId="77777777" w:rsidR="00333CB6" w:rsidRPr="00333CB6" w:rsidRDefault="00333CB6" w:rsidP="00333CB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Kansai/Kinki Region</w:t>
      </w:r>
    </w:p>
    <w:p w14:paraId="5568F5C3" w14:textId="77777777" w:rsidR="00333CB6" w:rsidRPr="00333CB6" w:rsidRDefault="00333CB6" w:rsidP="00333CB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Central/ Chubu Region</w:t>
      </w:r>
    </w:p>
    <w:p w14:paraId="36A92F1A" w14:textId="77777777" w:rsidR="00333CB6" w:rsidRPr="00333CB6" w:rsidRDefault="00333CB6" w:rsidP="00333CB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Kyushu-Okinawa Region</w:t>
      </w:r>
    </w:p>
    <w:p w14:paraId="1380DC8D" w14:textId="77777777" w:rsidR="00333CB6" w:rsidRPr="00333CB6" w:rsidRDefault="00333CB6" w:rsidP="00333CB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Tohoku Region</w:t>
      </w:r>
    </w:p>
    <w:p w14:paraId="5199DA79" w14:textId="77777777" w:rsidR="00333CB6" w:rsidRPr="00333CB6" w:rsidRDefault="00333CB6" w:rsidP="00333CB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Chugoku Region</w:t>
      </w:r>
    </w:p>
    <w:p w14:paraId="165F3837" w14:textId="77777777" w:rsidR="00333CB6" w:rsidRPr="00333CB6" w:rsidRDefault="00333CB6" w:rsidP="00333CB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Hokkaido Region</w:t>
      </w:r>
    </w:p>
    <w:p w14:paraId="5DFC4ACE" w14:textId="77777777" w:rsidR="00333CB6" w:rsidRPr="00333CB6" w:rsidRDefault="00333CB6" w:rsidP="00333CB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Shikoku Region</w:t>
      </w:r>
    </w:p>
    <w:p w14:paraId="32CE9CD9"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Region-wise, the Japan biomaterials market is segmented into Kanto Region, Kansai/Kinki Region, Central/ Chubu Region, Kyushu-Okinawa Region, Tohoku Region, Chugoku Region, Hokkaido Region, and Shikoku Region.    </w:t>
      </w:r>
    </w:p>
    <w:p w14:paraId="3B640CC5"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Japan Biomaterials Market Trends:</w:t>
      </w:r>
    </w:p>
    <w:p w14:paraId="084AB68A"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The rising awareness among healthcare professionals and patients about the benefits of biomaterials in improving medical outcomes is supporting the growth of the market in Japan. In line with this, the increasing acceptance of biomaterial-based treatments is impelling the market growth.</w:t>
      </w:r>
    </w:p>
    <w:p w14:paraId="35497EDC"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lastRenderedPageBreak/>
        <w:t>Furthermore, the growing demand for biomaterials for personalized medicine is offering a positive market outlook. Apart from this, rising preferences for tailored medical implants and treatments as per the needs of patients are bolstering the market growth in the country.   </w:t>
      </w:r>
    </w:p>
    <w:p w14:paraId="5F9496A3"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Note: If you need specific information that is not currently within the scope of the report, we will provide it to you as a part of the customization.</w:t>
      </w:r>
    </w:p>
    <w:p w14:paraId="6263C773"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About Us:</w:t>
      </w:r>
    </w:p>
    <w:p w14:paraId="28E7779F"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IMARC Group is a leading market research company that offers management strategy and market research worldwide. We partner with clients in all sectors and regions to identify their highest-value opportunities, address their most critical challenges, and transform their businesses.</w:t>
      </w:r>
    </w:p>
    <w:p w14:paraId="52E4D75E"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IMARCs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companys expertise.</w:t>
      </w:r>
    </w:p>
    <w:p w14:paraId="30270B5D"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Our offerings include comprehensive market intelligence in the form of research reports, production cost reports, feasibility studies, and consulting services. Our team, which includes experienced researchers and analysts from various industries, is dedicated to providing high-quality data and insights to our clientele, ranging from small and medium businesses to Fortune 1000 corporations.</w:t>
      </w:r>
    </w:p>
    <w:p w14:paraId="64EBBCEF"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b/>
          <w:bCs/>
          <w:kern w:val="0"/>
          <w:sz w:val="24"/>
          <w:szCs w:val="24"/>
          <w:lang w:eastAsia="en-IN"/>
          <w14:ligatures w14:val="none"/>
        </w:rPr>
        <w:t>Contact US:</w:t>
      </w:r>
    </w:p>
    <w:p w14:paraId="42BC07F9"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IMARC Group</w:t>
      </w:r>
    </w:p>
    <w:p w14:paraId="428AAB8E"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134 N 4th St. Brooklyn, NY 11249, USA</w:t>
      </w:r>
    </w:p>
    <w:p w14:paraId="5CE44718"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Email: sales@imarcgroup.com</w:t>
      </w:r>
    </w:p>
    <w:p w14:paraId="3C883BC3" w14:textId="77777777"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Tel No:(D) +91 120 433 0800</w:t>
      </w:r>
    </w:p>
    <w:p w14:paraId="498E6D1F" w14:textId="11BC283A" w:rsidR="00333CB6" w:rsidRPr="00333CB6" w:rsidRDefault="00333CB6" w:rsidP="00333C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CB6">
        <w:rPr>
          <w:rFonts w:ascii="Times New Roman" w:eastAsia="Times New Roman" w:hAnsi="Times New Roman" w:cs="Times New Roman"/>
          <w:kern w:val="0"/>
          <w:sz w:val="24"/>
          <w:szCs w:val="24"/>
          <w:lang w:eastAsia="en-IN"/>
          <w14:ligatures w14:val="none"/>
        </w:rPr>
        <w:t>United States: +1-631-791-1145 | United Kingdom: +44-753-713-2163</w:t>
      </w:r>
    </w:p>
    <w:sectPr w:rsidR="00333CB6" w:rsidRPr="00333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4F8"/>
    <w:multiLevelType w:val="multilevel"/>
    <w:tmpl w:val="ECE6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E7DA5"/>
    <w:multiLevelType w:val="multilevel"/>
    <w:tmpl w:val="CC4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5777B"/>
    <w:multiLevelType w:val="multilevel"/>
    <w:tmpl w:val="E872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23025"/>
    <w:multiLevelType w:val="multilevel"/>
    <w:tmpl w:val="5992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A0FDC"/>
    <w:multiLevelType w:val="multilevel"/>
    <w:tmpl w:val="30E6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25293"/>
    <w:multiLevelType w:val="multilevel"/>
    <w:tmpl w:val="3F58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30461">
    <w:abstractNumId w:val="3"/>
  </w:num>
  <w:num w:numId="2" w16cid:durableId="1293289000">
    <w:abstractNumId w:val="0"/>
  </w:num>
  <w:num w:numId="3" w16cid:durableId="713233747">
    <w:abstractNumId w:val="5"/>
  </w:num>
  <w:num w:numId="4" w16cid:durableId="1781027394">
    <w:abstractNumId w:val="2"/>
  </w:num>
  <w:num w:numId="5" w16cid:durableId="1767116961">
    <w:abstractNumId w:val="4"/>
  </w:num>
  <w:num w:numId="6" w16cid:durableId="1297837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B6"/>
    <w:rsid w:val="00333C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AC88"/>
  <w15:chartTrackingRefBased/>
  <w15:docId w15:val="{C88A93D1-09E6-4EC5-BBFE-C6A85FF8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3C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CB6"/>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333CB6"/>
    <w:rPr>
      <w:b/>
      <w:bCs/>
    </w:rPr>
  </w:style>
  <w:style w:type="paragraph" w:styleId="NormalWeb">
    <w:name w:val="Normal (Web)"/>
    <w:basedOn w:val="Normal"/>
    <w:uiPriority w:val="99"/>
    <w:semiHidden/>
    <w:unhideWhenUsed/>
    <w:rsid w:val="00333C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33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arcgroup.com/request?type=report&amp;id=15512&amp;fla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rcgroup.com/japan-biomaterials-market/requestsample" TargetMode="External"/><Relationship Id="rId5" Type="http://schemas.openxmlformats.org/officeDocument/2006/relationships/hyperlink" Target="https://www.imarcgroup.com/japan-biomaterials-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2024-01-22T06:16:00Z</dcterms:created>
  <dcterms:modified xsi:type="dcterms:W3CDTF">2024-01-22T06:16:00Z</dcterms:modified>
</cp:coreProperties>
</file>