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2"/>
        </w:rPr>
        <w:t>Comparison Between ML Prediction and LAMMPS/Formulation Verification of Ni35Mn5CoCrFe High Entropy Alloy</w:t>
      </w:r>
    </w:p>
    <w:p>
      <w:r>
        <w:rPr>
          <w:rFonts w:ascii="Times New Roman" w:hAnsi="Times New Roman"/>
          <w:sz w:val="22"/>
        </w:rPr>
        <w:t>This report presents the comparison between the Physics-Informed High Entropy Alloy (PHEA) webapp prediction and the LAMMPS/formulation-based verification values for the Ni35Mn5CoCrFe alloy. The mixing enthalpy value used for verification is ΔHmix = −3.764 kJ mol⁻¹.</w:t>
      </w:r>
    </w:p>
    <w:p>
      <w:pPr>
        <w:pStyle w:val="Heading2"/>
      </w:pPr>
      <w:r>
        <w:rPr>
          <w:rFonts w:ascii="Times New Roman" w:hAnsi="Times New Roman"/>
          <w:sz w:val="22"/>
        </w:rPr>
        <w:t>Calculation Basis</w:t>
      </w:r>
    </w:p>
    <w:p>
      <w:r>
        <w:rPr>
          <w:rFonts w:ascii="Times New Roman" w:hAnsi="Times New Roman"/>
          <w:sz w:val="22"/>
        </w:rPr>
        <w:t>The thermodynamic comparison includes mixing enthalpy (ΔHmix), atomic size difference, lambda parameter, mean atomic radius, density, melting temperature, configurational entropy, Omega parameter, and valence electron concentration (VEC). The Omega parameter was recalculated using the corrected ΔHmix value.</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Webapp (ML) Value</w:t>
            </w:r>
          </w:p>
        </w:tc>
        <w:tc>
          <w:tcPr>
            <w:tcW w:type="dxa" w:w="2880"/>
          </w:tcPr>
          <w:p>
            <w:r>
              <w:t>LAMMPS / Formula Verified Value</w:t>
            </w:r>
          </w:p>
        </w:tc>
      </w:tr>
      <w:tr>
        <w:tc>
          <w:tcPr>
            <w:tcW w:type="dxa" w:w="2880"/>
          </w:tcPr>
          <w:p>
            <w:r>
              <w:t>Mixing enthalpy, ΔHmix (kJ mol⁻¹)</w:t>
            </w:r>
          </w:p>
        </w:tc>
        <w:tc>
          <w:tcPr>
            <w:tcW w:type="dxa" w:w="2880"/>
          </w:tcPr>
          <w:p>
            <w:r>
              <w:t>−3.805</w:t>
            </w:r>
          </w:p>
        </w:tc>
        <w:tc>
          <w:tcPr>
            <w:tcW w:type="dxa" w:w="2880"/>
          </w:tcPr>
          <w:p>
            <w:r>
              <w:t>−3.764 (LAMMPS energy-based calculation)</w:t>
            </w:r>
          </w:p>
        </w:tc>
      </w:tr>
      <w:tr>
        <w:tc>
          <w:tcPr>
            <w:tcW w:type="dxa" w:w="2880"/>
          </w:tcPr>
          <w:p>
            <w:r>
              <w:t>Atomic size difference, δ (%)</w:t>
            </w:r>
          </w:p>
        </w:tc>
        <w:tc>
          <w:tcPr>
            <w:tcW w:type="dxa" w:w="2880"/>
          </w:tcPr>
          <w:p>
            <w:r>
              <w:t>1.812</w:t>
            </w:r>
          </w:p>
        </w:tc>
        <w:tc>
          <w:tcPr>
            <w:tcW w:type="dxa" w:w="2880"/>
          </w:tcPr>
          <w:p>
            <w:r>
              <w:t>1.812 (Formula calculation)</w:t>
            </w:r>
          </w:p>
        </w:tc>
      </w:tr>
      <w:tr>
        <w:tc>
          <w:tcPr>
            <w:tcW w:type="dxa" w:w="2880"/>
          </w:tcPr>
          <w:p>
            <w:r>
              <w:t>Lambda parameter, Λ</w:t>
            </w:r>
          </w:p>
        </w:tc>
        <w:tc>
          <w:tcPr>
            <w:tcW w:type="dxa" w:w="2880"/>
          </w:tcPr>
          <w:p>
            <w:r>
              <w:t>0.451</w:t>
            </w:r>
          </w:p>
        </w:tc>
        <w:tc>
          <w:tcPr>
            <w:tcW w:type="dxa" w:w="2880"/>
          </w:tcPr>
          <w:p>
            <w:r>
              <w:t>0.451 (Formula calculation)</w:t>
            </w:r>
          </w:p>
        </w:tc>
      </w:tr>
      <w:tr>
        <w:tc>
          <w:tcPr>
            <w:tcW w:type="dxa" w:w="2880"/>
          </w:tcPr>
          <w:p>
            <w:r>
              <w:t>Mean atomic radius (pm)</w:t>
            </w:r>
          </w:p>
        </w:tc>
        <w:tc>
          <w:tcPr>
            <w:tcW w:type="dxa" w:w="2880"/>
          </w:tcPr>
          <w:p>
            <w:r>
              <w:t>137.25</w:t>
            </w:r>
          </w:p>
        </w:tc>
        <w:tc>
          <w:tcPr>
            <w:tcW w:type="dxa" w:w="2880"/>
          </w:tcPr>
          <w:p>
            <w:r>
              <w:t>137.25 (Composition-weighted formula)</w:t>
            </w:r>
          </w:p>
        </w:tc>
      </w:tr>
      <w:tr>
        <w:tc>
          <w:tcPr>
            <w:tcW w:type="dxa" w:w="2880"/>
          </w:tcPr>
          <w:p>
            <w:r>
              <w:t>Density (g cm⁻³)</w:t>
            </w:r>
          </w:p>
        </w:tc>
        <w:tc>
          <w:tcPr>
            <w:tcW w:type="dxa" w:w="2880"/>
          </w:tcPr>
          <w:p>
            <w:r>
              <w:t>8.256</w:t>
            </w:r>
          </w:p>
        </w:tc>
        <w:tc>
          <w:tcPr>
            <w:tcW w:type="dxa" w:w="2880"/>
          </w:tcPr>
          <w:p>
            <w:r>
              <w:t>8.25 (LAMMPS relaxed FCC structure)</w:t>
            </w:r>
          </w:p>
        </w:tc>
      </w:tr>
      <w:tr>
        <w:tc>
          <w:tcPr>
            <w:tcW w:type="dxa" w:w="2880"/>
          </w:tcPr>
          <w:p>
            <w:r>
              <w:t>Mean melting temperature, Tm (K)</w:t>
            </w:r>
          </w:p>
        </w:tc>
        <w:tc>
          <w:tcPr>
            <w:tcW w:type="dxa" w:w="2880"/>
          </w:tcPr>
          <w:p>
            <w:r>
              <w:t>1832.7</w:t>
            </w:r>
          </w:p>
        </w:tc>
        <w:tc>
          <w:tcPr>
            <w:tcW w:type="dxa" w:w="2880"/>
          </w:tcPr>
          <w:p>
            <w:r>
              <w:t>1832.7 (Composition-weighted formula)</w:t>
            </w:r>
          </w:p>
        </w:tc>
      </w:tr>
      <w:tr>
        <w:tc>
          <w:tcPr>
            <w:tcW w:type="dxa" w:w="2880"/>
          </w:tcPr>
          <w:p>
            <w:r>
              <w:t>Configurational entropy, Sconf/R</w:t>
            </w:r>
          </w:p>
        </w:tc>
        <w:tc>
          <w:tcPr>
            <w:tcW w:type="dxa" w:w="2880"/>
          </w:tcPr>
          <w:p>
            <w:r>
              <w:t>1.483</w:t>
            </w:r>
          </w:p>
        </w:tc>
        <w:tc>
          <w:tcPr>
            <w:tcW w:type="dxa" w:w="2880"/>
          </w:tcPr>
          <w:p>
            <w:r>
              <w:t>1.483 (Formula: −Σci ln(ci))</w:t>
            </w:r>
          </w:p>
        </w:tc>
      </w:tr>
      <w:tr>
        <w:tc>
          <w:tcPr>
            <w:tcW w:type="dxa" w:w="2880"/>
          </w:tcPr>
          <w:p>
            <w:r>
              <w:t>Omega parameter, Ω</w:t>
            </w:r>
          </w:p>
        </w:tc>
        <w:tc>
          <w:tcPr>
            <w:tcW w:type="dxa" w:w="2880"/>
          </w:tcPr>
          <w:p>
            <w:r>
              <w:t>5.939</w:t>
            </w:r>
          </w:p>
        </w:tc>
        <w:tc>
          <w:tcPr>
            <w:tcW w:type="dxa" w:w="2880"/>
          </w:tcPr>
          <w:p>
            <w:r>
              <w:t>6.00 (Recalculated using corrected ΔHmix)</w:t>
            </w:r>
          </w:p>
        </w:tc>
      </w:tr>
      <w:tr>
        <w:tc>
          <w:tcPr>
            <w:tcW w:type="dxa" w:w="2880"/>
          </w:tcPr>
          <w:p>
            <w:r>
              <w:t>Valence electron concentration (VEC)</w:t>
            </w:r>
          </w:p>
        </w:tc>
        <w:tc>
          <w:tcPr>
            <w:tcW w:type="dxa" w:w="2880"/>
          </w:tcPr>
          <w:p>
            <w:r>
              <w:t>8.45</w:t>
            </w:r>
          </w:p>
        </w:tc>
        <w:tc>
          <w:tcPr>
            <w:tcW w:type="dxa" w:w="2880"/>
          </w:tcPr>
          <w:p>
            <w:r>
              <w:t>8.45 (Composition-weighted formula)</w:t>
            </w:r>
          </w:p>
        </w:tc>
      </w:tr>
    </w:tbl>
    <w:p>
      <w:pPr>
        <w:pStyle w:val="Heading2"/>
      </w:pPr>
      <w:r>
        <w:rPr>
          <w:rFonts w:ascii="Times New Roman" w:hAnsi="Times New Roman"/>
          <w:sz w:val="22"/>
        </w:rPr>
        <w:t>Figure Description</w:t>
      </w:r>
    </w:p>
    <w:p>
      <w:r>
        <w:rPr>
          <w:rFonts w:ascii="Times New Roman" w:hAnsi="Times New Roman"/>
          <w:sz w:val="22"/>
        </w:rPr>
        <w:t>Figure 1. Atomic structure visualization of the Ni35Mn5CoCrFe alloy obtained from OVITO analysis. The initial FCC structure exhibits a uniform crystalline arrangement, while the processed structure after thermal treatment/quenching shows atomic disorder and local structural variations. These structural observations support the stability analysis of the high entropy alloy.</w:t>
      </w:r>
    </w:p>
    <w:p>
      <w:pPr>
        <w:pStyle w:val="Heading2"/>
      </w:pPr>
      <w:r>
        <w:rPr>
          <w:rFonts w:ascii="Times New Roman" w:hAnsi="Times New Roman"/>
          <w:sz w:val="22"/>
        </w:rPr>
        <w:t>Conclusion</w:t>
      </w:r>
    </w:p>
    <w:p>
      <w:r>
        <w:rPr>
          <w:rFonts w:ascii="Times New Roman" w:hAnsi="Times New Roman"/>
          <w:sz w:val="22"/>
        </w:rPr>
        <w:t>The corrected comparison shows good agreement between the ML prediction and the LAMMPS/formulation verification. The calculated mixing enthalpy of −3.764 kJ mol⁻¹ indicates a moderate negative mixing tendency, supporting the formation possibility of a stable single-phase high entropy alloy. The recalculated Omega parameter (≈6.00) was obtained using the corrected ΔHmix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