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Effect of Ni Addition on FCC Phase Stability in Cantor-Type HEA</w:t>
      </w:r>
    </w:p>
    <w:p>
      <w:pPr>
        <w:pStyle w:val="Heading2"/>
      </w:pPr>
      <w:r>
        <w:t>1. Thermodynamic Descriptor Verification</w:t>
      </w:r>
    </w:p>
    <w:p>
      <w:r>
        <w:t>The calculated thermodynamic parameters from the WebApp were verified using composition-based "</w:t>
        <w:br/>
        <w:t>"calculations and LAMMPS-derived relaxed structural data. Parameters controlled by composition "</w:t>
        <w:br/>
        <w:t>"(VEC, atomic radius, δ, configurational entropy, Λ and melting temperature) showed excellent agreement. "</w:t>
        <w:br/>
        <w:t>"The main deviation was observed for ΔHmix and Ω because these parameters depend on the adopted "</w:t>
        <w:br/>
        <w:t>"interaction model.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Parameter</w:t>
            </w:r>
          </w:p>
        </w:tc>
        <w:tc>
          <w:tcPr>
            <w:tcW w:type="dxa" w:w="2160"/>
          </w:tcPr>
          <w:p>
            <w:r>
              <w:t>WebApp</w:t>
            </w:r>
          </w:p>
        </w:tc>
        <w:tc>
          <w:tcPr>
            <w:tcW w:type="dxa" w:w="2160"/>
          </w:tcPr>
          <w:p>
            <w:r>
              <w:t>Formula/Literature</w:t>
            </w:r>
          </w:p>
        </w:tc>
        <w:tc>
          <w:tcPr>
            <w:tcW w:type="dxa" w:w="2160"/>
          </w:tcPr>
          <w:p>
            <w:r>
              <w:t>LAMMPS</w:t>
            </w:r>
          </w:p>
        </w:tc>
      </w:tr>
      <w:tr>
        <w:tc>
          <w:tcPr>
            <w:tcW w:type="dxa" w:w="2160"/>
          </w:tcPr>
          <w:p>
            <w:r>
              <w:t>Composition</w:t>
            </w:r>
          </w:p>
        </w:tc>
        <w:tc>
          <w:tcPr>
            <w:tcW w:type="dxa" w:w="2160"/>
          </w:tcPr>
          <w:p>
            <w:r>
              <w:t>Co25Cr25Fe25Mn0Ni25</w:t>
            </w:r>
          </w:p>
        </w:tc>
        <w:tc>
          <w:tcPr>
            <w:tcW w:type="dxa" w:w="2160"/>
          </w:tcPr>
          <w:p>
            <w:r>
              <w:t>Same</w:t>
            </w:r>
          </w:p>
        </w:tc>
        <w:tc>
          <w:tcPr>
            <w:tcW w:type="dxa" w:w="2160"/>
          </w:tcPr>
          <w:p>
            <w:r>
              <w:t>Same</w:t>
            </w:r>
          </w:p>
        </w:tc>
      </w:tr>
      <w:tr>
        <w:tc>
          <w:tcPr>
            <w:tcW w:type="dxa" w:w="2160"/>
          </w:tcPr>
          <w:p>
            <w:r>
              <w:t>Mean Atomic Radius</w:t>
            </w:r>
          </w:p>
        </w:tc>
        <w:tc>
          <w:tcPr>
            <w:tcW w:type="dxa" w:w="2160"/>
          </w:tcPr>
          <w:p>
            <w:r>
              <w:t>137.5 pm</w:t>
            </w:r>
          </w:p>
        </w:tc>
        <w:tc>
          <w:tcPr>
            <w:tcW w:type="dxa" w:w="2160"/>
          </w:tcPr>
          <w:p>
            <w:r>
              <w:t>137.5 pm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δ</w:t>
            </w:r>
          </w:p>
        </w:tc>
        <w:tc>
          <w:tcPr>
            <w:tcW w:type="dxa" w:w="2160"/>
          </w:tcPr>
          <w:p>
            <w:r>
              <w:t>1.818 %</w:t>
            </w:r>
          </w:p>
        </w:tc>
        <w:tc>
          <w:tcPr>
            <w:tcW w:type="dxa" w:w="2160"/>
          </w:tcPr>
          <w:p>
            <w:r>
              <w:t>1.818 %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Sconf/R</w:t>
            </w:r>
          </w:p>
        </w:tc>
        <w:tc>
          <w:tcPr>
            <w:tcW w:type="dxa" w:w="2160"/>
          </w:tcPr>
          <w:p>
            <w:r>
              <w:t>1.386</w:t>
            </w:r>
          </w:p>
        </w:tc>
        <w:tc>
          <w:tcPr>
            <w:tcW w:type="dxa" w:w="2160"/>
          </w:tcPr>
          <w:p>
            <w:r>
              <w:t>1.386</w:t>
            </w:r>
          </w:p>
        </w:tc>
        <w:tc>
          <w:tcPr>
            <w:tcW w:type="dxa" w:w="2160"/>
          </w:tcPr>
          <w:p>
            <w:r>
              <w:t>1.386</w:t>
            </w:r>
          </w:p>
        </w:tc>
      </w:tr>
      <w:tr>
        <w:tc>
          <w:tcPr>
            <w:tcW w:type="dxa" w:w="2160"/>
          </w:tcPr>
          <w:p>
            <w:r>
              <w:t>Λ</w:t>
            </w:r>
          </w:p>
        </w:tc>
        <w:tc>
          <w:tcPr>
            <w:tcW w:type="dxa" w:w="2160"/>
          </w:tcPr>
          <w:p>
            <w:r>
              <w:t>0.419</w:t>
            </w:r>
          </w:p>
        </w:tc>
        <w:tc>
          <w:tcPr>
            <w:tcW w:type="dxa" w:w="2160"/>
          </w:tcPr>
          <w:p>
            <w:r>
              <w:t>0.419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Tm</w:t>
            </w:r>
          </w:p>
        </w:tc>
        <w:tc>
          <w:tcPr>
            <w:tcW w:type="dxa" w:w="2160"/>
          </w:tcPr>
          <w:p>
            <w:r>
              <w:t>1871.9 K</w:t>
            </w:r>
          </w:p>
        </w:tc>
        <w:tc>
          <w:tcPr>
            <w:tcW w:type="dxa" w:w="2160"/>
          </w:tcPr>
          <w:p>
            <w:r>
              <w:t>1871.75 K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VEC</w:t>
            </w:r>
          </w:p>
        </w:tc>
        <w:tc>
          <w:tcPr>
            <w:tcW w:type="dxa" w:w="2160"/>
          </w:tcPr>
          <w:p>
            <w:r>
              <w:t>8.25</w:t>
            </w:r>
          </w:p>
        </w:tc>
        <w:tc>
          <w:tcPr>
            <w:tcW w:type="dxa" w:w="2160"/>
          </w:tcPr>
          <w:p>
            <w:r>
              <w:t>8.25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Density</w:t>
            </w:r>
          </w:p>
        </w:tc>
        <w:tc>
          <w:tcPr>
            <w:tcW w:type="dxa" w:w="2160"/>
          </w:tcPr>
          <w:p>
            <w:r>
              <w:t>8.195 g/cm³</w:t>
            </w:r>
          </w:p>
        </w:tc>
        <w:tc>
          <w:tcPr>
            <w:tcW w:type="dxa" w:w="2160"/>
          </w:tcPr>
          <w:p>
            <w:r>
              <w:t>8.217 g/cm³</w:t>
            </w:r>
          </w:p>
        </w:tc>
        <w:tc>
          <w:tcPr>
            <w:tcW w:type="dxa" w:w="2160"/>
          </w:tcPr>
          <w:p>
            <w:r>
              <w:t>8.183 g/cm³</w:t>
            </w:r>
          </w:p>
        </w:tc>
      </w:tr>
      <w:tr>
        <w:tc>
          <w:tcPr>
            <w:tcW w:type="dxa" w:w="2160"/>
          </w:tcPr>
          <w:p>
            <w:r>
              <w:t>ΔHmix</w:t>
            </w:r>
          </w:p>
        </w:tc>
        <w:tc>
          <w:tcPr>
            <w:tcW w:type="dxa" w:w="2160"/>
          </w:tcPr>
          <w:p>
            <w:r>
              <w:t>−3.13 kJ/mol</w:t>
            </w:r>
          </w:p>
        </w:tc>
        <w:tc>
          <w:tcPr>
            <w:tcW w:type="dxa" w:w="2160"/>
          </w:tcPr>
          <w:p>
            <w:r>
              <w:t>−3.75 kJ/mol</w:t>
            </w:r>
          </w:p>
        </w:tc>
        <w:tc>
          <w:tcPr>
            <w:tcW w:type="dxa" w:w="2160"/>
          </w:tcPr>
          <w:p>
            <w:r>
              <w:t>+2.83 kJ/mol (MEAM-derived energy contribution)</w:t>
            </w:r>
          </w:p>
        </w:tc>
      </w:tr>
      <w:tr>
        <w:tc>
          <w:tcPr>
            <w:tcW w:type="dxa" w:w="2160"/>
          </w:tcPr>
          <w:p>
            <w:r>
              <w:t>Ω</w:t>
            </w:r>
          </w:p>
        </w:tc>
        <w:tc>
          <w:tcPr>
            <w:tcW w:type="dxa" w:w="2160"/>
          </w:tcPr>
          <w:p>
            <w:r>
              <w:t>6.892</w:t>
            </w:r>
          </w:p>
        </w:tc>
        <w:tc>
          <w:tcPr>
            <w:tcW w:type="dxa" w:w="2160"/>
          </w:tcPr>
          <w:p>
            <w:r>
              <w:t>5.75</w:t>
            </w:r>
          </w:p>
        </w:tc>
        <w:tc>
          <w:tcPr>
            <w:tcW w:type="dxa" w:w="2160"/>
          </w:tcPr>
          <w:p>
            <w:r>
              <w:t>7.62</w:t>
            </w:r>
          </w:p>
        </w:tc>
      </w:tr>
    </w:tbl>
    <w:p>
      <w:pPr>
        <w:pStyle w:val="Heading2"/>
      </w:pPr>
      <w:r>
        <w:t>2. Effect of Ni Addition on FCC Thermal Stability</w:t>
      </w:r>
    </w:p>
    <w:p>
      <w:r>
        <w:t>Increasing Ni content enhances FCC phase stability in the Cantor-type alloy system. "</w:t>
        <w:br/>
        <w:t>"From LAMMPS-OVITO analysis, the FCC structure remains fully retained at 2073 K, where OVITO "</w:t>
        <w:br/>
        <w:t>"identifies 5760 atoms as FCC (100%). At 2273 K, the FCC fraction decreases to approximately 0.1%, "</w:t>
        <w:br/>
        <w:t>"with the structure becoming predominantly disordered (Other ~97.8%), indicating thermal breakdown "</w:t>
        <w:br/>
        <w:t>"of the FCC lattice.</w:t>
      </w:r>
    </w:p>
    <w:p>
      <w:r>
        <w:t>The enhanced stability with Ni addition is related to the increase in VEC from 7.50 to 8.45, "</w:t>
        <w:br/>
        <w:t>"which promotes FCC stabilization in transition-metal HEAs. Ni has a strong FCC-forming tendency and "</w:t>
        <w:br/>
        <w:t>"modifies electronic interactions among Co, Cr, Fe and Mn, increasing the resistance of the FCC lattice "</w:t>
        <w:br/>
        <w:t>"against high-temperature disordering. The moderately negative ΔHmix values indicate favourable atomic "</w:t>
        <w:br/>
        <w:t>"mixing while avoiding excessive chemical ordering, allowing retention of a random solid solution.</w:t>
      </w:r>
    </w:p>
    <w:p>
      <w:r>
        <w:t>The density increase with Ni addition (7.826 to 8.25 g/cm³) indicates improved atomic packing and "</w:t>
        <w:br/>
        <w:t>"reduced free volume, which further contributes to structural stability. Therefore, the observed increase "</w:t>
        <w:br/>
        <w:t>"in FCC retention temperature is attributed to the combined effects of increased VEC, favourable mixing "</w:t>
        <w:br/>
        <w:t>"enthalpy, and improved atomic packing efficiency.</w:t>
      </w:r>
    </w:p>
    <w:p>
      <w:pPr>
        <w:pStyle w:val="Heading2"/>
      </w:pPr>
      <w:r>
        <w:t>OVITO Phase Analysis Evidence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33666a4-e2a8-472e-87bc-ce3b2371e7ab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OVITO analysis at 2073 K showing 100% FCC phase retention.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a1f1b8a-ee3e-4b01-be34-b2e41b79241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OVITO analysis at 2273 K showing FCC breakdown and disordered structure.</w:t>
      </w:r>
    </w:p>
    <w:p>
      <w:pPr>
        <w:pStyle w:val="Heading2"/>
      </w:pPr>
      <w:r>
        <w:t>References</w:t>
      </w:r>
    </w:p>
    <w:p>
      <w:r>
        <w:t>1. Zhang et al., Progress in Materials Science, 2014. High-entropy alloy thermodynamic parameters.</w:t>
        <w:br/>
        <w:t>2. Otto et al., Acta Materialia, 2013. Phase stability of CoCrFeMnNi Cantor alloy.</w:t>
        <w:br/>
        <w:t>3. Takeuchi and Inoue, Materials Transactions, 2005. Mixing enthalpy and phase stability concepts.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