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sz w:val="22"/>
        </w:rPr>
        <w:t>WebApp vs LAMMPS Validation for Co25Cr25Fe0Mn25Ni25 Alloy</w:t>
      </w:r>
    </w:p>
    <w:p>
      <w:r>
        <w:rPr>
          <w:rFonts w:ascii="Times New Roman" w:hAnsi="Times New Roman"/>
          <w:sz w:val="22"/>
        </w:rPr>
        <w:t>Comparison of WebApp predicted parameters with LAMMPS/formula-based verification for Fe = 0 at.% composition (Co25Cr25Fe0Mn25Ni25).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WebApp predicted value</w:t>
            </w:r>
          </w:p>
        </w:tc>
        <w:tc>
          <w:tcPr>
            <w:tcW w:type="dxa" w:w="2880"/>
          </w:tcPr>
          <w:p>
            <w:r>
              <w:t>LAMMPS verified value</w:t>
            </w:r>
          </w:p>
        </w:tc>
      </w:tr>
      <w:tr>
        <w:tc>
          <w:tcPr>
            <w:tcW w:type="dxa" w:w="2880"/>
          </w:tcPr>
          <w:p>
            <w:r>
              <w:t>ΔHmix (kJ/mol)</w:t>
            </w:r>
          </w:p>
        </w:tc>
        <w:tc>
          <w:tcPr>
            <w:tcW w:type="dxa" w:w="2880"/>
          </w:tcPr>
          <w:p>
            <w:r>
              <w:t>-4.886</w:t>
            </w:r>
          </w:p>
        </w:tc>
        <w:tc>
          <w:tcPr>
            <w:tcW w:type="dxa" w:w="2880"/>
          </w:tcPr>
          <w:p>
            <w:r>
              <w:t>-4.651 (FCC reference)</w:t>
            </w:r>
          </w:p>
        </w:tc>
      </w:tr>
      <w:tr>
        <w:tc>
          <w:tcPr>
            <w:tcW w:type="dxa" w:w="2880"/>
          </w:tcPr>
          <w:p>
            <w:r>
              <w:t>Delta Radius (%)</w:t>
            </w:r>
          </w:p>
        </w:tc>
        <w:tc>
          <w:tcPr>
            <w:tcW w:type="dxa" w:w="2880"/>
          </w:tcPr>
          <w:p>
            <w:r>
              <w:t>1.818</w:t>
            </w:r>
          </w:p>
        </w:tc>
        <w:tc>
          <w:tcPr>
            <w:tcW w:type="dxa" w:w="2880"/>
          </w:tcPr>
          <w:p>
            <w:r>
              <w:t>1.818</w:t>
            </w:r>
          </w:p>
        </w:tc>
      </w:tr>
      <w:tr>
        <w:tc>
          <w:tcPr>
            <w:tcW w:type="dxa" w:w="2880"/>
          </w:tcPr>
          <w:p>
            <w:r>
              <w:t>Mean Atomic Radius (pm)</w:t>
            </w:r>
          </w:p>
        </w:tc>
        <w:tc>
          <w:tcPr>
            <w:tcW w:type="dxa" w:w="2880"/>
          </w:tcPr>
          <w:p>
            <w:r>
              <w:t>137.5</w:t>
            </w:r>
          </w:p>
        </w:tc>
        <w:tc>
          <w:tcPr>
            <w:tcW w:type="dxa" w:w="2880"/>
          </w:tcPr>
          <w:p>
            <w:r>
              <w:t>137.5</w:t>
            </w:r>
          </w:p>
        </w:tc>
      </w:tr>
      <w:tr>
        <w:tc>
          <w:tcPr>
            <w:tcW w:type="dxa" w:w="2880"/>
          </w:tcPr>
          <w:p>
            <w:r>
              <w:t>Density (g/cm³)</w:t>
            </w:r>
          </w:p>
        </w:tc>
        <w:tc>
          <w:tcPr>
            <w:tcW w:type="dxa" w:w="2880"/>
          </w:tcPr>
          <w:p>
            <w:r>
              <w:t>8.052</w:t>
            </w:r>
          </w:p>
        </w:tc>
        <w:tc>
          <w:tcPr>
            <w:tcW w:type="dxa" w:w="2880"/>
          </w:tcPr>
          <w:p>
            <w:r>
              <w:t>8.079</w:t>
            </w:r>
          </w:p>
        </w:tc>
      </w:tr>
      <w:tr>
        <w:tc>
          <w:tcPr>
            <w:tcW w:type="dxa" w:w="2880"/>
          </w:tcPr>
          <w:p>
            <w:r>
              <w:t>Mean Melting Point (K)</w:t>
            </w:r>
          </w:p>
        </w:tc>
        <w:tc>
          <w:tcPr>
            <w:tcW w:type="dxa" w:w="2880"/>
          </w:tcPr>
          <w:p>
            <w:r>
              <w:t>1798.9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VEC</w:t>
            </w:r>
          </w:p>
        </w:tc>
        <w:tc>
          <w:tcPr>
            <w:tcW w:type="dxa" w:w="2880"/>
          </w:tcPr>
          <w:p>
            <w:r>
              <w:t>8.00</w:t>
            </w:r>
          </w:p>
        </w:tc>
        <w:tc>
          <w:tcPr>
            <w:tcW w:type="dxa" w:w="2880"/>
          </w:tcPr>
          <w:p>
            <w:r>
              <w:t>8.00</w:t>
            </w:r>
          </w:p>
        </w:tc>
      </w:tr>
      <w:tr>
        <w:tc>
          <w:tcPr>
            <w:tcW w:type="dxa" w:w="2880"/>
          </w:tcPr>
          <w:p>
            <w:r>
              <w:t>Mixing Entropy (Sconf/R)</w:t>
            </w:r>
          </w:p>
        </w:tc>
        <w:tc>
          <w:tcPr>
            <w:tcW w:type="dxa" w:w="2880"/>
          </w:tcPr>
          <w:p>
            <w:r>
              <w:t>1.386</w:t>
            </w:r>
          </w:p>
        </w:tc>
        <w:tc>
          <w:tcPr>
            <w:tcW w:type="dxa" w:w="2880"/>
          </w:tcPr>
          <w:p>
            <w:r>
              <w:t>1.386</w:t>
            </w:r>
          </w:p>
        </w:tc>
      </w:tr>
      <w:tr>
        <w:tc>
          <w:tcPr>
            <w:tcW w:type="dxa" w:w="2880"/>
          </w:tcPr>
          <w:p>
            <w:r>
              <w:t>Lambda</w:t>
            </w:r>
          </w:p>
        </w:tc>
        <w:tc>
          <w:tcPr>
            <w:tcW w:type="dxa" w:w="2880"/>
          </w:tcPr>
          <w:p>
            <w:r>
              <w:t>0.419</w:t>
            </w:r>
          </w:p>
        </w:tc>
        <w:tc>
          <w:tcPr>
            <w:tcW w:type="dxa" w:w="2880"/>
          </w:tcPr>
          <w:p>
            <w:r>
              <w:t>0.419</w:t>
            </w:r>
          </w:p>
        </w:tc>
      </w:tr>
      <w:tr>
        <w:tc>
          <w:tcPr>
            <w:tcW w:type="dxa" w:w="2880"/>
          </w:tcPr>
          <w:p>
            <w:r>
              <w:t>Omega</w:t>
            </w:r>
          </w:p>
        </w:tc>
        <w:tc>
          <w:tcPr>
            <w:tcW w:type="dxa" w:w="2880"/>
          </w:tcPr>
          <w:p>
            <w:r>
              <w:t>4.244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FCC phase stability temperature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1273–2073 K range from heating/quenching analysis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sz w:val="22"/>
        </w:rPr>
        <w:t>Manuscript Validation Table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Alloy</w:t>
            </w:r>
          </w:p>
        </w:tc>
        <w:tc>
          <w:tcPr>
            <w:tcW w:type="dxa" w:w="2880"/>
          </w:tcPr>
          <w:p>
            <w:r>
              <w:t>WebApp predicted data</w:t>
            </w:r>
          </w:p>
        </w:tc>
        <w:tc>
          <w:tcPr>
            <w:tcW w:type="dxa" w:w="2880"/>
          </w:tcPr>
          <w:p>
            <w:r>
              <w:t>LAMMPS / Formula verified data</w:t>
            </w:r>
          </w:p>
        </w:tc>
      </w:tr>
      <w:tr>
        <w:tc>
          <w:tcPr>
            <w:tcW w:type="dxa" w:w="2880"/>
          </w:tcPr>
          <w:p>
            <w:r>
              <w:t>Co25Cr25Fe0Mn25Ni25</w:t>
            </w:r>
          </w:p>
        </w:tc>
        <w:tc>
          <w:tcPr>
            <w:tcW w:type="dxa" w:w="2880"/>
          </w:tcPr>
          <w:p>
            <w:r>
              <w:t>ΔHmix −4.886 kJ/mol; δ 1.818%; Mean atomic radius 137.5 pm; Density 8.052 g/cm³; Mean melting point 1798.9 K; VEC 8.00; Ω 4.244</w:t>
            </w:r>
          </w:p>
        </w:tc>
        <w:tc>
          <w:tcPr>
            <w:tcW w:type="dxa" w:w="2880"/>
          </w:tcPr>
          <w:p>
            <w:r>
              <w:t>ΔHmix −4.651 kJ/mol (FCC reference); Density 8.079 g/cm³; VEC 8.00; δ 1.818%; FCC structure verified through LAMMPS heating/quenching</w:t>
            </w:r>
          </w:p>
        </w:tc>
      </w:tr>
    </w:tbl>
    <w:p>
      <w:r>
        <w:rPr>
          <w:rFonts w:ascii="Times New Roman" w:hAnsi="Times New Roman"/>
          <w:sz w:val="22"/>
        </w:rPr>
        <w:t>Similarity: Excellent agreement; density difference ≈0.33%; structural descriptors closely matched.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