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Thermodynamic and LAMMPS Validation Analysis of Co20Cr20Fe5Mn35Ni20 High Entropy Alloy</w:t>
      </w:r>
    </w:p>
    <w:p>
      <w:pPr>
        <w:pStyle w:val="Heading2"/>
      </w:pPr>
      <w:r>
        <w:t>1. Composition</w:t>
      </w:r>
    </w:p>
    <w:p>
      <w:r>
        <w:t>The investigated alloy composition is Co20Cr20Fe5Mn35Ni20 (at.%). The alloy contains a high Mn concentration (35 at.%), which strongly influences phase stability, chemical interactions, and thermodynamic behavior.</w:t>
      </w:r>
    </w:p>
    <w:p>
      <w:pPr>
        <w:pStyle w:val="Heading2"/>
      </w:pPr>
      <w:r>
        <w:t>2. Comparison of Formula-Based and LAMMPS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WebApp Report</w:t>
            </w:r>
          </w:p>
        </w:tc>
        <w:tc>
          <w:tcPr>
            <w:tcW w:type="dxa" w:w="2160"/>
          </w:tcPr>
          <w:p>
            <w:r>
              <w:t>Formula Calculation (Miedema)</w:t>
            </w:r>
          </w:p>
        </w:tc>
        <w:tc>
          <w:tcPr>
            <w:tcW w:type="dxa" w:w="2160"/>
          </w:tcPr>
          <w:p>
            <w:r>
              <w:t>LAMMPS (MEAM Simulation)</w:t>
            </w:r>
          </w:p>
        </w:tc>
      </w:tr>
      <w:tr>
        <w:tc>
          <w:tcPr>
            <w:tcW w:type="dxa" w:w="2160"/>
          </w:tcPr>
          <w:p>
            <w:r>
              <w:t>Mean Atomic Radius</w:t>
            </w:r>
          </w:p>
        </w:tc>
        <w:tc>
          <w:tcPr>
            <w:tcW w:type="dxa" w:w="2160"/>
          </w:tcPr>
          <w:p>
            <w:r>
              <w:t>138 pm</w:t>
            </w:r>
          </w:p>
        </w:tc>
        <w:tc>
          <w:tcPr>
            <w:tcW w:type="dxa" w:w="2160"/>
          </w:tcPr>
          <w:p>
            <w:r>
              <w:t>138.0 pm</w:t>
            </w:r>
          </w:p>
        </w:tc>
        <w:tc>
          <w:tcPr>
            <w:tcW w:type="dxa" w:w="2160"/>
          </w:tcPr>
          <w:p>
            <w:r>
              <w:t>—</w:t>
            </w:r>
          </w:p>
        </w:tc>
      </w:tr>
      <w:tr>
        <w:tc>
          <w:tcPr>
            <w:tcW w:type="dxa" w:w="2160"/>
          </w:tcPr>
          <w:p>
            <w:r>
              <w:t>Delta Radius (δ)</w:t>
            </w:r>
          </w:p>
        </w:tc>
        <w:tc>
          <w:tcPr>
            <w:tcW w:type="dxa" w:w="2160"/>
          </w:tcPr>
          <w:p>
            <w:r>
              <w:t>1.775 %</w:t>
            </w:r>
          </w:p>
        </w:tc>
        <w:tc>
          <w:tcPr>
            <w:tcW w:type="dxa" w:w="2160"/>
          </w:tcPr>
          <w:p>
            <w:r>
              <w:t>1.775 %</w:t>
            </w:r>
          </w:p>
        </w:tc>
        <w:tc>
          <w:tcPr>
            <w:tcW w:type="dxa" w:w="2160"/>
          </w:tcPr>
          <w:p>
            <w:r>
              <w:t>—</w:t>
            </w:r>
          </w:p>
        </w:tc>
      </w:tr>
      <w:tr>
        <w:tc>
          <w:tcPr>
            <w:tcW w:type="dxa" w:w="2160"/>
          </w:tcPr>
          <w:p>
            <w:r>
              <w:t>Mixing Entropy (S/R)</w:t>
            </w:r>
          </w:p>
        </w:tc>
        <w:tc>
          <w:tcPr>
            <w:tcW w:type="dxa" w:w="2160"/>
          </w:tcPr>
          <w:p>
            <w:r>
              <w:t>1.483</w:t>
            </w:r>
          </w:p>
        </w:tc>
        <w:tc>
          <w:tcPr>
            <w:tcW w:type="dxa" w:w="2160"/>
          </w:tcPr>
          <w:p>
            <w:r>
              <w:t>1.4829</w:t>
            </w:r>
          </w:p>
        </w:tc>
        <w:tc>
          <w:tcPr>
            <w:tcW w:type="dxa" w:w="2160"/>
          </w:tcPr>
          <w:p>
            <w:r>
              <w:t>1.4829</w:t>
            </w:r>
          </w:p>
        </w:tc>
      </w:tr>
      <w:tr>
        <w:tc>
          <w:tcPr>
            <w:tcW w:type="dxa" w:w="2160"/>
          </w:tcPr>
          <w:p>
            <w:r>
              <w:t>Lambda (Λ)</w:t>
            </w:r>
          </w:p>
        </w:tc>
        <w:tc>
          <w:tcPr>
            <w:tcW w:type="dxa" w:w="2160"/>
          </w:tcPr>
          <w:p>
            <w:r>
              <w:t>0.471</w:t>
            </w:r>
          </w:p>
        </w:tc>
        <w:tc>
          <w:tcPr>
            <w:tcW w:type="dxa" w:w="2160"/>
          </w:tcPr>
          <w:p>
            <w:r>
              <w:t>0.4707</w:t>
            </w:r>
          </w:p>
        </w:tc>
        <w:tc>
          <w:tcPr>
            <w:tcW w:type="dxa" w:w="2160"/>
          </w:tcPr>
          <w:p>
            <w:r>
              <w:t>—</w:t>
            </w:r>
          </w:p>
        </w:tc>
      </w:tr>
      <w:tr>
        <w:tc>
          <w:tcPr>
            <w:tcW w:type="dxa" w:w="2160"/>
          </w:tcPr>
          <w:p>
            <w:r>
              <w:t>Mean Melting Point</w:t>
            </w:r>
          </w:p>
        </w:tc>
        <w:tc>
          <w:tcPr>
            <w:tcW w:type="dxa" w:w="2160"/>
          </w:tcPr>
          <w:p>
            <w:r>
              <w:t>1757.55 K</w:t>
            </w:r>
          </w:p>
        </w:tc>
        <w:tc>
          <w:tcPr>
            <w:tcW w:type="dxa" w:w="2160"/>
          </w:tcPr>
          <w:p>
            <w:r>
              <w:t>1757.4 K</w:t>
            </w:r>
          </w:p>
        </w:tc>
        <w:tc>
          <w:tcPr>
            <w:tcW w:type="dxa" w:w="2160"/>
          </w:tcPr>
          <w:p>
            <w:r>
              <w:t>—</w:t>
            </w:r>
          </w:p>
        </w:tc>
      </w:tr>
      <w:tr>
        <w:tc>
          <w:tcPr>
            <w:tcW w:type="dxa" w:w="2160"/>
          </w:tcPr>
          <w:p>
            <w:r>
              <w:t>Mean Density</w:t>
            </w:r>
          </w:p>
        </w:tc>
        <w:tc>
          <w:tcPr>
            <w:tcW w:type="dxa" w:w="2160"/>
          </w:tcPr>
          <w:p>
            <w:r>
              <w:t>7.93 g/cm³</w:t>
            </w:r>
          </w:p>
        </w:tc>
        <w:tc>
          <w:tcPr>
            <w:tcW w:type="dxa" w:w="2160"/>
          </w:tcPr>
          <w:p>
            <w:r>
              <w:t>7.917 g/cm³</w:t>
            </w:r>
          </w:p>
        </w:tc>
        <w:tc>
          <w:tcPr>
            <w:tcW w:type="dxa" w:w="2160"/>
          </w:tcPr>
          <w:p>
            <w:r>
              <w:t>7.945 g/cm³ (relaxed FCC)</w:t>
            </w:r>
          </w:p>
        </w:tc>
      </w:tr>
      <w:tr>
        <w:tc>
          <w:tcPr>
            <w:tcW w:type="dxa" w:w="2160"/>
          </w:tcPr>
          <w:p>
            <w:r>
              <w:t>VEC</w:t>
            </w:r>
          </w:p>
        </w:tc>
        <w:tc>
          <w:tcPr>
            <w:tcW w:type="dxa" w:w="2160"/>
          </w:tcPr>
          <w:p>
            <w:r>
              <w:t>7.85</w:t>
            </w:r>
          </w:p>
        </w:tc>
        <w:tc>
          <w:tcPr>
            <w:tcW w:type="dxa" w:w="2160"/>
          </w:tcPr>
          <w:p>
            <w:r>
              <w:t>7.85</w:t>
            </w:r>
          </w:p>
        </w:tc>
        <w:tc>
          <w:tcPr>
            <w:tcW w:type="dxa" w:w="2160"/>
          </w:tcPr>
          <w:p>
            <w:r>
              <w:t>—</w:t>
            </w:r>
          </w:p>
        </w:tc>
      </w:tr>
      <w:tr>
        <w:tc>
          <w:tcPr>
            <w:tcW w:type="dxa" w:w="2160"/>
          </w:tcPr>
          <w:p>
            <w:r>
              <w:t>ΔHmix</w:t>
            </w:r>
          </w:p>
        </w:tc>
        <w:tc>
          <w:tcPr>
            <w:tcW w:type="dxa" w:w="2160"/>
          </w:tcPr>
          <w:p>
            <w:r>
              <w:t>−5.112 kJ/mol</w:t>
            </w:r>
          </w:p>
        </w:tc>
        <w:tc>
          <w:tcPr>
            <w:tcW w:type="dxa" w:w="2160"/>
          </w:tcPr>
          <w:p>
            <w:r>
              <w:t>−5.00 kJ/mol</w:t>
            </w:r>
          </w:p>
        </w:tc>
        <w:tc>
          <w:tcPr>
            <w:tcW w:type="dxa" w:w="2160"/>
          </w:tcPr>
          <w:p>
            <w:r>
              <w:t>−4.116 kJ/mol (elemental reference)</w:t>
            </w:r>
          </w:p>
        </w:tc>
      </w:tr>
      <w:tr>
        <w:tc>
          <w:tcPr>
            <w:tcW w:type="dxa" w:w="2160"/>
          </w:tcPr>
          <w:p>
            <w:r>
              <w:t>Omega (Ω)</w:t>
            </w:r>
          </w:p>
        </w:tc>
        <w:tc>
          <w:tcPr>
            <w:tcW w:type="dxa" w:w="2160"/>
          </w:tcPr>
          <w:p>
            <w:r>
              <w:t>4.239</w:t>
            </w:r>
          </w:p>
        </w:tc>
        <w:tc>
          <w:tcPr>
            <w:tcW w:type="dxa" w:w="2160"/>
          </w:tcPr>
          <w:p>
            <w:r>
              <w:t>4.334</w:t>
            </w:r>
          </w:p>
        </w:tc>
        <w:tc>
          <w:tcPr>
            <w:tcW w:type="dxa" w:w="2160"/>
          </w:tcPr>
          <w:p>
            <w:r>
              <w:t>5.264 (elemental reference)</w:t>
            </w:r>
          </w:p>
        </w:tc>
      </w:tr>
    </w:tbl>
    <w:p>
      <w:pPr>
        <w:pStyle w:val="Heading2"/>
      </w:pPr>
      <w:r>
        <w:t>3. Corrected ΔHmix Interpretation</w:t>
      </w:r>
    </w:p>
    <w:p>
      <w:r>
        <w:t>The LAMMPS-based mixing enthalpy was calculated using the elemental reference energy approach. The corrected value is ΔHmix = −4.116 kJ/mol. This value is consistent with the negative ΔHmix predicted by the Miedema-based approaches (−5.112 and −5.00 kJ/mol). Therefore, all methods indicate favorable atomic mixing behavior.</w:t>
      </w:r>
    </w:p>
    <w:p>
      <w:pPr>
        <w:pStyle w:val="Heading2"/>
      </w:pPr>
      <w:r>
        <w:t>4. Effect of Mn Addition on Alloy Behavior</w:t>
      </w:r>
    </w:p>
    <w:p>
      <w:r>
        <w:t>Mn plays a critical role in this alloy because of its high concentration (35 at.%). Mn has a strong influence on configurational entropy and contributes to the stabilization of the single-phase solid solution by increasing chemical complexity. The negative ΔHmix obtained from both Miedema and LAMMPS calculations indicates favorable interactions between Mn and the transition-metal elements.</w:t>
      </w:r>
    </w:p>
    <w:p>
      <w:r>
        <w:t>In Mn-containing CoCrFeNi-based high entropy alloys, Mn commonly acts as an FCC stabilizer, promotes lattice distortion due to atomic size mismatch, and modifies local chemical ordering. The presence of Mn increases lattice strain and chemical fluctuations, which can enhance solid-solution strengthening. The LAMMPS results show that the alloy remains predominantly FCC at lower temperatures, while increased disorder appears after thermal treatment, indicating the effect of Mn on phase stability and structural evolution.</w:t>
      </w:r>
    </w:p>
    <w:p>
      <w:pPr>
        <w:pStyle w:val="Heading2"/>
      </w:pPr>
      <w:r>
        <w:t>5. Final Conclusion</w:t>
      </w:r>
    </w:p>
    <w:p>
      <w:r>
        <w:t>The corrected analysis confirms that the Co20Cr20Fe5Mn35Ni20 alloy exhibits thermodynamically favorable mixing. The recommended LAMMPS ΔHmix value for reporting is −4.116 kJ/mol based on elemental reference energies, with Ω = 5.264. The results demonstrate good agreement between empirical predictions and atomistic simulation.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