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43D6C"/>
          <w:sz w:val="60"/>
        </w:rPr>
        <w:t>ESTA WORKFORCE OS</w:t>
      </w:r>
    </w:p>
    <w:p>
      <w:pPr>
        <w:jc w:val="center"/>
      </w:pPr>
      <w:r>
        <w:rPr>
          <w:b/>
          <w:color w:val="2563EB"/>
          <w:sz w:val="36"/>
        </w:rPr>
        <w:t>Super Admin — Final Requirements, Architecture &amp; Delivery Roadmap</w:t>
      </w:r>
    </w:p>
    <w:p>
      <w:pPr>
        <w:jc w:val="center"/>
      </w:pPr>
      <w:r>
        <w:rPr>
          <w:i/>
        </w:rPr>
        <w:t>Consolidated project handover / continuation document</w:t>
      </w:r>
    </w:p>
    <w:p>
      <w:pPr>
        <w:jc w:val="center"/>
      </w:pPr>
      <w:r>
        <w:t>Status captured through SA-H1C.1 checkpoint • October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DF4FB"/>
          </w:tcPr>
          <w:p>
            <w:r/>
            <w:r>
              <w:rPr>
                <w:rFonts w:ascii="Aptos" w:hAnsi="Aptos"/>
                <w:b/>
                <w:color w:val="143D6C"/>
                <w:sz w:val="18"/>
              </w:rPr>
              <w:t>Current stable branch</w:t>
            </w:r>
          </w:p>
        </w:tc>
        <w:tc>
          <w:tcPr>
            <w:tcW w:type="dxa" w:w="5083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main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43D6C"/>
                <w:sz w:val="18"/>
              </w:rPr>
              <w:t>Latest stable checkpoint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a046ec290cb6e00866bc7492a0392c9260af4d31</w:t>
            </w:r>
          </w:p>
        </w:tc>
      </w:tr>
      <w:tr>
        <w:tc>
          <w:tcPr>
            <w:tcW w:type="dxa" w:w="5083"/>
            <w:vAlign w:val="center"/>
            <w:shd w:fill="EDF4FB"/>
          </w:tcPr>
          <w:p>
            <w:r/>
            <w:r>
              <w:rPr>
                <w:rFonts w:ascii="Aptos" w:hAnsi="Aptos"/>
                <w:b/>
                <w:color w:val="143D6C"/>
                <w:sz w:val="18"/>
              </w:rPr>
              <w:t>Latest completed phase</w:t>
            </w:r>
          </w:p>
        </w:tc>
        <w:tc>
          <w:tcPr>
            <w:tcW w:type="dxa" w:w="5083"/>
            <w:vAlign w:val="center"/>
            <w:shd w:fill="EDF4FB"/>
          </w:tcPr>
          <w:p>
            <w:r/>
            <w:r>
              <w:rPr>
                <w:rFonts w:ascii="Aptos" w:hAnsi="Aptos"/>
                <w:b w:val="0"/>
                <w:sz w:val="18"/>
              </w:rPr>
              <w:t>SA-H1C.1 — Super Admin Platform Dashboard Backend Foundation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43D6C"/>
                <w:sz w:val="18"/>
              </w:rPr>
              <w:t>Next phase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SA-H1C.2 — Dashboard Role Dispatcher + Frontend API + Global Date Range</w:t>
            </w:r>
          </w:p>
        </w:tc>
      </w:tr>
    </w:tbl>
    <w:p>
      <w:r>
        <w:br w:type="page"/>
      </w:r>
    </w:p>
    <w:p>
      <w:pPr>
        <w:pStyle w:val="Heading1"/>
      </w:pPr>
      <w:r>
        <w:t>1. Purpose of This Document</w:t>
      </w:r>
    </w:p>
    <w:p>
      <w:r>
        <w:t>This document consolidates the Super Admin structure, business requirements, technical architecture, phase boundaries, completed checkpoints, dashboard contract, billing/commercial rules, UX decisions, and the agreed implementation sequence for Esta Workforce OS. It is intended to be sufficient context for continuing the work in a new ChatGPT/Codex conversation without relying on the previous long chat.</w:t>
      </w:r>
    </w:p>
    <w:p>
      <w:pPr>
        <w:pStyle w:val="Heading1"/>
      </w:pPr>
      <w:r>
        <w:t>2. Product &amp; Architecture Context</w:t>
      </w:r>
    </w:p>
    <w:p>
      <w:pPr>
        <w:pStyle w:val="ListBullet"/>
        <w:spacing w:after="40"/>
      </w:pPr>
      <w:r>
        <w:t>Esta Workforce OS is a multi-tenant SaaS Workforce Operating System.</w:t>
      </w:r>
    </w:p>
    <w:p>
      <w:pPr>
        <w:pStyle w:val="ListBullet"/>
        <w:spacing w:after="40"/>
      </w:pPr>
      <w:r>
        <w:t>Current stack: NestJS backend, Prisma ORM, PostgreSQL database, React/Vite/MUI Admin Panel, Electron desktop agent, and browser extension.</w:t>
      </w:r>
    </w:p>
    <w:p>
      <w:pPr>
        <w:pStyle w:val="ListBullet"/>
        <w:spacing w:after="40"/>
      </w:pPr>
      <w:r>
        <w:t>The original long-term product vision covers CRM, HRMS, attendance, monitoring, tasks/projects, ERP Lite, AI analytics, communication, reporting, SaaS billing, and later mobile applications.</w:t>
      </w:r>
    </w:p>
    <w:p>
      <w:pPr>
        <w:pStyle w:val="ListBullet"/>
        <w:spacing w:after="40"/>
      </w:pPr>
      <w:r>
        <w:t>Current delivery focus is NOT the entire SOW. The active program is the Super Admin SaaS control plane and commercial foundation.</w:t>
      </w:r>
    </w:p>
    <w:p>
      <w:pPr>
        <w:pStyle w:val="ListBullet"/>
        <w:spacing w:after="40"/>
      </w:pPr>
      <w:r>
        <w:t>Architecture must remain provider-neutral, tenant-safe, production-quality, and compatible with later enterprise expansion.</w:t>
      </w:r>
    </w:p>
    <w:p>
      <w:pPr>
        <w:pStyle w:val="Heading1"/>
      </w:pPr>
      <w:r>
        <w:t>3. Non-Negotiable Engineering Principles</w:t>
      </w:r>
    </w:p>
    <w:p>
      <w:pPr>
        <w:pStyle w:val="ListBullet"/>
        <w:spacing w:after="40"/>
      </w:pPr>
      <w:r>
        <w:t>Correctness and production quality take priority over speed.</w:t>
      </w:r>
    </w:p>
    <w:p>
      <w:pPr>
        <w:pStyle w:val="ListBullet"/>
        <w:spacing w:after="40"/>
      </w:pPr>
      <w:r>
        <w:t>Do not sacrifice data integrity, security, tenant isolation, lifecycle correctness, regression testing, or stable checkpoint verification.</w:t>
      </w:r>
    </w:p>
    <w:p>
      <w:pPr>
        <w:pStyle w:val="ListBullet"/>
        <w:spacing w:after="40"/>
      </w:pPr>
      <w:r>
        <w:t>Every implementation phase should cover functional correctness, UI/readability where relevant, responsive behavior, loading/error/empty states, regression tests, scope control, and manual browser verification when relevant.</w:t>
      </w:r>
    </w:p>
    <w:p>
      <w:pPr>
        <w:pStyle w:val="ListBullet"/>
        <w:spacing w:after="40"/>
      </w:pPr>
      <w:r>
        <w:t>Use read-only architecture/final reviews before checkpointing important phases.</w:t>
      </w:r>
    </w:p>
    <w:p>
      <w:pPr>
        <w:pStyle w:val="ListBullet"/>
        <w:spacing w:after="40"/>
      </w:pPr>
      <w:r>
        <w:t>No unrelated changes. Track exact file scope, branch/HEAD/origin match, clean status, migration count, git diff --check, and validation results.</w:t>
      </w:r>
    </w:p>
    <w:p>
      <w:pPr>
        <w:pStyle w:val="ListBullet"/>
        <w:spacing w:after="40"/>
      </w:pPr>
      <w:r>
        <w:t>Do not modify already-applied migrations. Do not introduce schema changes unless the bounded phase genuinely requires them.</w:t>
      </w:r>
    </w:p>
    <w:p>
      <w:pPr>
        <w:pStyle w:val="ListBullet"/>
        <w:spacing w:after="40"/>
      </w:pPr>
      <w:r>
        <w:t>Never invent commercial metrics or unsupported product capabilities simply to make a dashboard look complete.</w:t>
      </w:r>
    </w:p>
    <w:p>
      <w:pPr>
        <w:pStyle w:val="Heading1"/>
      </w:pPr>
      <w:r>
        <w:t>4. Super Admin Mission</w:t>
      </w:r>
    </w:p>
    <w:p>
      <w:r>
        <w:t>Super Admin is the platform control plane. It manages tenant companies, plans, subscriptions, trials, commercial usage/capacity, billing foundations, platform-level communication/access/reporting/settings, and platform analytics. It must not behave like a tenant Company Admin or expose tenant operational screens to SUPER_ADMIN merely because those routes exist.</w:t>
      </w:r>
    </w:p>
    <w:p>
      <w:pPr>
        <w:pStyle w:val="Heading1"/>
      </w:pPr>
      <w:r>
        <w:t>5. Approved Super Admin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46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Status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Platform-wide SaaS overview and analytics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 progress — SA-H1C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Companies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company management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Plans &amp; Pricing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Commercial plans and pricing authority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Subscriptions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subscription lifecycle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Functional / evolving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Trial Management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Trial lifecycle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Usage &amp; Seats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Commercial capacity view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Functional, but billable-seat authority needs later correction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SaaS Management / Storage Usage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Commercial storage usage/capacity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/ Payments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 history/read experience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Deferred; backend payment foundation exists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Billing / Invoices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Invoice operations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Coming Soon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/ GST Invoices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GST invoice operations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Coming Soon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Billing / Renewals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Renewal orchestration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Coming Soon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/ Billing Settings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Billing/provider/invoice configuration authority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Functional foundation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Platform Communication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Email config/templates/delivery logs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&amp; Access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 users, roles/permissions, audit logs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244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446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Revenue/subscription/usage/tenant reports</w:t>
            </w:r>
          </w:p>
        </w:tc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Platform/branding/security/storage limits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Later phase</w:t>
            </w:r>
          </w:p>
        </w:tc>
      </w:tr>
    </w:tbl>
    <w:p>
      <w:pPr>
        <w:spacing w:after="20"/>
      </w:pPr>
    </w:p>
    <w:p>
      <w:pPr>
        <w:pStyle w:val="Heading1"/>
      </w:pPr>
      <w:r>
        <w:t>6. Role &amp; Route Isolation</w:t>
      </w:r>
    </w:p>
    <w:p>
      <w:r>
        <w:t>Approved shared-root architecture:</w:t>
      </w:r>
    </w:p>
    <w:p>
      <w:pPr>
        <w:pStyle w:val="IntenseQuote"/>
      </w:pPr>
      <w:r>
        <w:t>DashboardPage</w:t>
        <w:br/>
        <w:t xml:space="preserve">  ├─ SUPER_ADMIN → PlatformDashboardPage</w:t>
        <w:br/>
        <w:t xml:space="preserve">  └─ COMPANY_ADMIN / HR / MANAGER / EMPLOYEE → TenantDashboardPage</w:t>
      </w:r>
    </w:p>
    <w:p>
      <w:pPr>
        <w:pStyle w:val="ListBullet"/>
        <w:spacing w:after="40"/>
      </w:pPr>
      <w:r>
        <w:t>The `/` route remains shared.</w:t>
      </w:r>
    </w:p>
    <w:p>
      <w:pPr>
        <w:pStyle w:val="ListBullet"/>
        <w:spacing w:after="40"/>
      </w:pPr>
      <w:r>
        <w:t>Tenant operational routes must deny SUPER_ADMIN even if hidden from the sidebar.</w:t>
      </w:r>
    </w:p>
    <w:p>
      <w:pPr>
        <w:pStyle w:val="ListBullet"/>
        <w:spacing w:after="40"/>
      </w:pPr>
      <w:r>
        <w:t>Platform routes must deny tenant roles.</w:t>
      </w:r>
    </w:p>
    <w:p>
      <w:pPr>
        <w:pStyle w:val="ListBullet"/>
        <w:spacing w:after="40"/>
      </w:pPr>
      <w:r>
        <w:t>Shared routes include `/`, `/notifications`, `/notifications/preferences`, and `/downloads` where policy permits.</w:t>
      </w:r>
    </w:p>
    <w:p>
      <w:pPr>
        <w:pStyle w:val="ListBullet"/>
        <w:spacing w:after="40"/>
      </w:pPr>
      <w:r>
        <w:t>Route policy and navigation/search must use centralized role definitions.</w:t>
      </w:r>
    </w:p>
    <w:p>
      <w:pPr>
        <w:pStyle w:val="Heading1"/>
      </w:pPr>
      <w:r>
        <w:t>7. Super Admin Header / Shell Decision</w:t>
      </w:r>
    </w:p>
    <w:p>
      <w:pPr>
        <w:pStyle w:val="ListBullet"/>
        <w:spacing w:after="40"/>
      </w:pPr>
      <w:r>
        <w:t>Preferred eventual Super Admin header: Search Navigation | Notifications | Super Admin Profile, with optional Help/Support.</w:t>
      </w:r>
    </w:p>
    <w:p>
      <w:pPr>
        <w:pStyle w:val="ListBullet"/>
        <w:spacing w:after="40"/>
      </w:pPr>
      <w:r>
        <w:t>`Download Apps` remains a product capability because desktop monitoring needs a download center, but it should not remain a prominent primary Super Admin header action.</w:t>
      </w:r>
    </w:p>
    <w:p>
      <w:pPr>
        <w:pStyle w:val="ListBullet"/>
        <w:spacing w:after="40"/>
      </w:pPr>
      <w:r>
        <w:t>`Global workspace` is redundant/misleading for Super Admin and should be removed in a later bounded shell/header phase.</w:t>
      </w:r>
    </w:p>
    <w:p>
      <w:pPr>
        <w:pStyle w:val="ListBullet"/>
        <w:spacing w:after="40"/>
      </w:pPr>
      <w:r>
        <w:t>Future tenant inspection should be an explicit controlled `Tenant Context` / `View Tenant` / Support Mode with company selection and auditability.</w:t>
      </w:r>
    </w:p>
    <w:p>
      <w:pPr>
        <w:pStyle w:val="ListBullet"/>
        <w:spacing w:after="40"/>
      </w:pPr>
      <w:r>
        <w:t>Do NOT mix these header changes into SA-H1C dashboard implementation.</w:t>
      </w:r>
    </w:p>
    <w:p>
      <w:pPr>
        <w:pStyle w:val="Heading1"/>
      </w:pPr>
      <w:r>
        <w:t>8. Tenant Domain / URL Architecture — Future Dedicated Phase</w:t>
      </w:r>
    </w:p>
    <w:p>
      <w:r>
        <w:t>Direction to preserve for later production architecture:</w:t>
      </w:r>
    </w:p>
    <w:p>
      <w:pPr>
        <w:pStyle w:val="ListBullet"/>
        <w:spacing w:after="40"/>
      </w:pPr>
      <w:r>
        <w:t>Platform Super Admin may use a dedicated platform hostname such as `super-admin.&lt;product-domain&gt;`.</w:t>
      </w:r>
    </w:p>
    <w:p>
      <w:pPr>
        <w:pStyle w:val="ListBullet"/>
        <w:spacing w:after="40"/>
      </w:pPr>
      <w:r>
        <w:t>Tenant companies may use tenant subdomains such as `abc.&lt;product-domain&gt;`.</w:t>
      </w:r>
    </w:p>
    <w:p>
      <w:pPr>
        <w:pStyle w:val="ListBullet"/>
        <w:spacing w:after="40"/>
      </w:pPr>
      <w:r>
        <w:t>Enterprise custom domains may be supported later, e.g. `workforce.abccompany.com`.</w:t>
      </w:r>
    </w:p>
    <w:p>
      <w:pPr>
        <w:pStyle w:val="ListBullet"/>
        <w:spacing w:after="40"/>
      </w:pPr>
      <w:r>
        <w:t>The future phase must lock company slug/subdomain uniqueness, DNS, wildcard SSL, custom-domain verification, tenant resolution, login routing, SUPER_ADMIN separation, domain changes, suspended/expired access, and audit/safety.</w:t>
      </w:r>
    </w:p>
    <w:p>
      <w:pPr>
        <w:pStyle w:val="ListBullet"/>
        <w:spacing w:after="40"/>
      </w:pPr>
      <w:r>
        <w:t>Do not implement tenant-domain logic opportunistically inside dashboard, billing, or navigation phases.</w:t>
      </w:r>
    </w:p>
    <w:p>
      <w:pPr>
        <w:pStyle w:val="Heading1"/>
      </w:pPr>
      <w:r>
        <w:t>9. Commercial / Billing Rules to Preserve</w:t>
      </w:r>
    </w:p>
    <w:p>
      <w:pPr>
        <w:pStyle w:val="ListBullet"/>
        <w:spacing w:after="40"/>
      </w:pPr>
      <w:r>
        <w:t>Billing architecture is provider-neutral. Razorpay is the intended first provider, but generic runtime must not be coupled to Razorpay.</w:t>
      </w:r>
    </w:p>
    <w:p>
      <w:pPr>
        <w:pStyle w:val="ListBullet"/>
        <w:spacing w:after="40"/>
      </w:pPr>
      <w:r>
        <w:t>No real Razorpay credentials are currently assumed. Structural/mocked/local contract testing is valid; real TEST connectivity verification comes later with approved credentials.</w:t>
      </w:r>
    </w:p>
    <w:p>
      <w:pPr>
        <w:pStyle w:val="ListBullet"/>
        <w:spacing w:after="40"/>
      </w:pPr>
      <w:r>
        <w:t>Billable seat definition: active, login-enabled human tenant User. SUPER_ADMIN does not consume tenant seats.</w:t>
      </w:r>
    </w:p>
    <w:p>
      <w:pPr>
        <w:pStyle w:val="ListBullet"/>
        <w:spacing w:after="40"/>
      </w:pPr>
      <w:r>
        <w:t>Current seat runtime has used active Employee records in places; this authority mismatch must be corrected in a separate bounded phase. Do not expose Billable Seats / Seat Utilization on the platform dashboard until corrected.</w:t>
      </w:r>
    </w:p>
    <w:p>
      <w:pPr>
        <w:pStyle w:val="ListBullet"/>
        <w:spacing w:after="40"/>
      </w:pPr>
      <w:r>
        <w:t>Billing Settings is the established configuration authority for invoice prefix, reset policy, payment terms, invoice notes, seller/legal identity, and GST metadata. Do not re-audit or duplicate it unless a new change directly requires it.</w:t>
      </w:r>
    </w:p>
    <w:p>
      <w:pPr>
        <w:pStyle w:val="ListBullet"/>
        <w:spacing w:after="40"/>
      </w:pPr>
      <w:r>
        <w:t>Do not invent yearly pricing multipliers or financial formulas.</w:t>
      </w:r>
    </w:p>
    <w:p>
      <w:pPr>
        <w:pStyle w:val="ListBullet"/>
        <w:spacing w:after="40"/>
      </w:pPr>
      <w:r>
        <w:t>Company.status remains operational company status; it must not be overloaded as subscription/trial authority.</w:t>
      </w:r>
    </w:p>
    <w:p>
      <w:pPr>
        <w:pStyle w:val="Heading1"/>
      </w:pPr>
      <w:r>
        <w:t>10. Super Admin Dashboard — Product Requirement</w:t>
      </w:r>
    </w:p>
    <w:p>
      <w:r>
        <w:t>The dashboard must be a premium enterprise SaaS control-plane dashboard: executive cards plus meaningful graphs/analytics, not a simple card grid. It must use real authoritative backend data only and clearly distinguish current snapshots from date-range analytics.</w:t>
      </w:r>
    </w:p>
    <w:p>
      <w:pPr>
        <w:pStyle w:val="Heading2"/>
      </w:pPr>
      <w:r>
        <w:t>10.1 Target Layout</w:t>
      </w:r>
    </w:p>
    <w:p>
      <w:pPr>
        <w:pStyle w:val="ListNumber"/>
        <w:spacing w:after="40"/>
      </w:pPr>
      <w:r>
        <w:t>Top toolbar: Platform Overview + Global Date Range.</w:t>
      </w:r>
    </w:p>
    <w:p>
      <w:pPr>
        <w:pStyle w:val="ListNumber"/>
        <w:spacing w:after="40"/>
      </w:pPr>
      <w:r>
        <w:t>Row 1: six executive KPI cards.</w:t>
      </w:r>
    </w:p>
    <w:p>
      <w:pPr>
        <w:pStyle w:val="ListNumber"/>
        <w:spacing w:after="40"/>
      </w:pPr>
      <w:r>
        <w:t>Row 2: large Platform Growth trend chart.</w:t>
      </w:r>
    </w:p>
    <w:p>
      <w:pPr>
        <w:pStyle w:val="ListNumber"/>
        <w:spacing w:after="40"/>
      </w:pPr>
      <w:r>
        <w:t>Row 3: Subscription Status + Current Plan Distribution.</w:t>
      </w:r>
    </w:p>
    <w:p>
      <w:pPr>
        <w:pStyle w:val="ListNumber"/>
        <w:spacing w:after="40"/>
      </w:pPr>
      <w:r>
        <w:t>Row 4: Trial Lifecycle + Storage Capacity/Measurement analytics.</w:t>
      </w:r>
    </w:p>
    <w:p>
      <w:pPr>
        <w:pStyle w:val="ListNumber"/>
        <w:spacing w:after="40"/>
      </w:pPr>
      <w:r>
        <w:t>Row 5: Attention Required + Recent Companies.</w:t>
      </w:r>
    </w:p>
    <w:p>
      <w:pPr>
        <w:pStyle w:val="Heading2"/>
      </w:pPr>
      <w:r>
        <w:t>10.2 Global Date Range</w:t>
      </w:r>
    </w:p>
    <w:p>
      <w:pPr>
        <w:pStyle w:val="ListBullet"/>
        <w:spacing w:after="40"/>
      </w:pPr>
      <w:r>
        <w:t>Reuse the existing EnterpriseDateRangePicker; do not create a competing date picker.</w:t>
      </w:r>
    </w:p>
    <w:p>
      <w:pPr>
        <w:pStyle w:val="ListBullet"/>
        <w:spacing w:after="40"/>
      </w:pPr>
      <w:r>
        <w:t>Default: Last 30 Days, inclusive of today.</w:t>
      </w:r>
    </w:p>
    <w:p>
      <w:pPr>
        <w:pStyle w:val="ListBullet"/>
        <w:spacing w:after="40"/>
      </w:pPr>
      <w:r>
        <w:t>URL state: `?from=YYYY-MM-DD&amp;to=YYYY-MM-DD`.</w:t>
      </w:r>
    </w:p>
    <w:p>
      <w:pPr>
        <w:pStyle w:val="ListBullet"/>
        <w:spacing w:after="40"/>
      </w:pPr>
      <w:r>
        <w:t>Reporting calendar: UTC.</w:t>
      </w:r>
    </w:p>
    <w:p>
      <w:pPr>
        <w:pStyle w:val="ListBullet"/>
        <w:spacing w:after="40"/>
      </w:pPr>
      <w:r>
        <w:t>API dates are inclusive; backend internally uses `[fromInclusive, toExclusive)`.</w:t>
      </w:r>
    </w:p>
    <w:p>
      <w:pPr>
        <w:pStyle w:val="ListBullet"/>
        <w:spacing w:after="40"/>
      </w:pPr>
      <w:r>
        <w:t>Maximum custom range: 366 inclusive days.</w:t>
      </w:r>
    </w:p>
    <w:p>
      <w:pPr>
        <w:pStyle w:val="ListBullet"/>
        <w:spacing w:after="40"/>
      </w:pPr>
      <w:r>
        <w:t>Future end dates, malformed dates, partial ranges, reversed ranges, and impossible dates are rejected/normalized according to the locked contract.</w:t>
      </w:r>
    </w:p>
    <w:p>
      <w:pPr>
        <w:pStyle w:val="ListBullet"/>
        <w:spacing w:after="40"/>
      </w:pPr>
      <w:r>
        <w:t>Preferred presets: Today, Last 7 Days, Last 30 Days, Last 90 Days, Current Month, Previous Month, Custom Range.</w:t>
      </w:r>
    </w:p>
    <w:p>
      <w:pPr>
        <w:pStyle w:val="Heading2"/>
      </w:pPr>
      <w:r>
        <w:t>10.3 Metric Authority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Metric / Widget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Range?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Authority / Meaning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Total Companies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Non-deleted companies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Effective Active Subscriptions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 + period-valid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Effective Active Trials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ACTIVE + started + not ended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Companies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DATE-RANGE AGGREGATE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Company.createdAt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Trials Ending Soon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Effective trials ending in next 7 days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Subscriptions Ending Soon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Live subscriptions ending in next 30 days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Platform Growth: New Companies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DATE-RANGE TREND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Company.createdAt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 Growth: Trial Starts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DATE-RANGE TREND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Trial.startsAt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Subscription Status Distribution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Analytically normalized lifecycle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Plan Distribution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Immutable subscription plan snapshots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Trial Lifecycle Summary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Trial lifecycle authority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Storage Analytics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Established storage authority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Attention Required</w:t>
            </w:r>
          </w:p>
        </w:tc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Structured authoritative conditions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Recent Companies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SNAPSHOT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Bounded recent company records</w:t>
            </w:r>
          </w:p>
        </w:tc>
      </w:tr>
    </w:tbl>
    <w:p>
      <w:pPr>
        <w:spacing w:after="20"/>
      </w:pPr>
    </w:p>
    <w:p>
      <w:pPr>
        <w:pStyle w:val="Heading2"/>
      </w:pPr>
      <w:r>
        <w:t>10.4 Six Locked KPI Cards</w:t>
      </w:r>
    </w:p>
    <w:p>
      <w:pPr>
        <w:pStyle w:val="ListBullet"/>
        <w:spacing w:after="40"/>
      </w:pPr>
      <w:r>
        <w:t>Total Companies</w:t>
      </w:r>
    </w:p>
    <w:p>
      <w:pPr>
        <w:pStyle w:val="ListBullet"/>
        <w:spacing w:after="40"/>
      </w:pPr>
      <w:r>
        <w:t>Effective Active Subscriptions</w:t>
      </w:r>
    </w:p>
    <w:p>
      <w:pPr>
        <w:pStyle w:val="ListBullet"/>
        <w:spacing w:after="40"/>
      </w:pPr>
      <w:r>
        <w:t>Effective Active Trials</w:t>
      </w:r>
    </w:p>
    <w:p>
      <w:pPr>
        <w:pStyle w:val="ListBullet"/>
        <w:spacing w:after="40"/>
      </w:pPr>
      <w:r>
        <w:t>New Companies (selected range)</w:t>
      </w:r>
    </w:p>
    <w:p>
      <w:pPr>
        <w:pStyle w:val="ListBullet"/>
        <w:spacing w:after="40"/>
      </w:pPr>
      <w:r>
        <w:t>Trials Ending Soon (next 7 days)</w:t>
      </w:r>
    </w:p>
    <w:p>
      <w:pPr>
        <w:pStyle w:val="ListBullet"/>
        <w:spacing w:after="40"/>
      </w:pPr>
      <w:r>
        <w:t>Subscriptions Ending Soon (next 30 days)</w:t>
      </w:r>
    </w:p>
    <w:p>
      <w:pPr>
        <w:pStyle w:val="Heading2"/>
      </w:pPr>
      <w:r>
        <w:t>10.5 Platform Growth Graph</w:t>
      </w:r>
    </w:p>
    <w:p>
      <w:r>
        <w:t>Series: New Companies + Trial Starts. Backend owns aggregation and zero filling.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Inclusive Range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Granularity</w:t>
            </w:r>
          </w:p>
        </w:tc>
        <w:tc>
          <w:tcPr>
            <w:tcW w:type="dxa" w:w="547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Bucket Rule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1–45 days</w:t>
            </w:r>
          </w:p>
        </w:tc>
        <w:tc>
          <w:tcPr>
            <w:tcW w:type="dxa" w:w="201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DAILY</w:t>
            </w:r>
          </w:p>
        </w:tc>
        <w:tc>
          <w:tcPr>
            <w:tcW w:type="dxa" w:w="54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UTC calendar day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46–180 days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WEEKLY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Monday UTC; first bucket may precede from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181–366 days</w:t>
            </w:r>
          </w:p>
        </w:tc>
        <w:tc>
          <w:tcPr>
            <w:tcW w:type="dxa" w:w="201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MONTHLY</w:t>
            </w:r>
          </w:p>
        </w:tc>
        <w:tc>
          <w:tcPr>
            <w:tcW w:type="dxa" w:w="54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First UTC day of month; first bucket may precede from</w:t>
            </w:r>
          </w:p>
        </w:tc>
      </w:tr>
    </w:tbl>
    <w:p>
      <w:pPr>
        <w:spacing w:after="20"/>
      </w:pPr>
    </w:p>
    <w:p>
      <w:r>
        <w:t>The UTC implementation was specifically corrected and validated under a non-UTC PostgreSQL session (Asia/Kolkata), including daily, Monday-based weekly, first-of-month monthly, exact range boundaries, and zero-filled buckets.</w:t>
      </w:r>
    </w:p>
    <w:p>
      <w:pPr>
        <w:pStyle w:val="Heading2"/>
      </w:pPr>
      <w:r>
        <w:t>10.6 Distribution &amp; Storage Widgets</w:t>
      </w:r>
    </w:p>
    <w:p>
      <w:pPr>
        <w:pStyle w:val="ListBullet"/>
        <w:spacing w:after="40"/>
      </w:pPr>
      <w:r>
        <w:t>Subscription Status Distribution: segmented horizontal bar; current snapshot.</w:t>
      </w:r>
    </w:p>
    <w:p>
      <w:pPr>
        <w:pStyle w:val="ListBullet"/>
        <w:spacing w:after="40"/>
      </w:pPr>
      <w:r>
        <w:t>Current Plan Distribution: horizontal ranked bars; current snapshot.</w:t>
      </w:r>
    </w:p>
    <w:p>
      <w:pPr>
        <w:pStyle w:val="ListBullet"/>
        <w:spacing w:after="40"/>
      </w:pPr>
      <w:r>
        <w:t>Trial Lifecycle Summary: compact segmented bar/summary; current snapshot.</w:t>
      </w:r>
    </w:p>
    <w:p>
      <w:pPr>
        <w:pStyle w:val="ListBullet"/>
        <w:spacing w:after="40"/>
      </w:pPr>
      <w:r>
        <w:t>Storage Analytics may show Measured Storage, Configured Allocation, Measurement Coverage, Companies At Limit, Companies Over Limit, and bounded High Storage Usage companies.</w:t>
      </w:r>
    </w:p>
    <w:p>
      <w:pPr>
        <w:pStyle w:val="ListBullet"/>
        <w:spacing w:after="40"/>
      </w:pPr>
      <w:r>
        <w:t>If measurement is incomplete, label it `Measured Storage`; never present incomplete bytes as definitive total storage.</w:t>
      </w:r>
    </w:p>
    <w:p>
      <w:pPr>
        <w:pStyle w:val="ListBullet"/>
        <w:spacing w:after="40"/>
      </w:pPr>
      <w:r>
        <w:t>Large byte values remain decimal strings; do not coerce unsafe BigInt-scale totals into JavaScript Number.</w:t>
      </w:r>
    </w:p>
    <w:p>
      <w:pPr>
        <w:pStyle w:val="Heading2"/>
      </w:pPr>
      <w:r>
        <w:t>10.7 Attention Required</w:t>
      </w:r>
    </w:p>
    <w:p>
      <w:r>
        <w:t>Maximum 10 structured items. Priority is locked: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60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</w:tr>
      <w:tr>
        <w:tc>
          <w:tcPr>
            <w:tcW w:type="dxa" w:w="11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STORAGE_OVER_LIMIT</w:t>
            </w:r>
          </w:p>
        </w:tc>
        <w:tc>
          <w:tcPr>
            <w:tcW w:type="dxa" w:w="18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CRITICAL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COMPANY_SUSPENDED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</w:t>
            </w:r>
          </w:p>
        </w:tc>
      </w:tr>
      <w:tr>
        <w:tc>
          <w:tcPr>
            <w:tcW w:type="dxa" w:w="11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SUBSCRIPTION_ENDING_SOON</w:t>
            </w:r>
          </w:p>
        </w:tc>
        <w:tc>
          <w:tcPr>
            <w:tcW w:type="dxa" w:w="18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TRIAL_ENDING_SOON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</w:tr>
      <w:tr>
        <w:tc>
          <w:tcPr>
            <w:tcW w:type="dxa" w:w="11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STORAGE_AT_LIMIT</w:t>
            </w:r>
          </w:p>
        </w:tc>
        <w:tc>
          <w:tcPr>
            <w:tcW w:type="dxa" w:w="18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STORAGE_UNMEASURABLE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</w:tr>
      <w:tr>
        <w:tc>
          <w:tcPr>
            <w:tcW w:type="dxa" w:w="11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NO_COMMERCIAL_ACCESS</w:t>
            </w:r>
          </w:p>
        </w:tc>
        <w:tc>
          <w:tcPr>
            <w:tcW w:type="dxa" w:w="18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INFO</w:t>
            </w:r>
          </w:p>
        </w:tc>
      </w:tr>
    </w:tbl>
    <w:p>
      <w:pPr>
        <w:spacing w:after="20"/>
      </w:pPr>
    </w:p>
    <w:p>
      <w:r>
        <w:t>Do not add failed-payment, invoice, or renewal alerts until their dedicated authorities/phases exist.</w:t>
      </w:r>
    </w:p>
    <w:p>
      <w:pPr>
        <w:pStyle w:val="Heading2"/>
      </w:pPr>
      <w:r>
        <w:t>10.8 Recent Companies</w:t>
      </w:r>
    </w:p>
    <w:p>
      <w:pPr>
        <w:pStyle w:val="ListBullet"/>
        <w:spacing w:after="40"/>
      </w:pPr>
      <w:r>
        <w:t>Maximum six companies.</w:t>
      </w:r>
    </w:p>
    <w:p>
      <w:pPr>
        <w:pStyle w:val="ListBullet"/>
        <w:spacing w:after="40"/>
      </w:pPr>
      <w:r>
        <w:t>Order: createdAt DESC, deterministic ID tie-break.</w:t>
      </w:r>
    </w:p>
    <w:p>
      <w:pPr>
        <w:pStyle w:val="ListBullet"/>
        <w:spacing w:after="40"/>
      </w:pPr>
      <w:r>
        <w:t>Return company identity, operational status, createdAt, and safely derived commercial state.</w:t>
      </w:r>
    </w:p>
    <w:p>
      <w:pPr>
        <w:pStyle w:val="ListBullet"/>
        <w:spacing w:after="40"/>
      </w:pPr>
      <w:r>
        <w:t>Commercial precedence: effective trial → period-valid ACTIVE subscription → period-valid SUSPENDED subscription → NONE.</w:t>
      </w:r>
    </w:p>
    <w:p>
      <w:pPr>
        <w:pStyle w:val="ListBullet"/>
        <w:spacing w:after="40"/>
      </w:pPr>
      <w:r>
        <w:t>Do not fabricate a generic Recent Activity feed.</w:t>
      </w:r>
    </w:p>
    <w:p>
      <w:pPr>
        <w:pStyle w:val="Heading2"/>
      </w:pPr>
      <w:r>
        <w:t>10.9 Explicit Dashboard Exclusions</w:t>
      </w:r>
    </w:p>
    <w:p>
      <w:pPr>
        <w:pStyle w:val="ListBullet"/>
        <w:spacing w:after="40"/>
      </w:pPr>
      <w:r>
        <w:t>Billable Seats / Seat Utilization — blocked by current seat-authority mismatch.</w:t>
      </w:r>
    </w:p>
    <w:p>
      <w:pPr>
        <w:pStyle w:val="ListBullet"/>
        <w:spacing w:after="40"/>
      </w:pPr>
      <w:r>
        <w:t>Revenue, MRR, ARR, ARPU, Churn, Renewal Revenue.</w:t>
      </w:r>
    </w:p>
    <w:p>
      <w:pPr>
        <w:pStyle w:val="ListBullet"/>
        <w:spacing w:after="40"/>
      </w:pPr>
      <w:r>
        <w:t>Payment totals/trends/distributions.</w:t>
      </w:r>
    </w:p>
    <w:p>
      <w:pPr>
        <w:pStyle w:val="ListBullet"/>
        <w:spacing w:after="40"/>
      </w:pPr>
      <w:r>
        <w:t>Invoice/GST/Renewal analytics.</w:t>
      </w:r>
    </w:p>
    <w:p>
      <w:pPr>
        <w:pStyle w:val="ListBullet"/>
        <w:spacing w:after="40"/>
      </w:pPr>
      <w:r>
        <w:t>Employee/attendance/monitoring/productivity/payroll data.</w:t>
      </w:r>
    </w:p>
    <w:p>
      <w:pPr>
        <w:pStyle w:val="ListBullet"/>
        <w:spacing w:after="40"/>
      </w:pPr>
      <w:r>
        <w:t>Fake delta percentages or unsupported conversion rates.</w:t>
      </w:r>
    </w:p>
    <w:p>
      <w:pPr>
        <w:pStyle w:val="Heading1"/>
      </w:pPr>
      <w:r>
        <w:t>11. Platform Dashboard Backend Contract — Completed</w:t>
      </w:r>
    </w:p>
    <w:p>
      <w:r>
        <w:t>Endpoint: `GET /api/platform-dashboard?from=YYYY-MM-DD&amp;to=YYYY-MM-DD`</w:t>
      </w:r>
    </w:p>
    <w:p>
      <w:pPr>
        <w:pStyle w:val="ListBullet"/>
        <w:spacing w:after="40"/>
      </w:pPr>
      <w:r>
        <w:t>Protected by JwtAuthGuard + RolesGuard + SUPER_ADMIN.</w:t>
      </w:r>
    </w:p>
    <w:p>
      <w:pPr>
        <w:pStyle w:val="ListBullet"/>
        <w:spacing w:after="40"/>
      </w:pPr>
      <w:r>
        <w:t>No companyId/tenantId/workspace override parameter.</w:t>
      </w:r>
    </w:p>
    <w:p>
      <w:pPr>
        <w:pStyle w:val="ListBullet"/>
        <w:spacing w:after="40"/>
      </w:pPr>
      <w:r>
        <w:t>One request-wide `asOf` instant.</w:t>
      </w:r>
    </w:p>
    <w:p>
      <w:pPr>
        <w:pStyle w:val="ListBullet"/>
        <w:spacing w:after="40"/>
      </w:pPr>
      <w:r>
        <w:t>Strict UTC date validation and maximum 366-day range.</w:t>
      </w:r>
    </w:p>
    <w:p>
      <w:pPr>
        <w:pStyle w:val="ListBullet"/>
        <w:spacing w:after="40"/>
      </w:pPr>
      <w:r>
        <w:t>PostgreSQL growth aggregation with zero filling.</w:t>
      </w:r>
    </w:p>
    <w:p>
      <w:pPr>
        <w:pStyle w:val="ListBullet"/>
        <w:spacing w:after="40"/>
      </w:pPr>
      <w:r>
        <w:t>Elapsed ACTIVE/SUSPENDED subscriptions are analytically represented as EXPIRED without mutation.</w:t>
      </w:r>
    </w:p>
    <w:p>
      <w:pPr>
        <w:pStyle w:val="ListBullet"/>
        <w:spacing w:after="40"/>
      </w:pPr>
      <w:r>
        <w:t>Plan distribution uses immutable subscription plan snapshots.</w:t>
      </w:r>
    </w:p>
    <w:p>
      <w:pPr>
        <w:pStyle w:val="ListBullet"/>
        <w:spacing w:after="40"/>
      </w:pPr>
      <w:r>
        <w:t>Trial growth uses Trial.startsAt.</w:t>
      </w:r>
    </w:p>
    <w:p>
      <w:pPr>
        <w:pStyle w:val="ListBullet"/>
        <w:spacing w:after="40"/>
      </w:pPr>
      <w:r>
        <w:t>Storage dashboard snapshot reuses the existing StorageUsageQueryService/storage CTE authority.</w:t>
      </w:r>
    </w:p>
    <w:p>
      <w:pPr>
        <w:pStyle w:val="ListBullet"/>
        <w:spacing w:after="40"/>
      </w:pPr>
      <w:r>
        <w:t>Attention and Recent Companies are bounded and deterministic.</w:t>
      </w:r>
    </w:p>
    <w:p>
      <w:pPr>
        <w:pStyle w:val="ListBullet"/>
        <w:spacing w:after="40"/>
      </w:pPr>
      <w:r>
        <w:t>No schema or migration change was required.</w:t>
      </w:r>
    </w:p>
    <w:p>
      <w:pPr>
        <w:pStyle w:val="Heading1"/>
      </w:pPr>
      <w:r>
        <w:t>12. Dashboard Frontend UX Rules</w:t>
      </w:r>
    </w:p>
    <w:p>
      <w:pPr>
        <w:pStyle w:val="ListBullet"/>
        <w:spacing w:after="40"/>
      </w:pPr>
      <w:r>
        <w:t>Use existing MUI theme and enterprise design system.</w:t>
      </w:r>
    </w:p>
    <w:p>
      <w:pPr>
        <w:pStyle w:val="ListBullet"/>
        <w:spacing w:after="40"/>
      </w:pPr>
      <w:r>
        <w:t>Restrained blue/neutral palette; semantic green/amber/red only for status meaning.</w:t>
      </w:r>
    </w:p>
    <w:p>
      <w:pPr>
        <w:pStyle w:val="ListBullet"/>
        <w:spacing w:after="40"/>
      </w:pPr>
      <w:r>
        <w:t>Subtle borders/shadows, consistent radius, balanced spacing, readable typography.</w:t>
      </w:r>
    </w:p>
    <w:p>
      <w:pPr>
        <w:pStyle w:val="ListBullet"/>
        <w:spacing w:after="40"/>
      </w:pPr>
      <w:r>
        <w:t>Avoid random bright KPI cards, giant gradients, fake arrows/percentages, excessive animation, and excessive donut charts.</w:t>
      </w:r>
    </w:p>
    <w:p>
      <w:pPr>
        <w:pStyle w:val="ListBullet"/>
        <w:spacing w:after="40"/>
      </w:pPr>
      <w:r>
        <w:t>Responsive: large desktop balanced 3x2 or 6-across KPI layout where width permits; tablet 2 columns; narrow/mobile web 1 column.</w:t>
      </w:r>
    </w:p>
    <w:p>
      <w:pPr>
        <w:pStyle w:val="ListBullet"/>
        <w:spacing w:after="40"/>
      </w:pPr>
      <w:r>
        <w:t>Initial load uses layout-preserving skeletons.</w:t>
      </w:r>
    </w:p>
    <w:p>
      <w:pPr>
        <w:pStyle w:val="ListBullet"/>
        <w:spacing w:after="40"/>
      </w:pPr>
      <w:r>
        <w:t>Background refetch keeps the last successful dashboard visible and shows a subtle updating state.</w:t>
      </w:r>
    </w:p>
    <w:p>
      <w:pPr>
        <w:pStyle w:val="ListBullet"/>
        <w:spacing w:after="40"/>
      </w:pPr>
      <w:r>
        <w:t>Empty charts say `No activity in this period`; Attention can say `No immediate platform issues`.</w:t>
      </w:r>
    </w:p>
    <w:p>
      <w:pPr>
        <w:pStyle w:val="ListBullet"/>
        <w:spacing w:after="40"/>
      </w:pPr>
      <w:r>
        <w:t>Error state should be a single enterprise dashboard-level treatment with Retry; preserve prior successful data on refetch failure where practical.</w:t>
      </w:r>
    </w:p>
    <w:p>
      <w:pPr>
        <w:pStyle w:val="ListBullet"/>
        <w:spacing w:after="40"/>
      </w:pPr>
      <w:r>
        <w:t>Storage measurement gaps are data-quality states, not request errors.</w:t>
      </w:r>
    </w:p>
    <w:p>
      <w:pPr>
        <w:pStyle w:val="ListBullet"/>
        <w:spacing w:after="40"/>
      </w:pPr>
      <w:r>
        <w:t>Accessibility: labels, keyboard/focus behavior, accessible chart summary, contrast, reduced-motion support.</w:t>
      </w:r>
    </w:p>
    <w:p>
      <w:pPr>
        <w:pStyle w:val="Heading1"/>
      </w:pPr>
      <w:r>
        <w:t>13. Preferred Chart Foundation</w:t>
      </w:r>
    </w:p>
    <w:p>
      <w:pPr>
        <w:pStyle w:val="ListBullet"/>
        <w:spacing w:after="40"/>
      </w:pPr>
      <w:r>
        <w:t>Reuse existing EnterpriseChartCard, EnterpriseBarChart, EnterpriseChartLegend, and EnterpriseChartSkeleton.</w:t>
      </w:r>
    </w:p>
    <w:p>
      <w:pPr>
        <w:pStyle w:val="ListBullet"/>
        <w:spacing w:after="40"/>
      </w:pPr>
      <w:r>
        <w:t>Create a reusable EnterpriseTrendChart only when needed for the multi-series Platform Growth visualization.</w:t>
      </w:r>
    </w:p>
    <w:p>
      <w:pPr>
        <w:pStyle w:val="ListBullet"/>
        <w:spacing w:after="40"/>
      </w:pPr>
      <w:r>
        <w:t>Preferred trend chart: responsive native SVG, multi-series, accessible legend/tooltip/focus, textual accessible summary, empty state, reduced-motion behavior.</w:t>
      </w:r>
    </w:p>
    <w:p>
      <w:pPr>
        <w:pStyle w:val="ListBullet"/>
        <w:spacing w:after="40"/>
      </w:pPr>
      <w:r>
        <w:t>Do not add a new chart dependency unless existing/native foundations are demonstrably insufficient.</w:t>
      </w:r>
    </w:p>
    <w:p>
      <w:pPr>
        <w:pStyle w:val="ListBullet"/>
        <w:spacing w:after="40"/>
      </w:pPr>
      <w:r>
        <w:t>Generic chart components must not hard-code Super Admin business labels.</w:t>
      </w:r>
    </w:p>
    <w:p>
      <w:pPr>
        <w:pStyle w:val="Heading1"/>
      </w:pPr>
      <w:r>
        <w:t>14. Completed Super Admin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60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SA-H1A</w:t>
            </w:r>
          </w:p>
        </w:tc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Route &amp; Role Isolation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7c2f127e289dd0556591a5f23c0dbe46abc224ec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SA-H1B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Navigation &amp; Search Correctness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88f27474d2eba4bb8e92d51c9fa25cc89f680718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Complete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SA-H1C.1</w:t>
            </w:r>
          </w:p>
        </w:tc>
        <w:tc>
          <w:tcPr>
            <w:tcW w:type="dxa" w:w="331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Platform Dashboard Backend Foundation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a046ec290cb6e00866bc7492a0392c9260af4d31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Complete / pushed</w:t>
            </w:r>
          </w:p>
        </w:tc>
      </w:tr>
    </w:tbl>
    <w:p>
      <w:pPr>
        <w:spacing w:after="20"/>
      </w:pPr>
    </w:p>
    <w:p>
      <w:pPr>
        <w:pStyle w:val="Heading1"/>
      </w:pPr>
      <w:r>
        <w:t>15. SA-H1C.1 Validation Record</w:t>
      </w:r>
    </w:p>
    <w:p>
      <w:pPr>
        <w:pStyle w:val="ListBullet"/>
        <w:spacing w:after="40"/>
      </w:pPr>
      <w:r>
        <w:t>Final UTC re-review: PASS; original HIGH timezone defect resolved.</w:t>
      </w:r>
    </w:p>
    <w:p>
      <w:pPr>
        <w:pStyle w:val="ListBullet"/>
        <w:spacing w:after="40"/>
      </w:pPr>
      <w:r>
        <w:t>Focused Platform Dashboard + affected storage tests: 45 passed, 0 failed.</w:t>
      </w:r>
    </w:p>
    <w:p>
      <w:pPr>
        <w:pStyle w:val="ListBullet"/>
        <w:spacing w:after="40"/>
      </w:pPr>
      <w:r>
        <w:t>Real PostgreSQL Asia/Kolkata production-path tests: 3 passed, 0 failed.</w:t>
      </w:r>
    </w:p>
    <w:p>
      <w:pPr>
        <w:pStyle w:val="ListBullet"/>
        <w:spacing w:after="40"/>
      </w:pPr>
      <w:r>
        <w:t>Full backend suite at final review: 346 passed, 0 failed, 5 existing opt-in skips (351 total).</w:t>
      </w:r>
    </w:p>
    <w:p>
      <w:pPr>
        <w:pStyle w:val="ListBullet"/>
        <w:spacing w:after="40"/>
      </w:pPr>
      <w:r>
        <w:t>Backend production build/typecheck: passed.</w:t>
      </w:r>
    </w:p>
    <w:p>
      <w:pPr>
        <w:pStyle w:val="ListBullet"/>
        <w:spacing w:after="40"/>
      </w:pPr>
      <w:r>
        <w:t>Prisma validation: passed.</w:t>
      </w:r>
    </w:p>
    <w:p>
      <w:pPr>
        <w:pStyle w:val="ListBullet"/>
        <w:spacing w:after="40"/>
      </w:pPr>
      <w:r>
        <w:t>Migration count: 36.</w:t>
      </w:r>
    </w:p>
    <w:p>
      <w:pPr>
        <w:pStyle w:val="ListBullet"/>
        <w:spacing w:after="40"/>
      </w:pPr>
      <w:r>
        <w:t>schema.prisma unchanged; no migration added or modified.</w:t>
      </w:r>
    </w:p>
    <w:p>
      <w:pPr>
        <w:pStyle w:val="ListBullet"/>
        <w:spacing w:after="40"/>
      </w:pPr>
      <w:r>
        <w:t>Checkpoint commit: a046ec290cb6e00866bc7492a0392c9260af4d31.</w:t>
      </w:r>
    </w:p>
    <w:p>
      <w:pPr>
        <w:pStyle w:val="ListBullet"/>
        <w:spacing w:after="40"/>
      </w:pPr>
      <w:r>
        <w:t>Commit message: `feat: add super admin platform dashboard backend`.</w:t>
      </w:r>
    </w:p>
    <w:p>
      <w:pPr>
        <w:pStyle w:val="ListBullet"/>
        <w:spacing w:after="40"/>
      </w:pPr>
      <w:r>
        <w:t>Push succeeded; local HEAD = origin/main; working tree clean.</w:t>
      </w:r>
    </w:p>
    <w:p>
      <w:pPr>
        <w:pStyle w:val="Heading1"/>
      </w:pPr>
      <w:r>
        <w:t>16. Accepted Non-Blocking Dashboard Backend Notes</w:t>
      </w:r>
    </w:p>
    <w:p>
      <w:pPr>
        <w:pStyle w:val="ListBullet"/>
        <w:spacing w:after="40"/>
      </w:pPr>
      <w:r>
        <w:t>Attention ordering currently uses default-locale localeCompare; low priority.</w:t>
      </w:r>
    </w:p>
    <w:p>
      <w:pPr>
        <w:pStyle w:val="ListBullet"/>
        <w:spacing w:after="40"/>
      </w:pPr>
      <w:r>
        <w:t>Total Companies does not explicitly exclude future-created records relative to asOf; low priority edge case.</w:t>
      </w:r>
    </w:p>
    <w:p>
      <w:pPr>
        <w:pStyle w:val="ListBullet"/>
        <w:spacing w:after="40"/>
      </w:pPr>
      <w:r>
        <w:t>Response DTO is interface-based, so generated Swagger response-schema metadata is limited; non-blocking.</w:t>
      </w:r>
    </w:p>
    <w:p>
      <w:pPr>
        <w:pStyle w:val="ListBullet"/>
        <w:spacing w:after="40"/>
      </w:pPr>
      <w:r>
        <w:t>Multiple dashboard queries can show minor cross-query snapshot skew during highly concurrent writes; accepted analytics trade-off rather than holding a long-running request-wide transaction.</w:t>
      </w:r>
    </w:p>
    <w:p>
      <w:pPr>
        <w:pStyle w:val="Heading1"/>
      </w:pPr>
      <w:r>
        <w:t>17. Current Next Phase — SA-H1C.2</w:t>
      </w:r>
    </w:p>
    <w:p>
      <w:r>
        <w:t>SA-H1C.2 is the immediate next implementation phase.</w:t>
      </w:r>
    </w:p>
    <w:p>
      <w:pPr>
        <w:pStyle w:val="ListBullet"/>
        <w:spacing w:after="40"/>
      </w:pPr>
      <w:r>
        <w:t>Create/lock the role-aware DashboardPage dispatcher.</w:t>
      </w:r>
    </w:p>
    <w:p>
      <w:pPr>
        <w:pStyle w:val="ListBullet"/>
        <w:spacing w:after="40"/>
      </w:pPr>
      <w:r>
        <w:t>SUPER_ADMIN renders PlatformDashboardPage.</w:t>
      </w:r>
    </w:p>
    <w:p>
      <w:pPr>
        <w:pStyle w:val="ListBullet"/>
        <w:spacing w:after="40"/>
      </w:pPr>
      <w:r>
        <w:t>Tenant roles continue to render TenantDashboardPage with existing behavior preserved.</w:t>
      </w:r>
    </w:p>
    <w:p>
      <w:pPr>
        <w:pStyle w:val="ListBullet"/>
        <w:spacing w:after="40"/>
      </w:pPr>
      <w:r>
        <w:t>Add typed frontend API client for `/platform-dashboard`.</w:t>
      </w:r>
    </w:p>
    <w:p>
      <w:pPr>
        <w:pStyle w:val="ListBullet"/>
        <w:spacing w:after="40"/>
      </w:pPr>
      <w:r>
        <w:t>Mirror backend response types without unsafe coercion.</w:t>
      </w:r>
    </w:p>
    <w:p>
      <w:pPr>
        <w:pStyle w:val="ListBullet"/>
        <w:spacing w:after="40"/>
      </w:pPr>
      <w:r>
        <w:t>Integrate existing EnterpriseDateRangePicker.</w:t>
      </w:r>
    </w:p>
    <w:p>
      <w:pPr>
        <w:pStyle w:val="ListBullet"/>
        <w:spacing w:after="40"/>
      </w:pPr>
      <w:r>
        <w:t>Default to Last 30 Days.</w:t>
      </w:r>
    </w:p>
    <w:p>
      <w:pPr>
        <w:pStyle w:val="ListBullet"/>
        <w:spacing w:after="40"/>
      </w:pPr>
      <w:r>
        <w:t>Synchronize applied `from/to` with URL search parameters.</w:t>
      </w:r>
    </w:p>
    <w:p>
      <w:pPr>
        <w:pStyle w:val="ListBullet"/>
        <w:spacing w:after="40"/>
      </w:pPr>
      <w:r>
        <w:t>Use React Query key such as `['platform-dashboard', from, to]`.</w:t>
      </w:r>
    </w:p>
    <w:p>
      <w:pPr>
        <w:pStyle w:val="ListBullet"/>
        <w:spacing w:after="40"/>
      </w:pPr>
      <w:r>
        <w:t>Fetch only when applied date range changes.</w:t>
      </w:r>
    </w:p>
    <w:p>
      <w:pPr>
        <w:pStyle w:val="ListBullet"/>
        <w:spacing w:after="40"/>
      </w:pPr>
      <w:r>
        <w:t>Preserve previous successful data during background refetch.</w:t>
      </w:r>
    </w:p>
    <w:p>
      <w:pPr>
        <w:pStyle w:val="ListBullet"/>
        <w:spacing w:after="40"/>
      </w:pPr>
      <w:r>
        <w:t>Implement foundation loading/error/empty behavior.</w:t>
      </w:r>
    </w:p>
    <w:p>
      <w:pPr>
        <w:pStyle w:val="ListBullet"/>
        <w:spacing w:after="40"/>
      </w:pPr>
      <w:r>
        <w:t>Do NOT yet expand into unrelated Billing, seats, header, or Tenant Domain work.</w:t>
      </w:r>
    </w:p>
    <w:p>
      <w:pPr>
        <w:pStyle w:val="Heading1"/>
      </w:pPr>
      <w:r>
        <w:t>18. Remaining SA-H1C Delivery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0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Sequence</w:t>
            </w:r>
          </w:p>
        </w:tc>
      </w:tr>
      <w:tr>
        <w:tc>
          <w:tcPr>
            <w:tcW w:type="dxa" w:w="158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SA-H1C.2</w:t>
            </w:r>
          </w:p>
        </w:tc>
        <w:tc>
          <w:tcPr>
            <w:tcW w:type="dxa" w:w="705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Dashboard role dispatcher + frontend API + Global Date Range</w:t>
            </w:r>
          </w:p>
        </w:tc>
        <w:tc>
          <w:tcPr>
            <w:tcW w:type="dxa" w:w="201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Next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SA-H1C.3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Executive KPI cards + Platform Growth visualization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H1C.2</w:t>
            </w:r>
          </w:p>
        </w:tc>
      </w:tr>
      <w:tr>
        <w:tc>
          <w:tcPr>
            <w:tcW w:type="dxa" w:w="158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SA-H1C.4</w:t>
            </w:r>
          </w:p>
        </w:tc>
        <w:tc>
          <w:tcPr>
            <w:tcW w:type="dxa" w:w="705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Distribution + Storage + Attention + Recent Companies</w:t>
            </w:r>
          </w:p>
        </w:tc>
        <w:tc>
          <w:tcPr>
            <w:tcW w:type="dxa" w:w="201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After H1C.3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SA-H1C.5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Responsive/accessibility/state polish + full regression/manual browser QA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Final H1C stabilization</w:t>
            </w:r>
          </w:p>
        </w:tc>
      </w:tr>
    </w:tbl>
    <w:p>
      <w:pPr>
        <w:spacing w:after="20"/>
      </w:pPr>
    </w:p>
    <w:p>
      <w:pPr>
        <w:pStyle w:val="Heading1"/>
      </w:pPr>
      <w:r>
        <w:t>19. Broader Super Admin Roadmap After SA-H1C</w:t>
      </w:r>
    </w:p>
    <w:p>
      <w:pPr>
        <w:pStyle w:val="ListNumber"/>
        <w:spacing w:after="40"/>
      </w:pPr>
      <w:r>
        <w:t>SA-H1D — Correct stale Billing capability copy/status messaging where needed.</w:t>
      </w:r>
    </w:p>
    <w:p>
      <w:pPr>
        <w:pStyle w:val="ListNumber"/>
        <w:spacing w:after="40"/>
      </w:pPr>
      <w:r>
        <w:t>Platform Payments read/history API before implementing Payments UI.</w:t>
      </w:r>
    </w:p>
    <w:p>
      <w:pPr>
        <w:pStyle w:val="ListNumber"/>
        <w:spacing w:after="40"/>
      </w:pPr>
      <w:r>
        <w:t>Payments UI/history/details only after authoritative read API exists.</w:t>
      </w:r>
    </w:p>
    <w:p>
      <w:pPr>
        <w:pStyle w:val="ListNumber"/>
        <w:spacing w:after="40"/>
      </w:pPr>
      <w:r>
        <w:t>Subscription-cycle / renewal foundation in a later bounded phase.</w:t>
      </w:r>
    </w:p>
    <w:p>
      <w:pPr>
        <w:pStyle w:val="ListNumber"/>
        <w:spacing w:after="40"/>
      </w:pPr>
      <w:r>
        <w:t>Platform User &amp; Access.</w:t>
      </w:r>
    </w:p>
    <w:p>
      <w:pPr>
        <w:pStyle w:val="ListNumber"/>
        <w:spacing w:after="40"/>
      </w:pPr>
      <w:r>
        <w:t>Platform Communication.</w:t>
      </w:r>
    </w:p>
    <w:p>
      <w:pPr>
        <w:pStyle w:val="ListNumber"/>
        <w:spacing w:after="40"/>
      </w:pPr>
      <w:r>
        <w:t>Reports.</w:t>
      </w:r>
    </w:p>
    <w:p>
      <w:pPr>
        <w:pStyle w:val="ListNumber"/>
        <w:spacing w:after="40"/>
      </w:pPr>
      <w:r>
        <w:t>Platform Settings.</w:t>
      </w:r>
    </w:p>
    <w:p>
      <w:pPr>
        <w:pStyle w:val="ListNumber"/>
        <w:spacing w:after="40"/>
      </w:pPr>
      <w:r>
        <w:t>Dedicated Super Admin Shell/Header cleanup.</w:t>
      </w:r>
    </w:p>
    <w:p>
      <w:pPr>
        <w:pStyle w:val="ListNumber"/>
        <w:spacing w:after="40"/>
      </w:pPr>
      <w:r>
        <w:t>Dedicated Tenant Domain / URL Architecture phase before production launch.</w:t>
      </w:r>
    </w:p>
    <w:p>
      <w:pPr>
        <w:pStyle w:val="ListNumber"/>
        <w:spacing w:after="40"/>
      </w:pPr>
      <w:r>
        <w:t>Final Super Admin functional review.</w:t>
      </w:r>
    </w:p>
    <w:p>
      <w:pPr>
        <w:pStyle w:val="ListNumber"/>
        <w:spacing w:after="40"/>
      </w:pPr>
      <w:r>
        <w:t>Final cross-product UI/UX review only when functional surfaces are approximately 90–95% locked.</w:t>
      </w:r>
    </w:p>
    <w:p>
      <w:pPr>
        <w:pStyle w:val="Heading1"/>
      </w:pPr>
      <w:r>
        <w:t>20. Final UI/UX Review — Timing &amp; Scope</w:t>
      </w:r>
    </w:p>
    <w:p>
      <w:r>
        <w:t>Do not perform the final visual redesign too early. Once functionality is mostly locked, run a dedicated design-system and visual QA phase across Super Admin, Company Admin, Attendance, Leave, Scheduling, and Monitoring. Review spacing, typography, cards, tables, forms, filters, modals, responsiveness, loading/error/empty states, accessibility, and cross-module consistency.</w:t>
      </w:r>
    </w:p>
    <w:p>
      <w:r>
        <w:t>Where filters are required, prefer the established Renewal Filters pattern: compact rounded filter card; logical grouping; desktop 3 identity fields then 4 operational/date fields where appropriate; tablet 2-column; mobile 1-column; result count lower-left; Reset / Refresh / Apply lower-right; consistent spacing, field heights, labels, and responsive/manual visual verification.</w:t>
      </w:r>
    </w:p>
    <w:p>
      <w:pPr>
        <w:pStyle w:val="Heading1"/>
      </w:pPr>
      <w:r>
        <w:t>21. Phase Boundaries — Do Not Accidentally Start</w:t>
      </w:r>
    </w:p>
    <w:p>
      <w:pPr>
        <w:pStyle w:val="ListBullet"/>
        <w:spacing w:after="40"/>
      </w:pPr>
      <w:r>
        <w:t>Full CRM, Payroll, ERP, Tasks, AI Analytics, or Mobile App implementation.</w:t>
      </w:r>
    </w:p>
    <w:p>
      <w:pPr>
        <w:pStyle w:val="ListBullet"/>
        <w:spacing w:after="40"/>
      </w:pPr>
      <w:r>
        <w:t>Seat-authority correction unless explicitly opened as its own phase.</w:t>
      </w:r>
    </w:p>
    <w:p>
      <w:pPr>
        <w:pStyle w:val="ListBullet"/>
        <w:spacing w:after="40"/>
      </w:pPr>
      <w:r>
        <w:t>Revenue/MRR/ARR/payment analytics before their authoritative read/commercial foundations.</w:t>
      </w:r>
    </w:p>
    <w:p>
      <w:pPr>
        <w:pStyle w:val="ListBullet"/>
        <w:spacing w:after="40"/>
      </w:pPr>
      <w:r>
        <w:t>Tenant subdomain/custom-domain resolver work inside unrelated phases.</w:t>
      </w:r>
    </w:p>
    <w:p>
      <w:pPr>
        <w:pStyle w:val="ListBullet"/>
        <w:spacing w:after="40"/>
      </w:pPr>
      <w:r>
        <w:t>Real Razorpay connectivity without approved TEST credentials.</w:t>
      </w:r>
    </w:p>
    <w:p>
      <w:pPr>
        <w:pStyle w:val="ListBullet"/>
        <w:spacing w:after="40"/>
      </w:pPr>
      <w:r>
        <w:t>Schema/migration work merely to make a UI easier.</w:t>
      </w:r>
    </w:p>
    <w:p>
      <w:pPr>
        <w:pStyle w:val="ListBullet"/>
        <w:spacing w:after="40"/>
      </w:pPr>
      <w:r>
        <w:t>Unrelated refactors while a bounded Super Admin checkpoint is under review.</w:t>
      </w:r>
    </w:p>
    <w:p>
      <w:pPr>
        <w:pStyle w:val="Heading1"/>
      </w:pPr>
      <w:r>
        <w:t>22. Recommended Codex Workflow for Every Next Phase</w:t>
      </w:r>
    </w:p>
    <w:p>
      <w:pPr>
        <w:pStyle w:val="ListNumber"/>
        <w:spacing w:after="40"/>
      </w:pPr>
      <w:r>
        <w:t>Start from a clean, pushed stable checkpoint.</w:t>
      </w:r>
    </w:p>
    <w:p>
      <w:pPr>
        <w:pStyle w:val="ListNumber"/>
        <w:spacing w:after="40"/>
      </w:pPr>
      <w:r>
        <w:t>Verify branch, HEAD, origin/main, status, migration count, and git diff --check.</w:t>
      </w:r>
    </w:p>
    <w:p>
      <w:pPr>
        <w:pStyle w:val="ListNumber"/>
        <w:spacing w:after="40"/>
      </w:pPr>
      <w:r>
        <w:t>Perform a bounded architecture/data-authority review when the phase has material design risk.</w:t>
      </w:r>
    </w:p>
    <w:p>
      <w:pPr>
        <w:pStyle w:val="ListNumber"/>
        <w:spacing w:after="40"/>
      </w:pPr>
      <w:r>
        <w:t>Implement only the approved scope.</w:t>
      </w:r>
    </w:p>
    <w:p>
      <w:pPr>
        <w:pStyle w:val="ListNumber"/>
        <w:spacing w:after="40"/>
      </w:pPr>
      <w:r>
        <w:t>Run focused tests plus relevant regressions, typecheck/build, and real PostgreSQL tests for database-specific SQL.</w:t>
      </w:r>
    </w:p>
    <w:p>
      <w:pPr>
        <w:pStyle w:val="ListNumber"/>
        <w:spacing w:after="40"/>
      </w:pPr>
      <w:r>
        <w:t>Perform manual browser/responsive verification for frontend phases.</w:t>
      </w:r>
    </w:p>
    <w:p>
      <w:pPr>
        <w:pStyle w:val="ListNumber"/>
        <w:spacing w:after="40"/>
      </w:pPr>
      <w:r>
        <w:t>Run a strict read-only final review.</w:t>
      </w:r>
    </w:p>
    <w:p>
      <w:pPr>
        <w:pStyle w:val="ListNumber"/>
        <w:spacing w:after="40"/>
      </w:pPr>
      <w:r>
        <w:t>Correct blockers before checkpoint.</w:t>
      </w:r>
    </w:p>
    <w:p>
      <w:pPr>
        <w:pStyle w:val="ListNumber"/>
        <w:spacing w:after="40"/>
      </w:pPr>
      <w:r>
        <w:t>Commit and push only after final review passes.</w:t>
      </w:r>
    </w:p>
    <w:p>
      <w:pPr>
        <w:pStyle w:val="ListNumber"/>
        <w:spacing w:after="40"/>
      </w:pPr>
      <w:r>
        <w:t>Verify local HEAD = origin/main and clean working tree before starting the next phase.</w:t>
      </w:r>
    </w:p>
    <w:p>
      <w:pPr>
        <w:pStyle w:val="Heading1"/>
      </w:pPr>
      <w:r>
        <w:t>23. Handover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20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Locked Value</w:t>
            </w:r>
          </w:p>
        </w:tc>
      </w:tr>
      <w:tr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Repository</w:t>
            </w:r>
          </w:p>
        </w:tc>
        <w:tc>
          <w:tcPr>
            <w:tcW w:type="dxa" w:w="720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D:\projects\esta-workforce-os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Branch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</w:t>
            </w:r>
          </w:p>
        </w:tc>
      </w:tr>
      <w:tr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Latest stable checkpoint</w:t>
            </w:r>
          </w:p>
        </w:tc>
        <w:tc>
          <w:tcPr>
            <w:tcW w:type="dxa" w:w="720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a046ec290cb6e00866bc7492a0392c9260af4d31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Checkpoint message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feat: add super admin platform dashboard backend</w:t>
            </w:r>
          </w:p>
        </w:tc>
      </w:tr>
      <w:tr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Migration count</w:t>
            </w:r>
          </w:p>
        </w:tc>
        <w:tc>
          <w:tcPr>
            <w:tcW w:type="dxa" w:w="720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Working tree after checkpoint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Clean</w:t>
            </w:r>
          </w:p>
        </w:tc>
      </w:tr>
      <w:tr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completed phase</w:t>
            </w:r>
          </w:p>
        </w:tc>
        <w:tc>
          <w:tcPr>
            <w:tcW w:type="dxa" w:w="720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SA-H1C.1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Immediate next phase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SA-H1C.2</w:t>
            </w:r>
          </w:p>
        </w:tc>
      </w:tr>
      <w:tr>
        <w:tc>
          <w:tcPr>
            <w:tcW w:type="dxa" w:w="31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Current product focus</w:t>
            </w:r>
          </w:p>
        </w:tc>
        <w:tc>
          <w:tcPr>
            <w:tcW w:type="dxa" w:w="720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Super Admin SaaS control plane</w:t>
            </w:r>
          </w:p>
        </w:tc>
      </w:tr>
    </w:tbl>
    <w:p>
      <w:pPr>
        <w:spacing w:after="20"/>
      </w:pPr>
    </w:p>
    <w:p>
      <w:pPr>
        <w:pStyle w:val="Heading1"/>
      </w:pPr>
      <w:r>
        <w:t>24. Continuation Instruction for a New Chat</w:t>
      </w:r>
    </w:p>
    <w:p>
      <w:pPr>
        <w:pStyle w:val="IntenseQuote"/>
      </w:pPr>
      <w:r>
        <w:t>Continue Esta Workforce OS from stable checkpoint a046ec290cb6e00866bc7492a0392c9260af4d31. SA-H1A, SA-H1B and SA-H1C.1 are complete. Start with SA-H1C.2 only: Dashboard role dispatcher, typed frontend Platform Dashboard API integration, and Global Date Range using the existing EnterpriseDateRangePicker. Preserve tenant dashboard behavior, do not change backend/schema/migrations unless a verified blocker exists, and keep payments/seats/header/Tenant Domain out of scope. Use production-quality implementation, responsive/accessibility/state handling, tests, manual browser verification, final read-only review, then checkpoint.</w:t>
      </w:r>
    </w:p>
    <w:p/>
    <w:p>
      <w:pPr>
        <w:jc w:val="center"/>
      </w:pPr>
      <w:r>
        <w:rPr>
          <w:b/>
          <w:color w:val="143D6C"/>
          <w:sz w:val="22"/>
        </w:rPr>
        <w:t>END OF SUPER ADMIN CONSOLIDATED REQUIREMENTS &amp; ROADMAP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Esta Workforce OS • Super Admin Handover • Confidential Project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