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DA7818B">
      <w:pPr>
        <w:spacing w:before="480" w:after="160"/>
        <w:jc w:val="center"/>
      </w:pPr>
      <w:r>
        <w:rPr>
          <w:rFonts w:ascii="Arial" w:hAnsi="Arial" w:eastAsia="Arial" w:cs="Arial"/>
          <w:b/>
          <w:bCs/>
          <w:color w:val="1F4E79"/>
          <w:sz w:val="44"/>
          <w:szCs w:val="44"/>
        </w:rPr>
        <w:t>SECURITY AUDIT REPORT</w:t>
      </w:r>
    </w:p>
    <w:p w14:paraId="0B205C88">
      <w:pPr>
        <w:spacing w:before="0" w:after="80"/>
        <w:jc w:val="center"/>
      </w:pPr>
      <w:r>
        <w:rPr>
          <w:rFonts w:ascii="Arial" w:hAnsi="Arial" w:eastAsia="Arial" w:cs="Arial"/>
          <w:b/>
          <w:bCs/>
          <w:color w:val="2E75B6"/>
          <w:sz w:val="32"/>
          <w:szCs w:val="32"/>
        </w:rPr>
        <w:t>Automated Brute-Force Detection Workflow</w:t>
      </w:r>
    </w:p>
    <w:p w14:paraId="1F68BB6E">
      <w:pPr>
        <w:spacing w:before="0" w:after="480"/>
        <w:jc w:val="center"/>
      </w:pPr>
      <w:r>
        <w:rPr>
          <w:rFonts w:ascii="Arial" w:hAnsi="Arial" w:eastAsia="Arial" w:cs="Arial"/>
          <w:color w:val="888888"/>
          <w:sz w:val="22"/>
          <w:szCs w:val="22"/>
        </w:rPr>
        <w:t>Date: May 2025  |  Classification: Confidential</w:t>
      </w:r>
    </w:p>
    <w:p w14:paraId="6D121C2E">
      <w:pPr>
        <w:pStyle w:val="2"/>
        <w:pBdr>
          <w:bottom w:val="single" w:color="1F4E79" w:sz="6" w:space="4"/>
        </w:pBdr>
        <w:spacing w:before="320" w:after="160"/>
      </w:pPr>
      <w:r>
        <w:rPr>
          <w:rFonts w:ascii="Arial" w:hAnsi="Arial" w:eastAsia="Arial" w:cs="Arial"/>
          <w:b/>
          <w:bCs/>
          <w:color w:val="1F4E79"/>
          <w:sz w:val="28"/>
          <w:szCs w:val="28"/>
        </w:rPr>
        <w:t>1. Project Overview</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6360"/>
      </w:tblGrid>
      <w:tr w14:paraId="79A841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1F4E79" w:sz="0" w:space="0"/>
              <w:left w:val="single" w:color="1F4E79" w:sz="0" w:space="0"/>
              <w:bottom w:val="single" w:color="1F4E79" w:sz="0" w:space="0"/>
              <w:right w:val="single" w:color="1F4E79" w:sz="0" w:space="0"/>
            </w:tcBorders>
            <w:shd w:val="clear" w:color="auto" w:fill="1F4E79"/>
            <w:tcMar>
              <w:top w:w="80" w:type="dxa"/>
              <w:left w:w="120" w:type="dxa"/>
              <w:bottom w:w="80" w:type="dxa"/>
              <w:right w:w="120" w:type="dxa"/>
            </w:tcMar>
          </w:tcPr>
          <w:p w14:paraId="0BBA996E">
            <w:r>
              <w:rPr>
                <w:rFonts w:ascii="Arial" w:hAnsi="Arial" w:eastAsia="Arial" w:cs="Arial"/>
                <w:b/>
                <w:bCs/>
                <w:color w:val="FFFFFF"/>
                <w:sz w:val="20"/>
                <w:szCs w:val="20"/>
              </w:rPr>
              <w:t>Field</w:t>
            </w:r>
          </w:p>
        </w:tc>
        <w:tc>
          <w:tcPr>
            <w:tcW w:w="6360" w:type="dxa"/>
            <w:tcBorders>
              <w:top w:val="single" w:color="1F4E79" w:sz="0" w:space="0"/>
              <w:left w:val="single" w:color="1F4E79" w:sz="0" w:space="0"/>
              <w:bottom w:val="single" w:color="1F4E79" w:sz="0" w:space="0"/>
              <w:right w:val="single" w:color="1F4E79" w:sz="0" w:space="0"/>
            </w:tcBorders>
            <w:shd w:val="clear" w:color="auto" w:fill="2E75B6"/>
            <w:tcMar>
              <w:top w:w="80" w:type="dxa"/>
              <w:left w:w="120" w:type="dxa"/>
              <w:bottom w:w="80" w:type="dxa"/>
              <w:right w:w="120" w:type="dxa"/>
            </w:tcMar>
          </w:tcPr>
          <w:p w14:paraId="27EA7802">
            <w:r>
              <w:rPr>
                <w:rFonts w:ascii="Arial" w:hAnsi="Arial" w:eastAsia="Arial" w:cs="Arial"/>
                <w:color w:val="FFFFFF"/>
                <w:sz w:val="20"/>
                <w:szCs w:val="20"/>
              </w:rPr>
              <w:t>Details</w:t>
            </w:r>
          </w:p>
        </w:tc>
      </w:tr>
      <w:tr w14:paraId="4357CE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5F8FF"/>
            <w:tcMar>
              <w:top w:w="80" w:type="dxa"/>
              <w:left w:w="120" w:type="dxa"/>
              <w:bottom w:w="80" w:type="dxa"/>
              <w:right w:w="120" w:type="dxa"/>
            </w:tcMar>
          </w:tcPr>
          <w:p w14:paraId="0C8E62B0">
            <w:r>
              <w:rPr>
                <w:rFonts w:ascii="Arial" w:hAnsi="Arial" w:eastAsia="Arial" w:cs="Arial"/>
                <w:b/>
                <w:bCs/>
                <w:color w:val="000000"/>
                <w:sz w:val="20"/>
                <w:szCs w:val="20"/>
              </w:rPr>
              <w:t>Project Name</w:t>
            </w:r>
          </w:p>
        </w:tc>
        <w:tc>
          <w:tcPr>
            <w:tcW w:w="6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62DB410">
            <w:r>
              <w:rPr>
                <w:rFonts w:ascii="Arial" w:hAnsi="Arial" w:eastAsia="Arial" w:cs="Arial"/>
                <w:color w:val="000000"/>
                <w:sz w:val="20"/>
                <w:szCs w:val="20"/>
              </w:rPr>
              <w:t>Automated Brute-Force Detection Workflow</w:t>
            </w:r>
          </w:p>
        </w:tc>
      </w:tr>
      <w:tr w14:paraId="33CCEF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5F8FF"/>
            <w:tcMar>
              <w:top w:w="80" w:type="dxa"/>
              <w:left w:w="120" w:type="dxa"/>
              <w:bottom w:w="80" w:type="dxa"/>
              <w:right w:w="120" w:type="dxa"/>
            </w:tcMar>
          </w:tcPr>
          <w:p w14:paraId="3F2DA1D1">
            <w:r>
              <w:rPr>
                <w:rFonts w:ascii="Arial" w:hAnsi="Arial" w:eastAsia="Arial" w:cs="Arial"/>
                <w:b/>
                <w:bCs/>
                <w:color w:val="000000"/>
                <w:sz w:val="20"/>
                <w:szCs w:val="20"/>
              </w:rPr>
              <w:t>Project Type</w:t>
            </w:r>
          </w:p>
        </w:tc>
        <w:tc>
          <w:tcPr>
            <w:tcW w:w="6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5D16506">
            <w:r>
              <w:rPr>
                <w:rFonts w:ascii="Arial" w:hAnsi="Arial" w:eastAsia="Arial" w:cs="Arial"/>
                <w:color w:val="000000"/>
                <w:sz w:val="20"/>
                <w:szCs w:val="20"/>
              </w:rPr>
              <w:t>Security Project – SOC Workflow Simulation</w:t>
            </w:r>
          </w:p>
        </w:tc>
      </w:tr>
      <w:tr w14:paraId="1664C7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5F8FF"/>
            <w:tcMar>
              <w:top w:w="80" w:type="dxa"/>
              <w:left w:w="120" w:type="dxa"/>
              <w:bottom w:w="80" w:type="dxa"/>
              <w:right w:w="120" w:type="dxa"/>
            </w:tcMar>
          </w:tcPr>
          <w:p w14:paraId="7B775A78">
            <w:r>
              <w:rPr>
                <w:rFonts w:ascii="Arial" w:hAnsi="Arial" w:eastAsia="Arial" w:cs="Arial"/>
                <w:b/>
                <w:bCs/>
                <w:color w:val="000000"/>
                <w:sz w:val="20"/>
                <w:szCs w:val="20"/>
              </w:rPr>
              <w:t>Year</w:t>
            </w:r>
          </w:p>
        </w:tc>
        <w:tc>
          <w:tcPr>
            <w:tcW w:w="6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1000918">
            <w:r>
              <w:rPr>
                <w:rFonts w:ascii="Arial" w:hAnsi="Arial" w:eastAsia="Arial" w:cs="Arial"/>
                <w:color w:val="000000"/>
                <w:sz w:val="20"/>
                <w:szCs w:val="20"/>
              </w:rPr>
              <w:t>2025</w:t>
            </w:r>
          </w:p>
        </w:tc>
      </w:tr>
      <w:tr w14:paraId="76B055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5F8FF"/>
            <w:tcMar>
              <w:top w:w="80" w:type="dxa"/>
              <w:left w:w="120" w:type="dxa"/>
              <w:bottom w:w="80" w:type="dxa"/>
              <w:right w:w="120" w:type="dxa"/>
            </w:tcMar>
          </w:tcPr>
          <w:p w14:paraId="590C3634">
            <w:r>
              <w:rPr>
                <w:rFonts w:ascii="Arial" w:hAnsi="Arial" w:eastAsia="Arial" w:cs="Arial"/>
                <w:b/>
                <w:bCs/>
                <w:color w:val="000000"/>
                <w:sz w:val="20"/>
                <w:szCs w:val="20"/>
              </w:rPr>
              <w:t>Environment</w:t>
            </w:r>
          </w:p>
        </w:tc>
        <w:tc>
          <w:tcPr>
            <w:tcW w:w="6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E09C4EE">
            <w:r>
              <w:rPr>
                <w:rFonts w:ascii="Arial" w:hAnsi="Arial" w:eastAsia="Arial" w:cs="Arial"/>
                <w:color w:val="000000"/>
                <w:sz w:val="20"/>
                <w:szCs w:val="20"/>
              </w:rPr>
              <w:t>Kali Linux + Windows + Splunk SIEM</w:t>
            </w:r>
          </w:p>
        </w:tc>
      </w:tr>
      <w:tr w14:paraId="1BC6F2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5F8FF"/>
            <w:tcMar>
              <w:top w:w="80" w:type="dxa"/>
              <w:left w:w="120" w:type="dxa"/>
              <w:bottom w:w="80" w:type="dxa"/>
              <w:right w:w="120" w:type="dxa"/>
            </w:tcMar>
          </w:tcPr>
          <w:p w14:paraId="3E7CE5EB">
            <w:r>
              <w:rPr>
                <w:rFonts w:ascii="Arial" w:hAnsi="Arial" w:eastAsia="Arial" w:cs="Arial"/>
                <w:b/>
                <w:bCs/>
                <w:color w:val="000000"/>
                <w:sz w:val="20"/>
                <w:szCs w:val="20"/>
              </w:rPr>
              <w:t>Classification</w:t>
            </w:r>
          </w:p>
        </w:tc>
        <w:tc>
          <w:tcPr>
            <w:tcW w:w="6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C710CCE">
            <w:r>
              <w:rPr>
                <w:rFonts w:ascii="Arial" w:hAnsi="Arial" w:eastAsia="Arial" w:cs="Arial"/>
                <w:color w:val="000000"/>
                <w:sz w:val="20"/>
                <w:szCs w:val="20"/>
              </w:rPr>
              <w:t>Confidential – Internal Use Only</w:t>
            </w:r>
          </w:p>
        </w:tc>
      </w:tr>
      <w:tr w14:paraId="5A8FE5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5F8FF"/>
            <w:tcMar>
              <w:top w:w="80" w:type="dxa"/>
              <w:left w:w="120" w:type="dxa"/>
              <w:bottom w:w="80" w:type="dxa"/>
              <w:right w:w="120" w:type="dxa"/>
            </w:tcMar>
          </w:tcPr>
          <w:p w14:paraId="1CFCFBDD">
            <w:r>
              <w:rPr>
                <w:rFonts w:ascii="Arial" w:hAnsi="Arial" w:eastAsia="Arial" w:cs="Arial"/>
                <w:b/>
                <w:bCs/>
                <w:color w:val="000000"/>
                <w:sz w:val="20"/>
                <w:szCs w:val="20"/>
              </w:rPr>
              <w:t>Prepared By</w:t>
            </w:r>
          </w:p>
        </w:tc>
        <w:tc>
          <w:tcPr>
            <w:tcW w:w="6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D3A3E51">
            <w:r>
              <w:rPr>
                <w:rFonts w:ascii="Arial" w:hAnsi="Arial" w:eastAsia="Arial" w:cs="Arial"/>
                <w:color w:val="000000"/>
                <w:sz w:val="20"/>
                <w:szCs w:val="20"/>
              </w:rPr>
              <w:t>Cybersecurity Intern – SOC Simulation Team</w:t>
            </w:r>
          </w:p>
        </w:tc>
      </w:tr>
    </w:tbl>
    <w:p w14:paraId="0D191291">
      <w:pPr>
        <w:spacing w:before="240"/>
      </w:pPr>
    </w:p>
    <w:p w14:paraId="148F1C4A">
      <w:pPr>
        <w:pStyle w:val="2"/>
        <w:pBdr>
          <w:bottom w:val="single" w:color="1F4E79" w:sz="6" w:space="4"/>
        </w:pBdr>
        <w:spacing w:before="320" w:after="160"/>
      </w:pPr>
      <w:r>
        <w:rPr>
          <w:rFonts w:ascii="Arial" w:hAnsi="Arial" w:eastAsia="Arial" w:cs="Arial"/>
          <w:b/>
          <w:bCs/>
          <w:color w:val="1F4E79"/>
          <w:sz w:val="28"/>
          <w:szCs w:val="28"/>
        </w:rPr>
        <w:t>2. Executive Summary</w:t>
      </w:r>
    </w:p>
    <w:p w14:paraId="2C101755">
      <w:pPr>
        <w:spacing w:before="80" w:after="80"/>
      </w:pPr>
      <w:r>
        <w:rPr>
          <w:rFonts w:ascii="Arial" w:hAnsi="Arial" w:eastAsia="Arial" w:cs="Arial"/>
          <w:sz w:val="22"/>
          <w:szCs w:val="22"/>
        </w:rPr>
        <w:t>This report documents the design, execution, and outcomes of a simulated brute-force attack detection workflow conducted in a controlled SOC (Security Operations Center) environment. The project aimed to evaluate the effectiveness of real-time detection mechanisms, custom SPL-based alerting rules, and automated incident response processes against brute-force authentication attacks.</w:t>
      </w:r>
    </w:p>
    <w:p w14:paraId="25737FFE">
      <w:pPr>
        <w:spacing w:before="80"/>
      </w:pPr>
    </w:p>
    <w:p w14:paraId="52092FBD">
      <w:pPr>
        <w:spacing w:before="80" w:after="80"/>
      </w:pPr>
      <w:r>
        <w:rPr>
          <w:rFonts w:ascii="Arial" w:hAnsi="Arial" w:eastAsia="Arial" w:cs="Arial"/>
          <w:sz w:val="22"/>
          <w:szCs w:val="22"/>
        </w:rPr>
        <w:t>Hydra, a well-known password-spraying and brute-force tool, was deployed from a Kali Linux machine to simulate malicious login attempts against a target Windows system. The resulting authentication failure events (Event ID 4625) were ingested and analyzed using Splunk SIEM. Custom detection rules were developed, and Python-based automation was implemented to respond to detected threats in real time.</w:t>
      </w:r>
    </w:p>
    <w:p w14:paraId="0A84F343">
      <w:pPr>
        <w:spacing w:before="120"/>
      </w:pPr>
    </w:p>
    <w:p w14:paraId="45C1AA33">
      <w:pPr>
        <w:pStyle w:val="2"/>
        <w:pBdr>
          <w:bottom w:val="single" w:color="1F4E79" w:sz="6" w:space="4"/>
        </w:pBdr>
        <w:spacing w:before="320" w:after="160"/>
      </w:pPr>
      <w:r>
        <w:rPr>
          <w:rFonts w:ascii="Arial" w:hAnsi="Arial" w:eastAsia="Arial" w:cs="Arial"/>
          <w:b/>
          <w:bCs/>
          <w:color w:val="1F4E79"/>
          <w:sz w:val="28"/>
          <w:szCs w:val="28"/>
        </w:rPr>
        <w:t>3. Objectives</w:t>
      </w:r>
    </w:p>
    <w:p w14:paraId="1084CEFD">
      <w:pPr>
        <w:pStyle w:val="16"/>
        <w:numPr>
          <w:ilvl w:val="0"/>
          <w:numId w:val="1"/>
        </w:numPr>
        <w:spacing w:before="60" w:after="60"/>
      </w:pPr>
      <w:r>
        <w:rPr>
          <w:rFonts w:ascii="Arial" w:hAnsi="Arial" w:eastAsia="Arial" w:cs="Arial"/>
          <w:sz w:val="22"/>
          <w:szCs w:val="22"/>
        </w:rPr>
        <w:t>Simulate a real-world brute-force attack using Hydra from a Kali Linux environment.</w:t>
      </w:r>
    </w:p>
    <w:p w14:paraId="712D0BFF">
      <w:pPr>
        <w:pStyle w:val="16"/>
        <w:numPr>
          <w:ilvl w:val="0"/>
          <w:numId w:val="1"/>
        </w:numPr>
        <w:spacing w:before="60" w:after="60"/>
      </w:pPr>
      <w:r>
        <w:rPr>
          <w:rFonts w:ascii="Arial" w:hAnsi="Arial" w:eastAsia="Arial" w:cs="Arial"/>
          <w:sz w:val="22"/>
          <w:szCs w:val="22"/>
        </w:rPr>
        <w:t>Detect malicious authentication activity by analyzing Windows Security Event ID 4625 in Splunk.</w:t>
      </w:r>
    </w:p>
    <w:p w14:paraId="564866DE">
      <w:pPr>
        <w:pStyle w:val="16"/>
        <w:numPr>
          <w:ilvl w:val="0"/>
          <w:numId w:val="1"/>
        </w:numPr>
        <w:spacing w:before="60" w:after="60"/>
      </w:pPr>
      <w:r>
        <w:rPr>
          <w:rFonts w:ascii="Arial" w:hAnsi="Arial" w:eastAsia="Arial" w:cs="Arial"/>
          <w:sz w:val="22"/>
          <w:szCs w:val="22"/>
        </w:rPr>
        <w:t>Develop and deploy custom SPL (Search Processing Language) rules to identify repeated login failures and suspicious behaviour.</w:t>
      </w:r>
    </w:p>
    <w:p w14:paraId="66F8FBF4">
      <w:pPr>
        <w:pStyle w:val="16"/>
        <w:numPr>
          <w:ilvl w:val="0"/>
          <w:numId w:val="1"/>
        </w:numPr>
        <w:spacing w:before="60" w:after="60"/>
      </w:pPr>
      <w:r>
        <w:rPr>
          <w:rFonts w:ascii="Arial" w:hAnsi="Arial" w:eastAsia="Arial" w:cs="Arial"/>
          <w:sz w:val="22"/>
          <w:szCs w:val="22"/>
        </w:rPr>
        <w:t>Automate threat response by creating Python scripts to block malicious IP addresses and generate incident alerts.</w:t>
      </w:r>
    </w:p>
    <w:p w14:paraId="10F0E80E">
      <w:pPr>
        <w:pStyle w:val="16"/>
        <w:numPr>
          <w:ilvl w:val="0"/>
          <w:numId w:val="1"/>
        </w:numPr>
        <w:spacing w:before="60" w:after="60"/>
      </w:pPr>
      <w:r>
        <w:rPr>
          <w:rFonts w:ascii="Arial" w:hAnsi="Arial" w:eastAsia="Arial" w:cs="Arial"/>
          <w:sz w:val="22"/>
          <w:szCs w:val="22"/>
        </w:rPr>
        <w:t>Evaluate the overall effectiveness of the detection-and-response workflow.</w:t>
      </w:r>
    </w:p>
    <w:p w14:paraId="41600BB3">
      <w:pPr>
        <w:spacing w:before="120"/>
      </w:pPr>
    </w:p>
    <w:p w14:paraId="1FDB5404">
      <w:pPr>
        <w:pStyle w:val="2"/>
        <w:pBdr>
          <w:bottom w:val="single" w:color="1F4E79" w:sz="6" w:space="4"/>
        </w:pBdr>
        <w:spacing w:before="320" w:after="160"/>
      </w:pPr>
      <w:r>
        <w:rPr>
          <w:rFonts w:ascii="Arial" w:hAnsi="Arial" w:eastAsia="Arial" w:cs="Arial"/>
          <w:b/>
          <w:bCs/>
          <w:color w:val="1F4E79"/>
          <w:sz w:val="28"/>
          <w:szCs w:val="28"/>
        </w:rPr>
        <w:t>4. Scope of Assessment</w:t>
      </w:r>
    </w:p>
    <w:p w14:paraId="7BF3FB29">
      <w:pPr>
        <w:pStyle w:val="3"/>
        <w:spacing w:before="240" w:after="120"/>
      </w:pPr>
      <w:r>
        <w:rPr>
          <w:rFonts w:ascii="Arial" w:hAnsi="Arial" w:eastAsia="Arial" w:cs="Arial"/>
          <w:b/>
          <w:bCs/>
          <w:color w:val="2E75B6"/>
          <w:sz w:val="24"/>
          <w:szCs w:val="24"/>
        </w:rPr>
        <w:t>4.1 In-Scope</w:t>
      </w:r>
    </w:p>
    <w:p w14:paraId="562BD95C">
      <w:pPr>
        <w:pStyle w:val="16"/>
        <w:numPr>
          <w:ilvl w:val="0"/>
          <w:numId w:val="1"/>
        </w:numPr>
        <w:spacing w:before="60" w:after="60"/>
      </w:pPr>
      <w:r>
        <w:rPr>
          <w:rFonts w:ascii="Arial" w:hAnsi="Arial" w:eastAsia="Arial" w:cs="Arial"/>
          <w:sz w:val="22"/>
          <w:szCs w:val="22"/>
        </w:rPr>
        <w:t>Brute-force simulation using Hydra tool on Kali Linux.</w:t>
      </w:r>
    </w:p>
    <w:p w14:paraId="7E81E9BB">
      <w:pPr>
        <w:pStyle w:val="16"/>
        <w:numPr>
          <w:ilvl w:val="0"/>
          <w:numId w:val="1"/>
        </w:numPr>
        <w:spacing w:before="60" w:after="60"/>
      </w:pPr>
      <w:r>
        <w:rPr>
          <w:rFonts w:ascii="Arial" w:hAnsi="Arial" w:eastAsia="Arial" w:cs="Arial"/>
          <w:sz w:val="22"/>
          <w:szCs w:val="22"/>
        </w:rPr>
        <w:t>Windows Security Event Log analysis (Event ID 4625 – Failed Logon).</w:t>
      </w:r>
    </w:p>
    <w:p w14:paraId="4F2CA0AC">
      <w:pPr>
        <w:pStyle w:val="16"/>
        <w:numPr>
          <w:ilvl w:val="0"/>
          <w:numId w:val="1"/>
        </w:numPr>
        <w:spacing w:before="60" w:after="60"/>
      </w:pPr>
      <w:r>
        <w:rPr>
          <w:rFonts w:ascii="Arial" w:hAnsi="Arial" w:eastAsia="Arial" w:cs="Arial"/>
          <w:sz w:val="22"/>
          <w:szCs w:val="22"/>
        </w:rPr>
        <w:t>Splunk SIEM dashboard and custom SPL query development.</w:t>
      </w:r>
    </w:p>
    <w:p w14:paraId="08F9915E">
      <w:pPr>
        <w:pStyle w:val="16"/>
        <w:numPr>
          <w:ilvl w:val="0"/>
          <w:numId w:val="1"/>
        </w:numPr>
        <w:spacing w:before="60" w:after="60"/>
      </w:pPr>
      <w:r>
        <w:rPr>
          <w:rFonts w:ascii="Arial" w:hAnsi="Arial" w:eastAsia="Arial" w:cs="Arial"/>
          <w:sz w:val="22"/>
          <w:szCs w:val="22"/>
        </w:rPr>
        <w:t>Python-based automated IP blocking and alert generation.</w:t>
      </w:r>
    </w:p>
    <w:p w14:paraId="58E4FA6F">
      <w:pPr>
        <w:pStyle w:val="3"/>
        <w:spacing w:before="240" w:after="120"/>
      </w:pPr>
      <w:r>
        <w:rPr>
          <w:rFonts w:ascii="Arial" w:hAnsi="Arial" w:eastAsia="Arial" w:cs="Arial"/>
          <w:b/>
          <w:bCs/>
          <w:color w:val="2E75B6"/>
          <w:sz w:val="24"/>
          <w:szCs w:val="24"/>
        </w:rPr>
        <w:t>4.2 Out-of-Scope</w:t>
      </w:r>
    </w:p>
    <w:p w14:paraId="61C516D0">
      <w:pPr>
        <w:pStyle w:val="16"/>
        <w:numPr>
          <w:ilvl w:val="0"/>
          <w:numId w:val="1"/>
        </w:numPr>
        <w:spacing w:before="60" w:after="60"/>
      </w:pPr>
      <w:r>
        <w:rPr>
          <w:rFonts w:ascii="Arial" w:hAnsi="Arial" w:eastAsia="Arial" w:cs="Arial"/>
          <w:sz w:val="22"/>
          <w:szCs w:val="22"/>
        </w:rPr>
        <w:t>Production systems or live network environments.</w:t>
      </w:r>
    </w:p>
    <w:p w14:paraId="71640A04">
      <w:pPr>
        <w:pStyle w:val="16"/>
        <w:numPr>
          <w:ilvl w:val="0"/>
          <w:numId w:val="1"/>
        </w:numPr>
        <w:spacing w:before="60" w:after="60"/>
      </w:pPr>
      <w:r>
        <w:rPr>
          <w:rFonts w:ascii="Arial" w:hAnsi="Arial" w:eastAsia="Arial" w:cs="Arial"/>
          <w:sz w:val="22"/>
          <w:szCs w:val="22"/>
        </w:rPr>
        <w:t>Exploitation of vulnerabilities beyond authentication failure simulation.</w:t>
      </w:r>
    </w:p>
    <w:p w14:paraId="15057322">
      <w:pPr>
        <w:pStyle w:val="16"/>
        <w:numPr>
          <w:ilvl w:val="0"/>
          <w:numId w:val="1"/>
        </w:numPr>
        <w:spacing w:before="60" w:after="60"/>
      </w:pPr>
      <w:r>
        <w:rPr>
          <w:rFonts w:ascii="Arial" w:hAnsi="Arial" w:eastAsia="Arial" w:cs="Arial"/>
          <w:sz w:val="22"/>
          <w:szCs w:val="22"/>
        </w:rPr>
        <w:t>Physical security controls or social engineering vectors.</w:t>
      </w:r>
    </w:p>
    <w:p w14:paraId="05AE6CD7">
      <w:pPr>
        <w:spacing w:before="120"/>
      </w:pPr>
    </w:p>
    <w:p w14:paraId="7268205F">
      <w:pPr>
        <w:pStyle w:val="2"/>
        <w:pBdr>
          <w:bottom w:val="single" w:color="1F4E79" w:sz="6" w:space="4"/>
        </w:pBdr>
        <w:spacing w:before="320" w:after="160"/>
      </w:pPr>
      <w:r>
        <w:rPr>
          <w:rFonts w:ascii="Arial" w:hAnsi="Arial" w:eastAsia="Arial" w:cs="Arial"/>
          <w:b/>
          <w:bCs/>
          <w:color w:val="1F4E79"/>
          <w:sz w:val="28"/>
          <w:szCs w:val="28"/>
        </w:rPr>
        <w:t>5. Tools &amp; Technologies Used</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3480"/>
        <w:gridCol w:w="3480"/>
      </w:tblGrid>
      <w:tr w14:paraId="11EEB4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1F4E79" w:sz="0" w:space="0"/>
              <w:left w:val="single" w:color="1F4E79" w:sz="0" w:space="0"/>
              <w:bottom w:val="single" w:color="1F4E79" w:sz="0" w:space="0"/>
              <w:right w:val="single" w:color="1F4E79" w:sz="0" w:space="0"/>
            </w:tcBorders>
            <w:shd w:val="clear" w:color="auto" w:fill="1F4E79"/>
            <w:tcMar>
              <w:top w:w="80" w:type="dxa"/>
              <w:left w:w="120" w:type="dxa"/>
              <w:bottom w:w="80" w:type="dxa"/>
              <w:right w:w="120" w:type="dxa"/>
            </w:tcMar>
          </w:tcPr>
          <w:p w14:paraId="224227EB">
            <w:r>
              <w:rPr>
                <w:rFonts w:ascii="Arial" w:hAnsi="Arial" w:eastAsia="Arial" w:cs="Arial"/>
                <w:b/>
                <w:bCs/>
                <w:color w:val="FFFFFF"/>
                <w:sz w:val="20"/>
                <w:szCs w:val="20"/>
              </w:rPr>
              <w:t>Tool/Technology</w:t>
            </w:r>
          </w:p>
        </w:tc>
        <w:tc>
          <w:tcPr>
            <w:tcW w:w="3480" w:type="dxa"/>
            <w:tcBorders>
              <w:top w:val="single" w:color="1F4E79" w:sz="0" w:space="0"/>
              <w:left w:val="single" w:color="1F4E79" w:sz="0" w:space="0"/>
              <w:bottom w:val="single" w:color="1F4E79" w:sz="0" w:space="0"/>
              <w:right w:val="single" w:color="1F4E79" w:sz="0" w:space="0"/>
            </w:tcBorders>
            <w:shd w:val="clear" w:color="auto" w:fill="2E75B6"/>
            <w:tcMar>
              <w:top w:w="80" w:type="dxa"/>
              <w:left w:w="120" w:type="dxa"/>
              <w:bottom w:w="80" w:type="dxa"/>
              <w:right w:w="120" w:type="dxa"/>
            </w:tcMar>
          </w:tcPr>
          <w:p w14:paraId="56535B93">
            <w:r>
              <w:rPr>
                <w:rFonts w:ascii="Arial" w:hAnsi="Arial" w:eastAsia="Arial" w:cs="Arial"/>
                <w:b/>
                <w:bCs/>
                <w:color w:val="FFFFFF"/>
                <w:sz w:val="20"/>
                <w:szCs w:val="20"/>
              </w:rPr>
              <w:t>Purpose</w:t>
            </w:r>
          </w:p>
        </w:tc>
        <w:tc>
          <w:tcPr>
            <w:tcW w:w="3480" w:type="dxa"/>
            <w:tcBorders>
              <w:top w:val="single" w:color="1F4E79" w:sz="0" w:space="0"/>
              <w:left w:val="single" w:color="1F4E79" w:sz="0" w:space="0"/>
              <w:bottom w:val="single" w:color="1F4E79" w:sz="0" w:space="0"/>
              <w:right w:val="single" w:color="1F4E79" w:sz="0" w:space="0"/>
            </w:tcBorders>
            <w:shd w:val="clear" w:color="auto" w:fill="2E75B6"/>
            <w:tcMar>
              <w:top w:w="80" w:type="dxa"/>
              <w:left w:w="120" w:type="dxa"/>
              <w:bottom w:w="80" w:type="dxa"/>
              <w:right w:w="120" w:type="dxa"/>
            </w:tcMar>
          </w:tcPr>
          <w:p w14:paraId="33C60CE6">
            <w:r>
              <w:rPr>
                <w:rFonts w:ascii="Arial" w:hAnsi="Arial" w:eastAsia="Arial" w:cs="Arial"/>
                <w:b/>
                <w:bCs/>
                <w:color w:val="FFFFFF"/>
                <w:sz w:val="20"/>
                <w:szCs w:val="20"/>
              </w:rPr>
              <w:t>Category</w:t>
            </w:r>
          </w:p>
        </w:tc>
      </w:tr>
      <w:tr w14:paraId="5EFF9F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F5F8FF"/>
            <w:tcMar>
              <w:top w:w="80" w:type="dxa"/>
              <w:left w:w="120" w:type="dxa"/>
              <w:bottom w:w="80" w:type="dxa"/>
              <w:right w:w="120" w:type="dxa"/>
            </w:tcMar>
          </w:tcPr>
          <w:p w14:paraId="313D1400">
            <w:r>
              <w:rPr>
                <w:rFonts w:ascii="Arial" w:hAnsi="Arial" w:eastAsia="Arial" w:cs="Arial"/>
                <w:b/>
                <w:bCs/>
                <w:sz w:val="20"/>
                <w:szCs w:val="20"/>
              </w:rPr>
              <w:t>Kali Linux</w:t>
            </w:r>
          </w:p>
        </w:tc>
        <w:tc>
          <w:tcPr>
            <w:tcW w:w="34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44BE92C">
            <w:r>
              <w:rPr>
                <w:rFonts w:ascii="Arial" w:hAnsi="Arial" w:eastAsia="Arial" w:cs="Arial"/>
                <w:sz w:val="20"/>
                <w:szCs w:val="20"/>
              </w:rPr>
              <w:t>Attack simulation platform</w:t>
            </w:r>
          </w:p>
        </w:tc>
        <w:tc>
          <w:tcPr>
            <w:tcW w:w="34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A2FC955">
            <w:r>
              <w:rPr>
                <w:rFonts w:ascii="Arial" w:hAnsi="Arial" w:eastAsia="Arial" w:cs="Arial"/>
                <w:sz w:val="20"/>
                <w:szCs w:val="20"/>
              </w:rPr>
              <w:t>Operating System</w:t>
            </w:r>
          </w:p>
        </w:tc>
      </w:tr>
      <w:tr w14:paraId="12142C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F5F8FF"/>
            <w:tcMar>
              <w:top w:w="80" w:type="dxa"/>
              <w:left w:w="120" w:type="dxa"/>
              <w:bottom w:w="80" w:type="dxa"/>
              <w:right w:w="120" w:type="dxa"/>
            </w:tcMar>
          </w:tcPr>
          <w:p w14:paraId="29A587E4">
            <w:r>
              <w:rPr>
                <w:rFonts w:ascii="Arial" w:hAnsi="Arial" w:eastAsia="Arial" w:cs="Arial"/>
                <w:b/>
                <w:bCs/>
                <w:sz w:val="20"/>
                <w:szCs w:val="20"/>
              </w:rPr>
              <w:t>Hydra</w:t>
            </w:r>
          </w:p>
        </w:tc>
        <w:tc>
          <w:tcPr>
            <w:tcW w:w="34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274B43A">
            <w:r>
              <w:rPr>
                <w:rFonts w:ascii="Arial" w:hAnsi="Arial" w:eastAsia="Arial" w:cs="Arial"/>
                <w:sz w:val="20"/>
                <w:szCs w:val="20"/>
              </w:rPr>
              <w:t>Brute-force / password spraying tool</w:t>
            </w:r>
          </w:p>
        </w:tc>
        <w:tc>
          <w:tcPr>
            <w:tcW w:w="34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0F43A5A">
            <w:r>
              <w:rPr>
                <w:rFonts w:ascii="Arial" w:hAnsi="Arial" w:eastAsia="Arial" w:cs="Arial"/>
                <w:sz w:val="20"/>
                <w:szCs w:val="20"/>
              </w:rPr>
              <w:t>Offensive Tool</w:t>
            </w:r>
          </w:p>
        </w:tc>
      </w:tr>
      <w:tr w14:paraId="7F10C3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F5F8FF"/>
            <w:tcMar>
              <w:top w:w="80" w:type="dxa"/>
              <w:left w:w="120" w:type="dxa"/>
              <w:bottom w:w="80" w:type="dxa"/>
              <w:right w:w="120" w:type="dxa"/>
            </w:tcMar>
          </w:tcPr>
          <w:p w14:paraId="027F082E">
            <w:r>
              <w:rPr>
                <w:rFonts w:ascii="Arial" w:hAnsi="Arial" w:eastAsia="Arial" w:cs="Arial"/>
                <w:b/>
                <w:bCs/>
                <w:sz w:val="20"/>
                <w:szCs w:val="20"/>
              </w:rPr>
              <w:t>Windows OS</w:t>
            </w:r>
          </w:p>
        </w:tc>
        <w:tc>
          <w:tcPr>
            <w:tcW w:w="34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F781892">
            <w:r>
              <w:rPr>
                <w:rFonts w:ascii="Arial" w:hAnsi="Arial" w:eastAsia="Arial" w:cs="Arial"/>
                <w:sz w:val="20"/>
                <w:szCs w:val="20"/>
              </w:rPr>
              <w:t>Target system for logon simulation</w:t>
            </w:r>
          </w:p>
        </w:tc>
        <w:tc>
          <w:tcPr>
            <w:tcW w:w="34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DBCD241">
            <w:r>
              <w:rPr>
                <w:rFonts w:ascii="Arial" w:hAnsi="Arial" w:eastAsia="Arial" w:cs="Arial"/>
                <w:sz w:val="20"/>
                <w:szCs w:val="20"/>
              </w:rPr>
              <w:t>Target Environment</w:t>
            </w:r>
          </w:p>
        </w:tc>
      </w:tr>
      <w:tr w14:paraId="509311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F5F8FF"/>
            <w:tcMar>
              <w:top w:w="80" w:type="dxa"/>
              <w:left w:w="120" w:type="dxa"/>
              <w:bottom w:w="80" w:type="dxa"/>
              <w:right w:w="120" w:type="dxa"/>
            </w:tcMar>
          </w:tcPr>
          <w:p w14:paraId="2238FAB5">
            <w:r>
              <w:rPr>
                <w:rFonts w:ascii="Arial" w:hAnsi="Arial" w:eastAsia="Arial" w:cs="Arial"/>
                <w:b/>
                <w:bCs/>
                <w:sz w:val="20"/>
                <w:szCs w:val="20"/>
              </w:rPr>
              <w:t>Event ID 4625</w:t>
            </w:r>
          </w:p>
        </w:tc>
        <w:tc>
          <w:tcPr>
            <w:tcW w:w="34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9EADA0D">
            <w:r>
              <w:rPr>
                <w:rFonts w:ascii="Arial" w:hAnsi="Arial" w:eastAsia="Arial" w:cs="Arial"/>
                <w:sz w:val="20"/>
                <w:szCs w:val="20"/>
              </w:rPr>
              <w:t>Failed logon event logging</w:t>
            </w:r>
          </w:p>
        </w:tc>
        <w:tc>
          <w:tcPr>
            <w:tcW w:w="34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B224093">
            <w:r>
              <w:rPr>
                <w:rFonts w:ascii="Arial" w:hAnsi="Arial" w:eastAsia="Arial" w:cs="Arial"/>
                <w:sz w:val="20"/>
                <w:szCs w:val="20"/>
              </w:rPr>
              <w:t>Windows Security Log</w:t>
            </w:r>
          </w:p>
        </w:tc>
      </w:tr>
      <w:tr w14:paraId="38DB32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F5F8FF"/>
            <w:tcMar>
              <w:top w:w="80" w:type="dxa"/>
              <w:left w:w="120" w:type="dxa"/>
              <w:bottom w:w="80" w:type="dxa"/>
              <w:right w:w="120" w:type="dxa"/>
            </w:tcMar>
          </w:tcPr>
          <w:p w14:paraId="190CA578">
            <w:r>
              <w:rPr>
                <w:rFonts w:ascii="Arial" w:hAnsi="Arial" w:eastAsia="Arial" w:cs="Arial"/>
                <w:b/>
                <w:bCs/>
                <w:sz w:val="20"/>
                <w:szCs w:val="20"/>
              </w:rPr>
              <w:t>Splunk SIEM</w:t>
            </w:r>
          </w:p>
        </w:tc>
        <w:tc>
          <w:tcPr>
            <w:tcW w:w="34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63AC01C">
            <w:r>
              <w:rPr>
                <w:rFonts w:ascii="Arial" w:hAnsi="Arial" w:eastAsia="Arial" w:cs="Arial"/>
                <w:sz w:val="20"/>
                <w:szCs w:val="20"/>
              </w:rPr>
              <w:t>Log ingestion, analysis, and alerting</w:t>
            </w:r>
          </w:p>
        </w:tc>
        <w:tc>
          <w:tcPr>
            <w:tcW w:w="34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0663DEE">
            <w:r>
              <w:rPr>
                <w:rFonts w:ascii="Arial" w:hAnsi="Arial" w:eastAsia="Arial" w:cs="Arial"/>
                <w:sz w:val="20"/>
                <w:szCs w:val="20"/>
              </w:rPr>
              <w:t>SIEM Platform</w:t>
            </w:r>
          </w:p>
        </w:tc>
      </w:tr>
      <w:tr w14:paraId="519968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F5F8FF"/>
            <w:tcMar>
              <w:top w:w="80" w:type="dxa"/>
              <w:left w:w="120" w:type="dxa"/>
              <w:bottom w:w="80" w:type="dxa"/>
              <w:right w:w="120" w:type="dxa"/>
            </w:tcMar>
          </w:tcPr>
          <w:p w14:paraId="68A49248">
            <w:r>
              <w:rPr>
                <w:rFonts w:ascii="Arial" w:hAnsi="Arial" w:eastAsia="Arial" w:cs="Arial"/>
                <w:b/>
                <w:bCs/>
                <w:sz w:val="20"/>
                <w:szCs w:val="20"/>
              </w:rPr>
              <w:t>SPL (Search Processing Language)</w:t>
            </w:r>
          </w:p>
        </w:tc>
        <w:tc>
          <w:tcPr>
            <w:tcW w:w="34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7535CA0">
            <w:r>
              <w:rPr>
                <w:rFonts w:ascii="Arial" w:hAnsi="Arial" w:eastAsia="Arial" w:cs="Arial"/>
                <w:sz w:val="20"/>
                <w:szCs w:val="20"/>
              </w:rPr>
              <w:t>Custom detection query development</w:t>
            </w:r>
          </w:p>
        </w:tc>
        <w:tc>
          <w:tcPr>
            <w:tcW w:w="34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5BF3D8A">
            <w:r>
              <w:rPr>
                <w:rFonts w:ascii="Arial" w:hAnsi="Arial" w:eastAsia="Arial" w:cs="Arial"/>
                <w:sz w:val="20"/>
                <w:szCs w:val="20"/>
              </w:rPr>
              <w:t>Query Language</w:t>
            </w:r>
          </w:p>
        </w:tc>
      </w:tr>
      <w:tr w14:paraId="0F6951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F5F8FF"/>
            <w:tcMar>
              <w:top w:w="80" w:type="dxa"/>
              <w:left w:w="120" w:type="dxa"/>
              <w:bottom w:w="80" w:type="dxa"/>
              <w:right w:w="120" w:type="dxa"/>
            </w:tcMar>
          </w:tcPr>
          <w:p w14:paraId="62539B51">
            <w:r>
              <w:rPr>
                <w:rFonts w:ascii="Arial" w:hAnsi="Arial" w:eastAsia="Arial" w:cs="Arial"/>
                <w:b/>
                <w:bCs/>
                <w:sz w:val="20"/>
                <w:szCs w:val="20"/>
              </w:rPr>
              <w:t>Python 3</w:t>
            </w:r>
          </w:p>
        </w:tc>
        <w:tc>
          <w:tcPr>
            <w:tcW w:w="34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604664F">
            <w:r>
              <w:rPr>
                <w:rFonts w:ascii="Arial" w:hAnsi="Arial" w:eastAsia="Arial" w:cs="Arial"/>
                <w:sz w:val="20"/>
                <w:szCs w:val="20"/>
              </w:rPr>
              <w:t>Automated response scripting</w:t>
            </w:r>
          </w:p>
        </w:tc>
        <w:tc>
          <w:tcPr>
            <w:tcW w:w="34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67F187D">
            <w:r>
              <w:rPr>
                <w:rFonts w:ascii="Arial" w:hAnsi="Arial" w:eastAsia="Arial" w:cs="Arial"/>
                <w:sz w:val="20"/>
                <w:szCs w:val="20"/>
              </w:rPr>
              <w:t>Scripting / Automation</w:t>
            </w:r>
          </w:p>
        </w:tc>
      </w:tr>
    </w:tbl>
    <w:p w14:paraId="2EE81C40">
      <w:pPr>
        <w:spacing w:before="240"/>
      </w:pPr>
    </w:p>
    <w:p w14:paraId="0A189C4E">
      <w:pPr>
        <w:pStyle w:val="2"/>
        <w:pBdr>
          <w:bottom w:val="single" w:color="1F4E79" w:sz="6" w:space="4"/>
        </w:pBdr>
        <w:spacing w:before="320" w:after="160"/>
      </w:pPr>
      <w:r>
        <w:rPr>
          <w:rFonts w:ascii="Arial" w:hAnsi="Arial" w:eastAsia="Arial" w:cs="Arial"/>
          <w:b/>
          <w:bCs/>
          <w:color w:val="1F4E79"/>
          <w:sz w:val="28"/>
          <w:szCs w:val="28"/>
        </w:rPr>
        <w:t>6. Methodology</w:t>
      </w:r>
    </w:p>
    <w:p w14:paraId="723C8659">
      <w:pPr>
        <w:pStyle w:val="3"/>
        <w:spacing w:before="240" w:after="120"/>
      </w:pPr>
      <w:r>
        <w:rPr>
          <w:rFonts w:ascii="Arial" w:hAnsi="Arial" w:eastAsia="Arial" w:cs="Arial"/>
          <w:b/>
          <w:bCs/>
          <w:color w:val="2E75B6"/>
          <w:sz w:val="24"/>
          <w:szCs w:val="24"/>
        </w:rPr>
        <w:t>6.1 Phase 1 – Attack Simulation</w:t>
      </w:r>
    </w:p>
    <w:p w14:paraId="23C5F9BC">
      <w:pPr>
        <w:spacing w:before="80" w:after="80"/>
      </w:pPr>
      <w:r>
        <w:rPr>
          <w:rFonts w:ascii="Arial" w:hAnsi="Arial" w:eastAsia="Arial" w:cs="Arial"/>
          <w:sz w:val="22"/>
          <w:szCs w:val="22"/>
        </w:rPr>
        <w:t>A controlled brute-force attack was executed using Hydra on Kali Linux targeting a Windows machine within an isolated lab environment. Hydra was configured to perform repeated authentication attempts against the target system using a predefined wordlist, simulating a realistic credential-stuffing or dictionary attack scenario.</w:t>
      </w:r>
    </w:p>
    <w:p w14:paraId="7DC861A1">
      <w:pPr>
        <w:pStyle w:val="16"/>
        <w:numPr>
          <w:ilvl w:val="0"/>
          <w:numId w:val="1"/>
        </w:numPr>
        <w:spacing w:before="60" w:after="60"/>
      </w:pPr>
      <w:r>
        <w:rPr>
          <w:rFonts w:ascii="Arial" w:hAnsi="Arial" w:eastAsia="Arial" w:cs="Arial"/>
          <w:sz w:val="22"/>
          <w:szCs w:val="22"/>
        </w:rPr>
        <w:t>Tool Used: Hydra (THC-Hydra)</w:t>
      </w:r>
    </w:p>
    <w:p w14:paraId="78247618">
      <w:pPr>
        <w:pStyle w:val="16"/>
        <w:numPr>
          <w:ilvl w:val="0"/>
          <w:numId w:val="1"/>
        </w:numPr>
        <w:spacing w:before="60" w:after="60"/>
      </w:pPr>
      <w:r>
        <w:rPr>
          <w:rFonts w:ascii="Arial" w:hAnsi="Arial" w:eastAsia="Arial" w:cs="Arial"/>
          <w:sz w:val="22"/>
          <w:szCs w:val="22"/>
        </w:rPr>
        <w:t>Attack Type: Dictionary-based brute-force login attempts</w:t>
      </w:r>
    </w:p>
    <w:p w14:paraId="26199643">
      <w:pPr>
        <w:pStyle w:val="16"/>
        <w:numPr>
          <w:ilvl w:val="0"/>
          <w:numId w:val="1"/>
        </w:numPr>
        <w:spacing w:before="60" w:after="60"/>
      </w:pPr>
      <w:r>
        <w:rPr>
          <w:rFonts w:ascii="Arial" w:hAnsi="Arial" w:eastAsia="Arial" w:cs="Arial"/>
          <w:sz w:val="22"/>
          <w:szCs w:val="22"/>
        </w:rPr>
        <w:t>Protocol Targeted: SMB / RDP (simulated Windows authentication)</w:t>
      </w:r>
    </w:p>
    <w:p w14:paraId="152215BE">
      <w:pPr>
        <w:pStyle w:val="16"/>
        <w:numPr>
          <w:ilvl w:val="0"/>
          <w:numId w:val="1"/>
        </w:numPr>
        <w:spacing w:before="60" w:after="60"/>
      </w:pPr>
      <w:r>
        <w:rPr>
          <w:rFonts w:ascii="Arial" w:hAnsi="Arial" w:eastAsia="Arial" w:cs="Arial"/>
          <w:sz w:val="22"/>
          <w:szCs w:val="22"/>
        </w:rPr>
        <w:t>Attack Duration: Controlled burst — multiple rapid failed login attempts per minute</w:t>
      </w:r>
    </w:p>
    <w:p w14:paraId="3691010E">
      <w:pPr>
        <w:pStyle w:val="3"/>
        <w:spacing w:before="240" w:after="120"/>
      </w:pPr>
      <w:r>
        <w:rPr>
          <w:rFonts w:ascii="Arial" w:hAnsi="Arial" w:eastAsia="Arial" w:cs="Arial"/>
          <w:b/>
          <w:bCs/>
          <w:color w:val="2E75B6"/>
          <w:sz w:val="24"/>
          <w:szCs w:val="24"/>
        </w:rPr>
        <w:t>6.2 Phase 2 – Log Collection &amp; SIEM Ingestion</w:t>
      </w:r>
    </w:p>
    <w:p w14:paraId="794C45C1">
      <w:pPr>
        <w:spacing w:before="80" w:after="80"/>
      </w:pPr>
      <w:r>
        <w:rPr>
          <w:rFonts w:ascii="Arial" w:hAnsi="Arial" w:eastAsia="Arial" w:cs="Arial"/>
          <w:sz w:val="22"/>
          <w:szCs w:val="22"/>
        </w:rPr>
        <w:t>All authentication activity on the Windows target machine was captured through Windows Security Event Logs. Event ID 4625 (An account failed to log on) was the primary event of interest, as it records every failed authentication attempt including the source IP address, username attempted, failure reason, and timestamp.</w:t>
      </w:r>
    </w:p>
    <w:p w14:paraId="6C7BDF9E">
      <w:pPr>
        <w:pStyle w:val="16"/>
        <w:numPr>
          <w:ilvl w:val="0"/>
          <w:numId w:val="1"/>
        </w:numPr>
        <w:spacing w:before="60" w:after="60"/>
      </w:pPr>
      <w:r>
        <w:rPr>
          <w:rFonts w:ascii="Arial" w:hAnsi="Arial" w:eastAsia="Arial" w:cs="Arial"/>
          <w:sz w:val="22"/>
          <w:szCs w:val="22"/>
        </w:rPr>
        <w:t>Logs were forwarded to Splunk using the Splunk Universal Forwarder.</w:t>
      </w:r>
    </w:p>
    <w:p w14:paraId="2EA1398C">
      <w:pPr>
        <w:pStyle w:val="16"/>
        <w:numPr>
          <w:ilvl w:val="0"/>
          <w:numId w:val="1"/>
        </w:numPr>
        <w:spacing w:before="60" w:after="60"/>
      </w:pPr>
      <w:r>
        <w:rPr>
          <w:rFonts w:ascii="Arial" w:hAnsi="Arial" w:eastAsia="Arial" w:cs="Arial"/>
          <w:sz w:val="22"/>
          <w:szCs w:val="22"/>
        </w:rPr>
        <w:t>A dedicated index was created in Splunk to isolate Windows Security Events.</w:t>
      </w:r>
    </w:p>
    <w:p w14:paraId="04FF8848">
      <w:pPr>
        <w:pStyle w:val="16"/>
        <w:numPr>
          <w:ilvl w:val="0"/>
          <w:numId w:val="1"/>
        </w:numPr>
        <w:spacing w:before="60" w:after="60"/>
      </w:pPr>
      <w:r>
        <w:rPr>
          <w:rFonts w:ascii="Arial" w:hAnsi="Arial" w:eastAsia="Arial" w:cs="Arial"/>
          <w:sz w:val="22"/>
          <w:szCs w:val="22"/>
        </w:rPr>
        <w:t>Real-time ingestion was confirmed via Splunk dashboards.</w:t>
      </w:r>
    </w:p>
    <w:p w14:paraId="78672389">
      <w:pPr>
        <w:pStyle w:val="3"/>
        <w:spacing w:before="240" w:after="120"/>
      </w:pPr>
      <w:r>
        <w:rPr>
          <w:rFonts w:ascii="Arial" w:hAnsi="Arial" w:eastAsia="Arial" w:cs="Arial"/>
          <w:b/>
          <w:bCs/>
          <w:color w:val="2E75B6"/>
          <w:sz w:val="24"/>
          <w:szCs w:val="24"/>
        </w:rPr>
        <w:t>6.3 Phase 3 – Custom SPL Detection Rules</w:t>
      </w:r>
    </w:p>
    <w:p w14:paraId="29B9970B">
      <w:pPr>
        <w:spacing w:before="80" w:after="80"/>
      </w:pPr>
      <w:r>
        <w:rPr>
          <w:rFonts w:ascii="Arial" w:hAnsi="Arial" w:eastAsia="Arial" w:cs="Arial"/>
          <w:sz w:val="22"/>
          <w:szCs w:val="22"/>
        </w:rPr>
        <w:t>Custom SPL (Search Processing Language) queries were developed to detect patterns indicative of brute-force attacks. The rules were designed to flag:</w:t>
      </w:r>
    </w:p>
    <w:p w14:paraId="44FD0EDB">
      <w:pPr>
        <w:pStyle w:val="16"/>
        <w:numPr>
          <w:ilvl w:val="0"/>
          <w:numId w:val="1"/>
        </w:numPr>
        <w:spacing w:before="60" w:after="60"/>
      </w:pPr>
      <w:r>
        <w:rPr>
          <w:rFonts w:ascii="Arial" w:hAnsi="Arial" w:eastAsia="Arial" w:cs="Arial"/>
          <w:sz w:val="22"/>
          <w:szCs w:val="22"/>
        </w:rPr>
        <w:t>More than 5 failed login attempts (Event ID 4625) from the same source IP within a 5-minute window.</w:t>
      </w:r>
    </w:p>
    <w:p w14:paraId="229C78B9">
      <w:pPr>
        <w:pStyle w:val="16"/>
        <w:numPr>
          <w:ilvl w:val="0"/>
          <w:numId w:val="1"/>
        </w:numPr>
        <w:spacing w:before="60" w:after="60"/>
      </w:pPr>
      <w:r>
        <w:rPr>
          <w:rFonts w:ascii="Arial" w:hAnsi="Arial" w:eastAsia="Arial" w:cs="Arial"/>
          <w:sz w:val="22"/>
          <w:szCs w:val="22"/>
        </w:rPr>
        <w:t>Multiple usernames being attempted from a single IP address (credential spraying pattern).</w:t>
      </w:r>
    </w:p>
    <w:p w14:paraId="0E754283">
      <w:pPr>
        <w:pStyle w:val="16"/>
        <w:numPr>
          <w:ilvl w:val="0"/>
          <w:numId w:val="1"/>
        </w:numPr>
        <w:spacing w:before="60" w:after="60"/>
      </w:pPr>
      <w:r>
        <w:rPr>
          <w:rFonts w:ascii="Arial" w:hAnsi="Arial" w:eastAsia="Arial" w:cs="Arial"/>
          <w:sz w:val="22"/>
          <w:szCs w:val="22"/>
        </w:rPr>
        <w:t>Authentication failures occurring outside business hours (anomalous time-based detection).</w:t>
      </w:r>
    </w:p>
    <w:p w14:paraId="2E331173">
      <w:pPr>
        <w:pStyle w:val="16"/>
        <w:numPr>
          <w:ilvl w:val="0"/>
          <w:numId w:val="1"/>
        </w:numPr>
        <w:spacing w:before="60" w:after="60"/>
      </w:pPr>
      <w:r>
        <w:rPr>
          <w:rFonts w:ascii="Arial" w:hAnsi="Arial" w:eastAsia="Arial" w:cs="Arial"/>
          <w:sz w:val="22"/>
          <w:szCs w:val="22"/>
        </w:rPr>
        <w:t>Sequential login failures followed by a successful logon (possible successful brute-force).</w:t>
      </w:r>
    </w:p>
    <w:p w14:paraId="286DEB57">
      <w:pPr>
        <w:spacing w:before="80" w:after="80"/>
      </w:pPr>
      <w:r>
        <w:rPr>
          <w:rFonts w:ascii="Arial" w:hAnsi="Arial" w:eastAsia="Arial" w:cs="Arial"/>
          <w:sz w:val="22"/>
          <w:szCs w:val="22"/>
        </w:rPr>
        <w:t>These rules were saved as scheduled alerts in Splunk with severity levels assigned (Medium / High / Critical) based on the frequency and pattern of failures.</w:t>
      </w:r>
    </w:p>
    <w:p w14:paraId="02E4CBB4">
      <w:pPr>
        <w:pStyle w:val="3"/>
        <w:spacing w:before="240" w:after="120"/>
      </w:pPr>
      <w:r>
        <w:rPr>
          <w:rFonts w:ascii="Arial" w:hAnsi="Arial" w:eastAsia="Arial" w:cs="Arial"/>
          <w:b/>
          <w:bCs/>
          <w:color w:val="2E75B6"/>
          <w:sz w:val="24"/>
          <w:szCs w:val="24"/>
        </w:rPr>
        <w:t>6.4 Phase 4 – Automated Incident Response</w:t>
      </w:r>
    </w:p>
    <w:p w14:paraId="6A0B51F1">
      <w:pPr>
        <w:spacing w:before="80" w:after="80"/>
      </w:pPr>
      <w:r>
        <w:rPr>
          <w:rFonts w:ascii="Arial" w:hAnsi="Arial" w:eastAsia="Arial" w:cs="Arial"/>
          <w:sz w:val="22"/>
          <w:szCs w:val="22"/>
        </w:rPr>
        <w:t>Python scripts were developed to automate the response to triggered Splunk alerts, enabling a faster mean-time-to-respond (MTTR) without manual SOC intervention. The automation workflow included:</w:t>
      </w:r>
    </w:p>
    <w:p w14:paraId="740EE0C3">
      <w:pPr>
        <w:pStyle w:val="16"/>
        <w:numPr>
          <w:ilvl w:val="0"/>
          <w:numId w:val="1"/>
        </w:numPr>
        <w:spacing w:before="60" w:after="60"/>
      </w:pPr>
      <w:r>
        <w:rPr>
          <w:rFonts w:ascii="Arial" w:hAnsi="Arial" w:eastAsia="Arial" w:cs="Arial"/>
          <w:sz w:val="22"/>
          <w:szCs w:val="22"/>
        </w:rPr>
        <w:t>Parsing Splunk alert webhook payloads to extract malicious IP addresses.</w:t>
      </w:r>
    </w:p>
    <w:p w14:paraId="5B3C3901">
      <w:pPr>
        <w:pStyle w:val="16"/>
        <w:numPr>
          <w:ilvl w:val="0"/>
          <w:numId w:val="1"/>
        </w:numPr>
        <w:spacing w:before="60" w:after="60"/>
      </w:pPr>
      <w:r>
        <w:rPr>
          <w:rFonts w:ascii="Arial" w:hAnsi="Arial" w:eastAsia="Arial" w:cs="Arial"/>
          <w:sz w:val="22"/>
          <w:szCs w:val="22"/>
        </w:rPr>
        <w:t>Automatically adding the offending IP to Windows Firewall block rules using Python subprocess calls.</w:t>
      </w:r>
    </w:p>
    <w:p w14:paraId="4CA71B53">
      <w:pPr>
        <w:pStyle w:val="16"/>
        <w:numPr>
          <w:ilvl w:val="0"/>
          <w:numId w:val="1"/>
        </w:numPr>
        <w:spacing w:before="60" w:after="60"/>
      </w:pPr>
      <w:r>
        <w:rPr>
          <w:rFonts w:ascii="Arial" w:hAnsi="Arial" w:eastAsia="Arial" w:cs="Arial"/>
          <w:sz w:val="22"/>
          <w:szCs w:val="22"/>
        </w:rPr>
        <w:t>Generating structured incident alert reports (in JSON and plain text format) with timestamp, source IP, number of failed attempts, and recommended action.</w:t>
      </w:r>
    </w:p>
    <w:p w14:paraId="02329CFF">
      <w:pPr>
        <w:pStyle w:val="16"/>
        <w:numPr>
          <w:ilvl w:val="0"/>
          <w:numId w:val="1"/>
        </w:numPr>
        <w:spacing w:before="60" w:after="60"/>
      </w:pPr>
      <w:r>
        <w:rPr>
          <w:rFonts w:ascii="Arial" w:hAnsi="Arial" w:eastAsia="Arial" w:cs="Arial"/>
          <w:sz w:val="22"/>
          <w:szCs w:val="22"/>
        </w:rPr>
        <w:t>Sending email/log notifications to simulate SOC escalation procedures.</w:t>
      </w:r>
    </w:p>
    <w:p w14:paraId="161BAF96">
      <w:pPr>
        <w:spacing w:before="120"/>
      </w:pPr>
    </w:p>
    <w:p w14:paraId="254AA6A3">
      <w:pPr>
        <w:pStyle w:val="2"/>
        <w:pBdr>
          <w:bottom w:val="single" w:color="1F4E79" w:sz="6" w:space="4"/>
        </w:pBdr>
        <w:spacing w:before="320" w:after="160"/>
      </w:pPr>
      <w:r>
        <w:rPr>
          <w:rFonts w:ascii="Arial" w:hAnsi="Arial" w:eastAsia="Arial" w:cs="Arial"/>
          <w:b/>
          <w:bCs/>
          <w:color w:val="1F4E79"/>
          <w:sz w:val="28"/>
          <w:szCs w:val="28"/>
        </w:rPr>
        <w:t>7. Key Findings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200"/>
        <w:gridCol w:w="4080"/>
        <w:gridCol w:w="2040"/>
        <w:gridCol w:w="2040"/>
      </w:tblGrid>
      <w:tr w14:paraId="5F52C6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1F4E79" w:sz="0" w:space="0"/>
              <w:left w:val="single" w:color="1F4E79" w:sz="0" w:space="0"/>
              <w:bottom w:val="single" w:color="1F4E79" w:sz="0" w:space="0"/>
              <w:right w:val="single" w:color="1F4E79" w:sz="0" w:space="0"/>
            </w:tcBorders>
            <w:shd w:val="clear" w:color="auto" w:fill="1F4E79"/>
            <w:tcMar>
              <w:top w:w="80" w:type="dxa"/>
              <w:left w:w="120" w:type="dxa"/>
              <w:bottom w:w="80" w:type="dxa"/>
              <w:right w:w="120" w:type="dxa"/>
            </w:tcMar>
          </w:tcPr>
          <w:p w14:paraId="048573FD">
            <w:r>
              <w:rPr>
                <w:rFonts w:ascii="Arial" w:hAnsi="Arial" w:eastAsia="Arial" w:cs="Arial"/>
                <w:b/>
                <w:bCs/>
                <w:color w:val="FFFFFF"/>
                <w:sz w:val="18"/>
                <w:szCs w:val="18"/>
              </w:rPr>
              <w:t>Finding #</w:t>
            </w:r>
          </w:p>
        </w:tc>
        <w:tc>
          <w:tcPr>
            <w:tcW w:w="4080" w:type="dxa"/>
            <w:tcBorders>
              <w:top w:val="single" w:color="1F4E79" w:sz="0" w:space="0"/>
              <w:left w:val="single" w:color="1F4E79" w:sz="0" w:space="0"/>
              <w:bottom w:val="single" w:color="1F4E79" w:sz="0" w:space="0"/>
              <w:right w:val="single" w:color="1F4E79" w:sz="0" w:space="0"/>
            </w:tcBorders>
            <w:shd w:val="clear" w:color="auto" w:fill="2E75B6"/>
            <w:tcMar>
              <w:top w:w="80" w:type="dxa"/>
              <w:left w:w="120" w:type="dxa"/>
              <w:bottom w:w="80" w:type="dxa"/>
              <w:right w:w="120" w:type="dxa"/>
            </w:tcMar>
          </w:tcPr>
          <w:p w14:paraId="5EB72730">
            <w:r>
              <w:rPr>
                <w:rFonts w:ascii="Arial" w:hAnsi="Arial" w:eastAsia="Arial" w:cs="Arial"/>
                <w:b/>
                <w:bCs/>
                <w:color w:val="FFFFFF"/>
                <w:sz w:val="18"/>
                <w:szCs w:val="18"/>
              </w:rPr>
              <w:t>Observation</w:t>
            </w:r>
          </w:p>
        </w:tc>
        <w:tc>
          <w:tcPr>
            <w:tcW w:w="2040" w:type="dxa"/>
            <w:tcBorders>
              <w:top w:val="single" w:color="1F4E79" w:sz="0" w:space="0"/>
              <w:left w:val="single" w:color="1F4E79" w:sz="0" w:space="0"/>
              <w:bottom w:val="single" w:color="1F4E79" w:sz="0" w:space="0"/>
              <w:right w:val="single" w:color="1F4E79" w:sz="0" w:space="0"/>
            </w:tcBorders>
            <w:shd w:val="clear" w:color="auto" w:fill="2E75B6"/>
            <w:tcMar>
              <w:top w:w="80" w:type="dxa"/>
              <w:left w:w="120" w:type="dxa"/>
              <w:bottom w:w="80" w:type="dxa"/>
              <w:right w:w="120" w:type="dxa"/>
            </w:tcMar>
          </w:tcPr>
          <w:p w14:paraId="137159B7">
            <w:r>
              <w:rPr>
                <w:rFonts w:ascii="Arial" w:hAnsi="Arial" w:eastAsia="Arial" w:cs="Arial"/>
                <w:b/>
                <w:bCs/>
                <w:color w:val="FFFFFF"/>
                <w:sz w:val="18"/>
                <w:szCs w:val="18"/>
              </w:rPr>
              <w:t>Severity</w:t>
            </w:r>
          </w:p>
        </w:tc>
        <w:tc>
          <w:tcPr>
            <w:tcW w:w="2040" w:type="dxa"/>
            <w:tcBorders>
              <w:top w:val="single" w:color="1F4E79" w:sz="0" w:space="0"/>
              <w:left w:val="single" w:color="1F4E79" w:sz="0" w:space="0"/>
              <w:bottom w:val="single" w:color="1F4E79" w:sz="0" w:space="0"/>
              <w:right w:val="single" w:color="1F4E79" w:sz="0" w:space="0"/>
            </w:tcBorders>
            <w:shd w:val="clear" w:color="auto" w:fill="2E75B6"/>
            <w:tcMar>
              <w:top w:w="80" w:type="dxa"/>
              <w:left w:w="120" w:type="dxa"/>
              <w:bottom w:w="80" w:type="dxa"/>
              <w:right w:w="120" w:type="dxa"/>
            </w:tcMar>
          </w:tcPr>
          <w:p w14:paraId="4E95D73E">
            <w:r>
              <w:rPr>
                <w:rFonts w:ascii="Arial" w:hAnsi="Arial" w:eastAsia="Arial" w:cs="Arial"/>
                <w:b/>
                <w:bCs/>
                <w:color w:val="FFFFFF"/>
                <w:sz w:val="18"/>
                <w:szCs w:val="18"/>
              </w:rPr>
              <w:t>Status</w:t>
            </w:r>
          </w:p>
        </w:tc>
      </w:tr>
      <w:tr w14:paraId="382806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shd w:val="clear" w:color="auto" w:fill="F5F8FF"/>
            <w:tcMar>
              <w:top w:w="80" w:type="dxa"/>
              <w:left w:w="120" w:type="dxa"/>
              <w:bottom w:w="80" w:type="dxa"/>
              <w:right w:w="120" w:type="dxa"/>
            </w:tcMar>
          </w:tcPr>
          <w:p w14:paraId="7BA62168">
            <w:r>
              <w:rPr>
                <w:rFonts w:ascii="Arial" w:hAnsi="Arial" w:eastAsia="Arial" w:cs="Arial"/>
                <w:b/>
                <w:bCs/>
                <w:sz w:val="18"/>
                <w:szCs w:val="18"/>
              </w:rPr>
              <w:t>F-01</w:t>
            </w:r>
          </w:p>
        </w:tc>
        <w:tc>
          <w:tcPr>
            <w:tcW w:w="4080" w:type="dxa"/>
            <w:tcBorders>
              <w:top w:val="single" w:color="CCCCCC" w:sz="0" w:space="0"/>
              <w:left w:val="single" w:color="CCCCCC" w:sz="0" w:space="0"/>
              <w:bottom w:val="single" w:color="CCCCCC" w:sz="0" w:space="0"/>
              <w:right w:val="single" w:color="CCCCCC" w:sz="0" w:space="0"/>
            </w:tcBorders>
            <w:shd w:val="clear" w:color="auto" w:fill="F5F8FF"/>
            <w:tcMar>
              <w:top w:w="80" w:type="dxa"/>
              <w:left w:w="120" w:type="dxa"/>
              <w:bottom w:w="80" w:type="dxa"/>
              <w:right w:w="120" w:type="dxa"/>
            </w:tcMar>
          </w:tcPr>
          <w:p w14:paraId="63C6D0A7">
            <w:r>
              <w:rPr>
                <w:rFonts w:ascii="Arial" w:hAnsi="Arial" w:eastAsia="Arial" w:cs="Arial"/>
                <w:sz w:val="18"/>
                <w:szCs w:val="18"/>
              </w:rPr>
              <w:t>Hydra brute-force triggered 200+ Event ID 4625 alerts within 2 minutes, confirming rapid detection capability.</w:t>
            </w:r>
          </w:p>
        </w:tc>
        <w:tc>
          <w:tcPr>
            <w:tcW w:w="2040" w:type="dxa"/>
            <w:tcBorders>
              <w:top w:val="single" w:color="CCCCCC" w:sz="0" w:space="0"/>
              <w:left w:val="single" w:color="CCCCCC" w:sz="0" w:space="0"/>
              <w:bottom w:val="single" w:color="CCCCCC" w:sz="0" w:space="0"/>
              <w:right w:val="single" w:color="CCCCCC" w:sz="0" w:space="0"/>
            </w:tcBorders>
            <w:shd w:val="clear" w:color="auto" w:fill="FFF0F0"/>
            <w:tcMar>
              <w:top w:w="80" w:type="dxa"/>
              <w:left w:w="120" w:type="dxa"/>
              <w:bottom w:w="80" w:type="dxa"/>
              <w:right w:w="120" w:type="dxa"/>
            </w:tcMar>
          </w:tcPr>
          <w:p w14:paraId="6859F175">
            <w:r>
              <w:rPr>
                <w:rFonts w:ascii="Arial" w:hAnsi="Arial" w:eastAsia="Arial" w:cs="Arial"/>
                <w:b/>
                <w:bCs/>
                <w:color w:val="CC0000"/>
                <w:sz w:val="18"/>
                <w:szCs w:val="18"/>
              </w:rPr>
              <w:t>High</w:t>
            </w:r>
          </w:p>
        </w:tc>
        <w:tc>
          <w:tcPr>
            <w:tcW w:w="2040" w:type="dxa"/>
            <w:tcBorders>
              <w:top w:val="single" w:color="CCCCCC" w:sz="0" w:space="0"/>
              <w:left w:val="single" w:color="CCCCCC" w:sz="0" w:space="0"/>
              <w:bottom w:val="single" w:color="CCCCCC" w:sz="0" w:space="0"/>
              <w:right w:val="single" w:color="CCCCCC" w:sz="0" w:space="0"/>
            </w:tcBorders>
            <w:shd w:val="clear" w:color="auto" w:fill="F0FFF4"/>
            <w:tcMar>
              <w:top w:w="80" w:type="dxa"/>
              <w:left w:w="120" w:type="dxa"/>
              <w:bottom w:w="80" w:type="dxa"/>
              <w:right w:w="120" w:type="dxa"/>
            </w:tcMar>
          </w:tcPr>
          <w:p w14:paraId="5C9E13CC">
            <w:r>
              <w:rPr>
                <w:rFonts w:ascii="Arial" w:hAnsi="Arial" w:eastAsia="Arial" w:cs="Arial"/>
                <w:color w:val="006600"/>
                <w:sz w:val="18"/>
                <w:szCs w:val="18"/>
              </w:rPr>
              <w:t>Detected</w:t>
            </w:r>
          </w:p>
        </w:tc>
      </w:tr>
      <w:tr w14:paraId="407B0D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553EB07">
            <w:r>
              <w:rPr>
                <w:rFonts w:ascii="Arial" w:hAnsi="Arial" w:eastAsia="Arial" w:cs="Arial"/>
                <w:b/>
                <w:bCs/>
                <w:sz w:val="18"/>
                <w:szCs w:val="18"/>
              </w:rPr>
              <w:t>F-02</w:t>
            </w:r>
          </w:p>
        </w:tc>
        <w:tc>
          <w:tcPr>
            <w:tcW w:w="40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CAF11E6">
            <w:r>
              <w:rPr>
                <w:rFonts w:ascii="Arial" w:hAnsi="Arial" w:eastAsia="Arial" w:cs="Arial"/>
                <w:sz w:val="18"/>
                <w:szCs w:val="18"/>
              </w:rPr>
              <w:t>SPL rules successfully flagged source IP after exceeding 5 failed login threshold within the defined time window.</w:t>
            </w:r>
          </w:p>
        </w:tc>
        <w:tc>
          <w:tcPr>
            <w:tcW w:w="2040" w:type="dxa"/>
            <w:tcBorders>
              <w:top w:val="single" w:color="CCCCCC" w:sz="0" w:space="0"/>
              <w:left w:val="single" w:color="CCCCCC" w:sz="0" w:space="0"/>
              <w:bottom w:val="single" w:color="CCCCCC" w:sz="0" w:space="0"/>
              <w:right w:val="single" w:color="CCCCCC" w:sz="0" w:space="0"/>
            </w:tcBorders>
            <w:shd w:val="clear" w:color="auto" w:fill="FFF0F0"/>
            <w:tcMar>
              <w:top w:w="80" w:type="dxa"/>
              <w:left w:w="120" w:type="dxa"/>
              <w:bottom w:w="80" w:type="dxa"/>
              <w:right w:w="120" w:type="dxa"/>
            </w:tcMar>
          </w:tcPr>
          <w:p w14:paraId="399B5BA7">
            <w:r>
              <w:rPr>
                <w:rFonts w:ascii="Arial" w:hAnsi="Arial" w:eastAsia="Arial" w:cs="Arial"/>
                <w:b/>
                <w:bCs/>
                <w:color w:val="CC0000"/>
                <w:sz w:val="18"/>
                <w:szCs w:val="18"/>
              </w:rPr>
              <w:t>High</w:t>
            </w:r>
          </w:p>
        </w:tc>
        <w:tc>
          <w:tcPr>
            <w:tcW w:w="2040" w:type="dxa"/>
            <w:tcBorders>
              <w:top w:val="single" w:color="CCCCCC" w:sz="0" w:space="0"/>
              <w:left w:val="single" w:color="CCCCCC" w:sz="0" w:space="0"/>
              <w:bottom w:val="single" w:color="CCCCCC" w:sz="0" w:space="0"/>
              <w:right w:val="single" w:color="CCCCCC" w:sz="0" w:space="0"/>
            </w:tcBorders>
            <w:shd w:val="clear" w:color="auto" w:fill="F0FFF4"/>
            <w:tcMar>
              <w:top w:w="80" w:type="dxa"/>
              <w:left w:w="120" w:type="dxa"/>
              <w:bottom w:w="80" w:type="dxa"/>
              <w:right w:w="120" w:type="dxa"/>
            </w:tcMar>
          </w:tcPr>
          <w:p w14:paraId="064D19FB">
            <w:r>
              <w:rPr>
                <w:rFonts w:ascii="Arial" w:hAnsi="Arial" w:eastAsia="Arial" w:cs="Arial"/>
                <w:color w:val="006600"/>
                <w:sz w:val="18"/>
                <w:szCs w:val="18"/>
              </w:rPr>
              <w:t>Mitigated</w:t>
            </w:r>
          </w:p>
        </w:tc>
      </w:tr>
      <w:tr w14:paraId="0BDD1B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shd w:val="clear" w:color="auto" w:fill="F5F8FF"/>
            <w:tcMar>
              <w:top w:w="80" w:type="dxa"/>
              <w:left w:w="120" w:type="dxa"/>
              <w:bottom w:w="80" w:type="dxa"/>
              <w:right w:w="120" w:type="dxa"/>
            </w:tcMar>
          </w:tcPr>
          <w:p w14:paraId="63048C0F">
            <w:r>
              <w:rPr>
                <w:rFonts w:ascii="Arial" w:hAnsi="Arial" w:eastAsia="Arial" w:cs="Arial"/>
                <w:b/>
                <w:bCs/>
                <w:sz w:val="18"/>
                <w:szCs w:val="18"/>
              </w:rPr>
              <w:t>F-03</w:t>
            </w:r>
          </w:p>
        </w:tc>
        <w:tc>
          <w:tcPr>
            <w:tcW w:w="4080" w:type="dxa"/>
            <w:tcBorders>
              <w:top w:val="single" w:color="CCCCCC" w:sz="0" w:space="0"/>
              <w:left w:val="single" w:color="CCCCCC" w:sz="0" w:space="0"/>
              <w:bottom w:val="single" w:color="CCCCCC" w:sz="0" w:space="0"/>
              <w:right w:val="single" w:color="CCCCCC" w:sz="0" w:space="0"/>
            </w:tcBorders>
            <w:shd w:val="clear" w:color="auto" w:fill="F5F8FF"/>
            <w:tcMar>
              <w:top w:w="80" w:type="dxa"/>
              <w:left w:w="120" w:type="dxa"/>
              <w:bottom w:w="80" w:type="dxa"/>
              <w:right w:w="120" w:type="dxa"/>
            </w:tcMar>
          </w:tcPr>
          <w:p w14:paraId="2A21B580">
            <w:r>
              <w:rPr>
                <w:rFonts w:ascii="Arial" w:hAnsi="Arial" w:eastAsia="Arial" w:cs="Arial"/>
                <w:sz w:val="18"/>
                <w:szCs w:val="18"/>
              </w:rPr>
              <w:t>Multiple distinct usernames attempted from a single source IP were identified as a credential-spraying pattern.</w:t>
            </w:r>
          </w:p>
        </w:tc>
        <w:tc>
          <w:tcPr>
            <w:tcW w:w="2040" w:type="dxa"/>
            <w:tcBorders>
              <w:top w:val="single" w:color="CCCCCC" w:sz="0" w:space="0"/>
              <w:left w:val="single" w:color="CCCCCC" w:sz="0" w:space="0"/>
              <w:bottom w:val="single" w:color="CCCCCC" w:sz="0" w:space="0"/>
              <w:right w:val="single" w:color="CCCCCC" w:sz="0" w:space="0"/>
            </w:tcBorders>
            <w:shd w:val="clear" w:color="auto" w:fill="FFFBE6"/>
            <w:tcMar>
              <w:top w:w="80" w:type="dxa"/>
              <w:left w:w="120" w:type="dxa"/>
              <w:bottom w:w="80" w:type="dxa"/>
              <w:right w:w="120" w:type="dxa"/>
            </w:tcMar>
          </w:tcPr>
          <w:p w14:paraId="2E24E6FA">
            <w:r>
              <w:rPr>
                <w:rFonts w:ascii="Arial" w:hAnsi="Arial" w:eastAsia="Arial" w:cs="Arial"/>
                <w:b/>
                <w:bCs/>
                <w:color w:val="CC8800"/>
                <w:sz w:val="18"/>
                <w:szCs w:val="18"/>
              </w:rPr>
              <w:t>Medium</w:t>
            </w:r>
          </w:p>
        </w:tc>
        <w:tc>
          <w:tcPr>
            <w:tcW w:w="2040" w:type="dxa"/>
            <w:tcBorders>
              <w:top w:val="single" w:color="CCCCCC" w:sz="0" w:space="0"/>
              <w:left w:val="single" w:color="CCCCCC" w:sz="0" w:space="0"/>
              <w:bottom w:val="single" w:color="CCCCCC" w:sz="0" w:space="0"/>
              <w:right w:val="single" w:color="CCCCCC" w:sz="0" w:space="0"/>
            </w:tcBorders>
            <w:shd w:val="clear" w:color="auto" w:fill="F0FFF4"/>
            <w:tcMar>
              <w:top w:w="80" w:type="dxa"/>
              <w:left w:w="120" w:type="dxa"/>
              <w:bottom w:w="80" w:type="dxa"/>
              <w:right w:w="120" w:type="dxa"/>
            </w:tcMar>
          </w:tcPr>
          <w:p w14:paraId="6944D795">
            <w:r>
              <w:rPr>
                <w:rFonts w:ascii="Arial" w:hAnsi="Arial" w:eastAsia="Arial" w:cs="Arial"/>
                <w:color w:val="006600"/>
                <w:sz w:val="18"/>
                <w:szCs w:val="18"/>
              </w:rPr>
              <w:t>Detected</w:t>
            </w:r>
          </w:p>
        </w:tc>
      </w:tr>
      <w:tr w14:paraId="70A488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244AEAB">
            <w:r>
              <w:rPr>
                <w:rFonts w:ascii="Arial" w:hAnsi="Arial" w:eastAsia="Arial" w:cs="Arial"/>
                <w:b/>
                <w:bCs/>
                <w:sz w:val="18"/>
                <w:szCs w:val="18"/>
              </w:rPr>
              <w:t>F-04</w:t>
            </w:r>
          </w:p>
        </w:tc>
        <w:tc>
          <w:tcPr>
            <w:tcW w:w="40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56FC5B9">
            <w:r>
              <w:rPr>
                <w:rFonts w:ascii="Arial" w:hAnsi="Arial" w:eastAsia="Arial" w:cs="Arial"/>
                <w:sz w:val="18"/>
                <w:szCs w:val="18"/>
              </w:rPr>
              <w:t>Python automation script successfully blocked malicious IP via Windows Firewall within seconds of alert trigger.</w:t>
            </w:r>
          </w:p>
        </w:tc>
        <w:tc>
          <w:tcPr>
            <w:tcW w:w="2040" w:type="dxa"/>
            <w:tcBorders>
              <w:top w:val="single" w:color="CCCCCC" w:sz="0" w:space="0"/>
              <w:left w:val="single" w:color="CCCCCC" w:sz="0" w:space="0"/>
              <w:bottom w:val="single" w:color="CCCCCC" w:sz="0" w:space="0"/>
              <w:right w:val="single" w:color="CCCCCC" w:sz="0" w:space="0"/>
            </w:tcBorders>
            <w:shd w:val="clear" w:color="auto" w:fill="FFF0F0"/>
            <w:tcMar>
              <w:top w:w="80" w:type="dxa"/>
              <w:left w:w="120" w:type="dxa"/>
              <w:bottom w:w="80" w:type="dxa"/>
              <w:right w:w="120" w:type="dxa"/>
            </w:tcMar>
          </w:tcPr>
          <w:p w14:paraId="3646E715">
            <w:r>
              <w:rPr>
                <w:rFonts w:ascii="Arial" w:hAnsi="Arial" w:eastAsia="Arial" w:cs="Arial"/>
                <w:b/>
                <w:bCs/>
                <w:color w:val="CC0000"/>
                <w:sz w:val="18"/>
                <w:szCs w:val="18"/>
              </w:rPr>
              <w:t>High</w:t>
            </w:r>
          </w:p>
        </w:tc>
        <w:tc>
          <w:tcPr>
            <w:tcW w:w="2040" w:type="dxa"/>
            <w:tcBorders>
              <w:top w:val="single" w:color="CCCCCC" w:sz="0" w:space="0"/>
              <w:left w:val="single" w:color="CCCCCC" w:sz="0" w:space="0"/>
              <w:bottom w:val="single" w:color="CCCCCC" w:sz="0" w:space="0"/>
              <w:right w:val="single" w:color="CCCCCC" w:sz="0" w:space="0"/>
            </w:tcBorders>
            <w:shd w:val="clear" w:color="auto" w:fill="F0FFF4"/>
            <w:tcMar>
              <w:top w:w="80" w:type="dxa"/>
              <w:left w:w="120" w:type="dxa"/>
              <w:bottom w:w="80" w:type="dxa"/>
              <w:right w:w="120" w:type="dxa"/>
            </w:tcMar>
          </w:tcPr>
          <w:p w14:paraId="2346DDAB">
            <w:r>
              <w:rPr>
                <w:rFonts w:ascii="Arial" w:hAnsi="Arial" w:eastAsia="Arial" w:cs="Arial"/>
                <w:color w:val="006600"/>
                <w:sz w:val="18"/>
                <w:szCs w:val="18"/>
              </w:rPr>
              <w:t>Resolved</w:t>
            </w:r>
          </w:p>
        </w:tc>
      </w:tr>
      <w:tr w14:paraId="7526FE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shd w:val="clear" w:color="auto" w:fill="F5F8FF"/>
            <w:tcMar>
              <w:top w:w="80" w:type="dxa"/>
              <w:left w:w="120" w:type="dxa"/>
              <w:bottom w:w="80" w:type="dxa"/>
              <w:right w:w="120" w:type="dxa"/>
            </w:tcMar>
          </w:tcPr>
          <w:p w14:paraId="32A3591E">
            <w:r>
              <w:rPr>
                <w:rFonts w:ascii="Arial" w:hAnsi="Arial" w:eastAsia="Arial" w:cs="Arial"/>
                <w:b/>
                <w:bCs/>
                <w:sz w:val="18"/>
                <w:szCs w:val="18"/>
              </w:rPr>
              <w:t>F-05</w:t>
            </w:r>
          </w:p>
        </w:tc>
        <w:tc>
          <w:tcPr>
            <w:tcW w:w="4080" w:type="dxa"/>
            <w:tcBorders>
              <w:top w:val="single" w:color="CCCCCC" w:sz="0" w:space="0"/>
              <w:left w:val="single" w:color="CCCCCC" w:sz="0" w:space="0"/>
              <w:bottom w:val="single" w:color="CCCCCC" w:sz="0" w:space="0"/>
              <w:right w:val="single" w:color="CCCCCC" w:sz="0" w:space="0"/>
            </w:tcBorders>
            <w:shd w:val="clear" w:color="auto" w:fill="F5F8FF"/>
            <w:tcMar>
              <w:top w:w="80" w:type="dxa"/>
              <w:left w:w="120" w:type="dxa"/>
              <w:bottom w:w="80" w:type="dxa"/>
              <w:right w:w="120" w:type="dxa"/>
            </w:tcMar>
          </w:tcPr>
          <w:p w14:paraId="7CF5E79B">
            <w:r>
              <w:rPr>
                <w:rFonts w:ascii="Arial" w:hAnsi="Arial" w:eastAsia="Arial" w:cs="Arial"/>
                <w:sz w:val="18"/>
                <w:szCs w:val="18"/>
              </w:rPr>
              <w:t>Automated incident report was generated with full metadata including IP, timestamps, and attack frequency.</w:t>
            </w:r>
          </w:p>
        </w:tc>
        <w:tc>
          <w:tcPr>
            <w:tcW w:w="2040" w:type="dxa"/>
            <w:tcBorders>
              <w:top w:val="single" w:color="CCCCCC" w:sz="0" w:space="0"/>
              <w:left w:val="single" w:color="CCCCCC" w:sz="0" w:space="0"/>
              <w:bottom w:val="single" w:color="CCCCCC" w:sz="0" w:space="0"/>
              <w:right w:val="single" w:color="CCCCCC" w:sz="0" w:space="0"/>
            </w:tcBorders>
            <w:shd w:val="clear" w:color="auto" w:fill="FFFBE6"/>
            <w:tcMar>
              <w:top w:w="80" w:type="dxa"/>
              <w:left w:w="120" w:type="dxa"/>
              <w:bottom w:w="80" w:type="dxa"/>
              <w:right w:w="120" w:type="dxa"/>
            </w:tcMar>
          </w:tcPr>
          <w:p w14:paraId="70B97564">
            <w:r>
              <w:rPr>
                <w:rFonts w:ascii="Arial" w:hAnsi="Arial" w:eastAsia="Arial" w:cs="Arial"/>
                <w:b/>
                <w:bCs/>
                <w:color w:val="CC8800"/>
                <w:sz w:val="18"/>
                <w:szCs w:val="18"/>
              </w:rPr>
              <w:t>Medium</w:t>
            </w:r>
          </w:p>
        </w:tc>
        <w:tc>
          <w:tcPr>
            <w:tcW w:w="2040" w:type="dxa"/>
            <w:tcBorders>
              <w:top w:val="single" w:color="CCCCCC" w:sz="0" w:space="0"/>
              <w:left w:val="single" w:color="CCCCCC" w:sz="0" w:space="0"/>
              <w:bottom w:val="single" w:color="CCCCCC" w:sz="0" w:space="0"/>
              <w:right w:val="single" w:color="CCCCCC" w:sz="0" w:space="0"/>
            </w:tcBorders>
            <w:shd w:val="clear" w:color="auto" w:fill="F0FFF4"/>
            <w:tcMar>
              <w:top w:w="80" w:type="dxa"/>
              <w:left w:w="120" w:type="dxa"/>
              <w:bottom w:w="80" w:type="dxa"/>
              <w:right w:w="120" w:type="dxa"/>
            </w:tcMar>
          </w:tcPr>
          <w:p w14:paraId="5DA77BCB">
            <w:r>
              <w:rPr>
                <w:rFonts w:ascii="Arial" w:hAnsi="Arial" w:eastAsia="Arial" w:cs="Arial"/>
                <w:color w:val="006600"/>
                <w:sz w:val="18"/>
                <w:szCs w:val="18"/>
              </w:rPr>
              <w:t>Resolved</w:t>
            </w:r>
          </w:p>
        </w:tc>
      </w:tr>
      <w:tr w14:paraId="105CA0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692ADB3">
            <w:r>
              <w:rPr>
                <w:rFonts w:ascii="Arial" w:hAnsi="Arial" w:eastAsia="Arial" w:cs="Arial"/>
                <w:b/>
                <w:bCs/>
                <w:sz w:val="18"/>
                <w:szCs w:val="18"/>
              </w:rPr>
              <w:t>F-06</w:t>
            </w:r>
          </w:p>
        </w:tc>
        <w:tc>
          <w:tcPr>
            <w:tcW w:w="40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D63394A">
            <w:r>
              <w:rPr>
                <w:rFonts w:ascii="Arial" w:hAnsi="Arial" w:eastAsia="Arial" w:cs="Arial"/>
                <w:sz w:val="18"/>
                <w:szCs w:val="18"/>
              </w:rPr>
              <w:t>No false positive alerts were generated during the simulation, confirming high specificity of SPL rules.</w:t>
            </w:r>
          </w:p>
        </w:tc>
        <w:tc>
          <w:tcPr>
            <w:tcW w:w="2040" w:type="dxa"/>
            <w:tcBorders>
              <w:top w:val="single" w:color="CCCCCC" w:sz="0" w:space="0"/>
              <w:left w:val="single" w:color="CCCCCC" w:sz="0" w:space="0"/>
              <w:bottom w:val="single" w:color="CCCCCC" w:sz="0" w:space="0"/>
              <w:right w:val="single" w:color="CCCCCC" w:sz="0" w:space="0"/>
            </w:tcBorders>
            <w:shd w:val="clear" w:color="auto" w:fill="F0FFF0"/>
            <w:tcMar>
              <w:top w:w="80" w:type="dxa"/>
              <w:left w:w="120" w:type="dxa"/>
              <w:bottom w:w="80" w:type="dxa"/>
              <w:right w:w="120" w:type="dxa"/>
            </w:tcMar>
          </w:tcPr>
          <w:p w14:paraId="18C38E97">
            <w:r>
              <w:rPr>
                <w:rFonts w:ascii="Arial" w:hAnsi="Arial" w:eastAsia="Arial" w:cs="Arial"/>
                <w:b/>
                <w:bCs/>
                <w:color w:val="006600"/>
                <w:sz w:val="18"/>
                <w:szCs w:val="18"/>
              </w:rPr>
              <w:t>Low</w:t>
            </w:r>
          </w:p>
        </w:tc>
        <w:tc>
          <w:tcPr>
            <w:tcW w:w="2040" w:type="dxa"/>
            <w:tcBorders>
              <w:top w:val="single" w:color="CCCCCC" w:sz="0" w:space="0"/>
              <w:left w:val="single" w:color="CCCCCC" w:sz="0" w:space="0"/>
              <w:bottom w:val="single" w:color="CCCCCC" w:sz="0" w:space="0"/>
              <w:right w:val="single" w:color="CCCCCC" w:sz="0" w:space="0"/>
            </w:tcBorders>
            <w:shd w:val="clear" w:color="auto" w:fill="F0FFF4"/>
            <w:tcMar>
              <w:top w:w="80" w:type="dxa"/>
              <w:left w:w="120" w:type="dxa"/>
              <w:bottom w:w="80" w:type="dxa"/>
              <w:right w:w="120" w:type="dxa"/>
            </w:tcMar>
          </w:tcPr>
          <w:p w14:paraId="09CFE238">
            <w:r>
              <w:rPr>
                <w:rFonts w:ascii="Arial" w:hAnsi="Arial" w:eastAsia="Arial" w:cs="Arial"/>
                <w:color w:val="006600"/>
                <w:sz w:val="18"/>
                <w:szCs w:val="18"/>
              </w:rPr>
              <w:t>Confirmed</w:t>
            </w:r>
          </w:p>
        </w:tc>
      </w:tr>
    </w:tbl>
    <w:p w14:paraId="01D8A0AB">
      <w:pPr>
        <w:spacing w:before="240"/>
      </w:pPr>
    </w:p>
    <w:p w14:paraId="406F6B94">
      <w:pPr>
        <w:pStyle w:val="2"/>
        <w:pBdr>
          <w:bottom w:val="single" w:color="1F4E79" w:sz="6" w:space="4"/>
        </w:pBdr>
        <w:spacing w:before="320" w:after="160"/>
      </w:pPr>
      <w:r>
        <w:rPr>
          <w:rFonts w:ascii="Arial" w:hAnsi="Arial" w:eastAsia="Arial" w:cs="Arial"/>
          <w:b/>
          <w:bCs/>
          <w:color w:val="1F4E79"/>
          <w:sz w:val="28"/>
          <w:szCs w:val="28"/>
        </w:rPr>
        <w:t>8. Recommendations</w:t>
      </w:r>
    </w:p>
    <w:p w14:paraId="70EB7FE3">
      <w:pPr>
        <w:pStyle w:val="16"/>
        <w:numPr>
          <w:ilvl w:val="0"/>
          <w:numId w:val="1"/>
        </w:numPr>
        <w:spacing w:before="60" w:after="60"/>
      </w:pPr>
      <w:r>
        <w:rPr>
          <w:rFonts w:ascii="Arial" w:hAnsi="Arial" w:eastAsia="Arial" w:cs="Arial"/>
          <w:sz w:val="22"/>
          <w:szCs w:val="22"/>
        </w:rPr>
        <w:t>Implement account lockout policies after a defined number of failed login attempts (recommended: 5 attempts within 10 minutes).</w:t>
      </w:r>
    </w:p>
    <w:p w14:paraId="371DB17F">
      <w:pPr>
        <w:pStyle w:val="16"/>
        <w:numPr>
          <w:ilvl w:val="0"/>
          <w:numId w:val="1"/>
        </w:numPr>
        <w:spacing w:before="60" w:after="60"/>
      </w:pPr>
      <w:r>
        <w:rPr>
          <w:rFonts w:ascii="Arial" w:hAnsi="Arial" w:eastAsia="Arial" w:cs="Arial"/>
          <w:sz w:val="22"/>
          <w:szCs w:val="22"/>
        </w:rPr>
        <w:t>Deploy Multi-Factor Authentication (MFA) across all user accounts to mitigate the impact of successful brute-force attacks.</w:t>
      </w:r>
    </w:p>
    <w:p w14:paraId="27DBAF71">
      <w:pPr>
        <w:pStyle w:val="16"/>
        <w:numPr>
          <w:ilvl w:val="0"/>
          <w:numId w:val="1"/>
        </w:numPr>
        <w:spacing w:before="60" w:after="60"/>
      </w:pPr>
      <w:r>
        <w:rPr>
          <w:rFonts w:ascii="Arial" w:hAnsi="Arial" w:eastAsia="Arial" w:cs="Arial"/>
          <w:sz w:val="22"/>
          <w:szCs w:val="22"/>
        </w:rPr>
        <w:t>Enhance SPL rules with geolocation-based anomaly detection to flag logins from unusual geographic regions.</w:t>
      </w:r>
    </w:p>
    <w:p w14:paraId="5AE08928">
      <w:pPr>
        <w:pStyle w:val="16"/>
        <w:numPr>
          <w:ilvl w:val="0"/>
          <w:numId w:val="1"/>
        </w:numPr>
        <w:spacing w:before="60" w:after="60"/>
      </w:pPr>
      <w:r>
        <w:rPr>
          <w:rFonts w:ascii="Arial" w:hAnsi="Arial" w:eastAsia="Arial" w:cs="Arial"/>
          <w:sz w:val="22"/>
          <w:szCs w:val="22"/>
        </w:rPr>
        <w:t>Integrate automated IP blocking scripts with network-level firewalls and IDS/IPS systems for broader coverage.</w:t>
      </w:r>
    </w:p>
    <w:p w14:paraId="5455A8E7">
      <w:pPr>
        <w:pStyle w:val="16"/>
        <w:numPr>
          <w:ilvl w:val="0"/>
          <w:numId w:val="1"/>
        </w:numPr>
        <w:spacing w:before="60" w:after="60"/>
      </w:pPr>
      <w:r>
        <w:rPr>
          <w:rFonts w:ascii="Arial" w:hAnsi="Arial" w:eastAsia="Arial" w:cs="Arial"/>
          <w:sz w:val="22"/>
          <w:szCs w:val="22"/>
        </w:rPr>
        <w:t>Conduct periodic red team exercises to validate the ongoing effectiveness of detection and response workflows.</w:t>
      </w:r>
    </w:p>
    <w:p w14:paraId="252230C0">
      <w:pPr>
        <w:pStyle w:val="16"/>
        <w:numPr>
          <w:ilvl w:val="0"/>
          <w:numId w:val="1"/>
        </w:numPr>
        <w:spacing w:before="60" w:after="60"/>
      </w:pPr>
      <w:r>
        <w:rPr>
          <w:rFonts w:ascii="Arial" w:hAnsi="Arial" w:eastAsia="Arial" w:cs="Arial"/>
          <w:sz w:val="22"/>
          <w:szCs w:val="22"/>
        </w:rPr>
        <w:t>Implement UEBA (User and Entity Behaviour Analytics) in Splunk for advanced baseline deviation detection.</w:t>
      </w:r>
    </w:p>
    <w:p w14:paraId="772C8D8B">
      <w:pPr>
        <w:spacing w:before="120"/>
      </w:pPr>
    </w:p>
    <w:p w14:paraId="5C67949E">
      <w:pPr>
        <w:pStyle w:val="2"/>
        <w:pBdr>
          <w:bottom w:val="single" w:color="1F4E79" w:sz="6" w:space="4"/>
        </w:pBdr>
        <w:spacing w:before="320" w:after="160"/>
      </w:pPr>
      <w:r>
        <w:rPr>
          <w:rFonts w:ascii="Arial" w:hAnsi="Arial" w:eastAsia="Arial" w:cs="Arial"/>
          <w:b/>
          <w:bCs/>
          <w:color w:val="1F4E79"/>
          <w:sz w:val="28"/>
          <w:szCs w:val="28"/>
        </w:rPr>
        <w:t>9. Conclusion</w:t>
      </w:r>
    </w:p>
    <w:p w14:paraId="4669C7C9">
      <w:pPr>
        <w:spacing w:before="80" w:after="80"/>
      </w:pPr>
      <w:r>
        <w:rPr>
          <w:rFonts w:ascii="Arial" w:hAnsi="Arial" w:eastAsia="Arial" w:cs="Arial"/>
          <w:sz w:val="22"/>
          <w:szCs w:val="22"/>
        </w:rPr>
        <w:t>This project successfully demonstrated the design and implementation of an end-to-end automated brute-force detection and response workflow within a simulated SOC environment. The combination of Hydra-based attack simulation, Splunk SIEM monitoring with custom SPL detection rules, and Python-driven automated response provided a comprehensive and realistic exercise in modern cybersecurity operations.</w:t>
      </w:r>
    </w:p>
    <w:p w14:paraId="52F85747">
      <w:pPr>
        <w:spacing w:before="80"/>
      </w:pPr>
    </w:p>
    <w:p w14:paraId="57BB4DF0">
      <w:pPr>
        <w:spacing w:before="80" w:after="80"/>
      </w:pPr>
      <w:r>
        <w:rPr>
          <w:rFonts w:ascii="Arial" w:hAnsi="Arial" w:eastAsia="Arial" w:cs="Arial"/>
          <w:sz w:val="22"/>
          <w:szCs w:val="22"/>
        </w:rPr>
        <w:t>All key objectives were met: threats were detected in real time, alerts were triggered accurately, and malicious IPs were automatically blocked without manual intervention. The findings confirm that well-configured SIEM rules paired with automated response mechanisms can significantly reduce response time and improve an organization's overall security posture against credential-based attacks.</w:t>
      </w:r>
    </w:p>
    <w:p w14:paraId="70843136">
      <w:pPr>
        <w:spacing w:before="120"/>
      </w:pPr>
    </w:p>
    <w:p w14:paraId="6E1BD38B">
      <w:pPr>
        <w:pStyle w:val="2"/>
        <w:pBdr>
          <w:bottom w:val="single" w:color="1F4E79" w:sz="6" w:space="4"/>
        </w:pBdr>
        <w:spacing w:before="320" w:after="160"/>
      </w:pPr>
      <w:r>
        <w:rPr>
          <w:rFonts w:ascii="Arial" w:hAnsi="Arial" w:eastAsia="Arial" w:cs="Arial"/>
          <w:b/>
          <w:bCs/>
          <w:color w:val="1F4E79"/>
          <w:sz w:val="28"/>
          <w:szCs w:val="28"/>
        </w:rPr>
        <w:t>10. Declaration</w:t>
      </w:r>
    </w:p>
    <w:p w14:paraId="77AA7A2E">
      <w:pPr>
        <w:spacing w:before="80" w:after="80"/>
      </w:pPr>
      <w:r>
        <w:rPr>
          <w:rFonts w:ascii="Arial" w:hAnsi="Arial" w:eastAsia="Arial" w:cs="Arial"/>
          <w:sz w:val="22"/>
          <w:szCs w:val="22"/>
        </w:rPr>
        <w:t>This report has been prepared solely for educational and internship simulation purposes. All attack simulations were conducted in an isolated, controlled lab environment. No real-world systems, networks, or user accounts were targeted or com</w:t>
      </w:r>
      <w:bookmarkStart w:id="0" w:name="_GoBack"/>
      <w:bookmarkEnd w:id="0"/>
      <w:r>
        <w:rPr>
          <w:rFonts w:ascii="Arial" w:hAnsi="Arial" w:eastAsia="Arial" w:cs="Arial"/>
          <w:sz w:val="22"/>
          <w:szCs w:val="22"/>
        </w:rPr>
        <w:t>promised during this exercise.</w:t>
      </w:r>
    </w:p>
    <w:p w14:paraId="6CFB7107">
      <w:pPr>
        <w:spacing w:before="160"/>
      </w:pPr>
    </w:p>
    <w:p w14:paraId="67C8565B">
      <w:pPr>
        <w:spacing w:before="160" w:after="40"/>
      </w:pPr>
      <w:r>
        <w:rPr>
          <w:rFonts w:ascii="Arial" w:hAnsi="Arial" w:eastAsia="Arial" w:cs="Arial"/>
          <w:color w:val="555555"/>
          <w:sz w:val="20"/>
          <w:szCs w:val="20"/>
        </w:rPr>
        <w:t>Signature:</w:t>
      </w:r>
    </w:p>
    <w:p w14:paraId="6053C5BD">
      <w:pPr>
        <w:spacing w:before="0" w:after="80"/>
      </w:pPr>
      <w:r>
        <w:drawing>
          <wp:inline distT="0" distB="0" distL="0" distR="0">
            <wp:extent cx="1140460" cy="317500"/>
            <wp:effectExtent l="0" t="0" r="254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4"/>
                    <a:srcRect/>
                    <a:stretch>
                      <a:fillRect/>
                    </a:stretch>
                  </pic:blipFill>
                  <pic:spPr>
                    <a:xfrm>
                      <a:off x="0" y="0"/>
                      <a:ext cx="1140460" cy="317500"/>
                    </a:xfrm>
                    <a:prstGeom prst="rect">
                      <a:avLst/>
                    </a:prstGeom>
                  </pic:spPr>
                </pic:pic>
              </a:graphicData>
            </a:graphic>
          </wp:inline>
        </w:drawing>
      </w:r>
    </w:p>
    <w:p w14:paraId="62A9FB19">
      <w:pPr>
        <w:spacing w:before="80"/>
      </w:pPr>
    </w:p>
    <w:p w14:paraId="3AD4A6E8">
      <w:r>
        <w:rPr>
          <w:rFonts w:ascii="Arial" w:hAnsi="Arial" w:eastAsia="Arial" w:cs="Arial"/>
          <w:color w:val="555555"/>
          <w:sz w:val="20"/>
          <w:szCs w:val="20"/>
        </w:rPr>
        <w:t>Date:  May 2025</w:t>
      </w:r>
    </w:p>
    <w:p w14:paraId="74E93E8D">
      <w:pPr>
        <w:spacing w:before="80"/>
      </w:pPr>
    </w:p>
    <w:p w14:paraId="6F303F38">
      <w:r>
        <w:rPr>
          <w:rFonts w:ascii="Arial" w:hAnsi="Arial" w:eastAsia="Arial" w:cs="Arial"/>
          <w:color w:val="555555"/>
          <w:sz w:val="20"/>
          <w:szCs w:val="20"/>
        </w:rPr>
        <w:t>Name: Dipak Kumar Sah          Role: Cybersecurity Intern</w:t>
      </w:r>
    </w:p>
    <w:sectPr>
      <w:pgSz w:w="12240" w:h="15840"/>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pPr>
        <w:ind w:left="72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5"/>
  <w:displayBackgroundShape w:val="1"/>
  <w:documentProtection w:enforcement="0"/>
  <w:compat>
    <w:compatSetting w:name="compatibilityMode" w:uri="http://schemas.microsoft.com/office/word" w:val="15"/>
  </w:compat>
  <w:rsids>
    <w:rsidRoot w:val="00000000"/>
    <w:rsid w:val="45D2603D"/>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sz w:val="22"/>
      <w:szCs w:val="22"/>
    </w:rPr>
  </w:style>
  <w:style w:type="paragraph" w:styleId="2">
    <w:name w:val="heading 1"/>
    <w:next w:val="1"/>
    <w:qFormat/>
    <w:uiPriority w:val="0"/>
    <w:pPr>
      <w:spacing w:before="320" w:after="160"/>
      <w:outlineLvl w:val="0"/>
    </w:pPr>
    <w:rPr>
      <w:rFonts w:ascii="Arial" w:hAnsi="Arial" w:eastAsia="Arial" w:cs="Arial"/>
      <w:b/>
      <w:bCs/>
      <w:color w:val="1F4E79"/>
      <w:sz w:val="28"/>
      <w:szCs w:val="28"/>
    </w:rPr>
  </w:style>
  <w:style w:type="paragraph" w:styleId="3">
    <w:name w:val="heading 2"/>
    <w:next w:val="1"/>
    <w:qFormat/>
    <w:uiPriority w:val="0"/>
    <w:pPr>
      <w:spacing w:before="240" w:after="120"/>
      <w:outlineLvl w:val="1"/>
    </w:pPr>
    <w:rPr>
      <w:rFonts w:ascii="Arial" w:hAnsi="Arial" w:eastAsia="Arial" w:cs="Arial"/>
      <w:b/>
      <w:bCs/>
      <w:color w:val="2E75B6"/>
      <w:sz w:val="24"/>
      <w:szCs w:val="24"/>
    </w:rPr>
  </w:style>
  <w:style w:type="paragraph" w:styleId="4">
    <w:name w:val="heading 3"/>
    <w:next w:val="1"/>
    <w:qFormat/>
    <w:uiPriority w:val="0"/>
    <w:rPr>
      <w:rFonts w:ascii="Arial" w:hAnsi="Arial" w:eastAsia="Arial" w:cs="Arial"/>
      <w:color w:val="1F4D78"/>
      <w:sz w:val="24"/>
      <w:szCs w:val="24"/>
    </w:rPr>
  </w:style>
  <w:style w:type="paragraph" w:styleId="5">
    <w:name w:val="heading 4"/>
    <w:next w:val="1"/>
    <w:qFormat/>
    <w:uiPriority w:val="0"/>
    <w:rPr>
      <w:rFonts w:ascii="Arial" w:hAnsi="Arial" w:eastAsia="Arial" w:cs="Arial"/>
      <w:i/>
      <w:iCs/>
      <w:color w:val="2E74B5"/>
      <w:sz w:val="22"/>
      <w:szCs w:val="22"/>
    </w:rPr>
  </w:style>
  <w:style w:type="paragraph" w:styleId="6">
    <w:name w:val="heading 5"/>
    <w:next w:val="1"/>
    <w:qFormat/>
    <w:uiPriority w:val="0"/>
    <w:rPr>
      <w:rFonts w:ascii="Arial" w:hAnsi="Arial" w:eastAsia="Arial" w:cs="Arial"/>
      <w:color w:val="2E74B5"/>
      <w:sz w:val="22"/>
      <w:szCs w:val="22"/>
    </w:rPr>
  </w:style>
  <w:style w:type="paragraph" w:styleId="7">
    <w:name w:val="heading 6"/>
    <w:next w:val="1"/>
    <w:qFormat/>
    <w:uiPriority w:val="0"/>
    <w:rPr>
      <w:rFonts w:ascii="Arial" w:hAnsi="Arial" w:eastAsia="Arial" w:cs="Arial"/>
      <w:color w:val="1F4D78"/>
      <w:sz w:val="22"/>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uiPriority w:val="99"/>
    <w:rPr>
      <w:vertAlign w:val="superscript"/>
    </w:rPr>
  </w:style>
  <w:style w:type="paragraph" w:styleId="11">
    <w:name w:val="endnote text"/>
    <w:link w:val="18"/>
    <w:semiHidden/>
    <w:unhideWhenUsed/>
    <w:qFormat/>
    <w:uiPriority w:val="99"/>
    <w:pPr>
      <w:spacing w:after="0" w:line="240" w:lineRule="auto"/>
    </w:pPr>
    <w:rPr>
      <w:rFonts w:ascii="Arial" w:hAnsi="Arial" w:eastAsia="Arial" w:cs="Arial"/>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rFonts w:ascii="Arial" w:hAnsi="Arial" w:eastAsia="Arial" w:cs="Arial"/>
      <w:sz w:val="20"/>
      <w:szCs w:val="20"/>
    </w:rPr>
  </w:style>
  <w:style w:type="character" w:styleId="14">
    <w:name w:val="Hyperlink"/>
    <w:unhideWhenUsed/>
    <w:qFormat/>
    <w:uiPriority w:val="99"/>
    <w:rPr>
      <w:color w:val="0563C1"/>
      <w:u w:val="single"/>
    </w:rPr>
  </w:style>
  <w:style w:type="paragraph" w:styleId="15">
    <w:name w:val="Title"/>
    <w:qFormat/>
    <w:uiPriority w:val="0"/>
    <w:rPr>
      <w:rFonts w:ascii="Arial" w:hAnsi="Arial" w:eastAsia="Arial" w:cs="Arial"/>
      <w:sz w:val="56"/>
      <w:szCs w:val="56"/>
    </w:rPr>
  </w:style>
  <w:style w:type="paragraph" w:styleId="16">
    <w:name w:val="List Paragraph"/>
    <w:qFormat/>
    <w:uiPriority w:val="0"/>
    <w:rPr>
      <w:rFonts w:ascii="Arial" w:hAnsi="Arial" w:eastAsia="Arial" w:cs="Arial"/>
      <w:sz w:val="22"/>
      <w:szCs w:val="22"/>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5</Pages>
  <Words>752</Words>
  <Characters>4715</Characters>
  <TotalTime>8</TotalTime>
  <ScaleCrop>false</ScaleCrop>
  <LinksUpToDate>false</LinksUpToDate>
  <CharactersWithSpaces>5372</CharactersWithSpaces>
  <Application>WPS Office_12.1.0.25242_F1E327BC-269C-435d-A152-05C5408002CA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2026-05-16T17:30:00Z</dcterms:created>
  <dc:creator>Un-named</dc:creator>
  <cp:lastModifiedBy>Dipak Kumar</cp:lastModifiedBy>
  <dcterms:modified xsi:type="dcterms:W3CDTF">2026-05-16T17:40:02Z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eyJoZGlkIjoiYzVkOTAxMGI3NjAzZTRmNjY5ODM0MjI0NWNjYzk4ODUiLCJ1c2VySWQiOiI1NjczNTM4NTczNjYifQ==</vt:lpwstr>
  </property>
  <property fmtid="{D5CDD505-2E9C-101B-9397-08002B2CF9AE}" pid="3" name="KSOProductBuildVer">
    <vt:lpwstr>1033-12.1.0.25242</vt:lpwstr>
  </property>
  <property fmtid="{D5CDD505-2E9C-101B-9397-08002B2CF9AE}" pid="4" name="ICV">
    <vt:lpwstr>03015DEEF3414048A01BB868F1F44C60_12</vt:lpwstr>
  </property>
</Properties>
</file>