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20"/>
      </w:pPr>
      <w:r>
        <w:rPr>
          <w:b/>
          <w:bCs/>
          <w:color w:val="EB001B"/>
          <w:spacing w:val="55"/>
          <w:sz w:val="20"/>
          <w:szCs w:val="20"/>
        </w:rPr>
        <w:t xml:space="preserve">MASTERCARD INNOVATION CHALLENGE 2026</w:t>
      </w:r>
    </w:p>
    <w:p>
      <w:pPr>
        <w:spacing w:after="60" w:before="540"/>
      </w:pPr>
      <w:r>
        <w:rPr>
          <w:b/>
          <w:bCs/>
          <w:color w:val="1A1A1A"/>
          <w:sz w:val="56"/>
          <w:szCs w:val="56"/>
        </w:rPr>
        <w:t xml:space="preserve">ADVERSARIAL</w:t>
      </w:r>
    </w:p>
    <w:p>
      <w:pPr>
        <w:spacing w:after="360"/>
      </w:pPr>
      <w:r>
        <w:rPr>
          <w:b/>
          <w:bCs/>
          <w:color w:val="1A1A1A"/>
          <w:sz w:val="56"/>
          <w:szCs w:val="56"/>
        </w:rPr>
        <w:t xml:space="preserve">FRAUD ARENA</w:t>
      </w:r>
    </w:p>
    <w:p>
      <w:pPr>
        <w:spacing w:after="100"/>
      </w:pPr>
      <w:r>
        <w:rPr>
          <w:b/>
          <w:bCs/>
          <w:color w:val="FF5F00"/>
          <w:sz w:val="28"/>
          <w:szCs w:val="28"/>
        </w:rPr>
        <w:t xml:space="preserve">Generate tomorrow's fraud today.</w:t>
      </w:r>
    </w:p>
    <w:p>
      <w:r>
        <w:rPr>
          <w:color w:val="5E6A75"/>
        </w:rPr>
        <w:t xml:space="preserve">AI Defense Lab for Payment Security. A working synthetic Red-versus-Blue system with an independent deterministic Referee.</w:t>
      </w:r>
    </w:p>
    <w:p>
      <w:pPr>
        <w:spacing w:after="180" w:before="480"/>
      </w:pPr>
    </w:p>
    <w:p>
      <w:pPr>
        <w:shd w:fill="EAF3FA" w:color="auto" w:val="clear"/>
        <w:spacing w:after="180" w:before="100"/>
        <w:ind w:left="160" w:right="160"/>
      </w:pPr>
      <w:r>
        <w:rPr>
          <w:b/>
          <w:bCs/>
          <w:color w:val="1A1A1A"/>
        </w:rPr>
        <w:t xml:space="preserve">THE JUDGE-FACING IDEA: </w:t>
      </w:r>
      <w:r>
        <w:t xml:space="preserve">Red attacks. Blue defends. The Referee owns truth.</w:t>
      </w:r>
    </w:p>
    <w:p>
      <w:pPr>
        <w:spacing w:after="80" w:before="420"/>
      </w:pPr>
    </w:p>
    <w:p>
      <w:r>
        <w:rPr>
          <w:b/>
          <w:bCs/>
        </w:rPr>
        <w:t xml:space="preserve">Team: The debuggers</w:t>
      </w:r>
    </w:p>
    <w:p>
      <w:pPr>
        <w:spacing w:after="60"/>
      </w:pP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3500"/>
        <w:gridCol w:w="5620"/>
      </w:tblGrid>
      <w:tr>
        <w:trPr>
          <w:cantSplit/>
          <w:tblHeader/>
        </w:trPr>
        <w:tc>
          <w:tcPr>
            <w:tcW w:type="dxa" w:w="3500"/>
            <w:shd w:fill="1A1A1A" w:color="auto" w:val="clear"/>
            <w:vAlign w:val="center"/>
          </w:tcPr>
          <w:p>
            <w:pPr>
              <w:spacing w:after="0" w:line="240"/>
            </w:pPr>
            <w:r>
              <w:rPr>
                <w:b/>
                <w:bCs/>
                <w:color w:val="FFFFFF"/>
                <w:sz w:val="19"/>
                <w:szCs w:val="19"/>
              </w:rPr>
              <w:t xml:space="preserve">Team member</w:t>
            </w:r>
          </w:p>
        </w:tc>
        <w:tc>
          <w:tcPr>
            <w:tcW w:type="dxa" w:w="5620"/>
            <w:shd w:fill="1A1A1A" w:color="auto" w:val="clear"/>
            <w:vAlign w:val="center"/>
          </w:tcPr>
          <w:p>
            <w:pPr>
              <w:spacing w:after="0" w:line="240"/>
            </w:pPr>
            <w:r>
              <w:rPr>
                <w:b/>
                <w:bCs/>
                <w:color w:val="FFFFFF"/>
                <w:sz w:val="19"/>
                <w:szCs w:val="19"/>
              </w:rPr>
              <w:t xml:space="preserve">Registered email</w:t>
            </w:r>
          </w:p>
        </w:tc>
      </w:tr>
      <w:tr>
        <w:trPr>
          <w:cantSplit/>
          <w:tblHeader w:val="false"/>
        </w:trPr>
        <w:tc>
          <w:tcPr>
            <w:tcW w:type="dxa" w:w="3500"/>
            <w:vAlign w:val="center"/>
          </w:tcPr>
          <w:p>
            <w:pPr>
              <w:spacing w:after="0" w:line="240"/>
            </w:pPr>
            <w:r>
              <w:rPr>
                <w:b w:val="false"/>
                <w:bCs w:val="false"/>
                <w:color w:val="17212B"/>
                <w:sz w:val="19"/>
                <w:szCs w:val="19"/>
              </w:rPr>
              <w:t xml:space="preserve">Deepak Kumar</w:t>
            </w:r>
          </w:p>
        </w:tc>
        <w:tc>
          <w:tcPr>
            <w:tcW w:type="dxa" w:w="5620"/>
            <w:vAlign w:val="center"/>
          </w:tcPr>
          <w:p>
            <w:pPr>
              <w:spacing w:after="0" w:line="240"/>
            </w:pPr>
            <w:r>
              <w:rPr>
                <w:b w:val="false"/>
                <w:bCs w:val="false"/>
                <w:color w:val="17212B"/>
                <w:sz w:val="19"/>
                <w:szCs w:val="19"/>
              </w:rPr>
              <w:t xml:space="preserve">dipakkr.co@gmail.com</w:t>
            </w:r>
          </w:p>
        </w:tc>
      </w:tr>
      <w:tr>
        <w:trPr>
          <w:cantSplit/>
          <w:tblHeader w:val="false"/>
        </w:trPr>
        <w:tc>
          <w:tcPr>
            <w:tcW w:type="dxa" w:w="3500"/>
            <w:shd w:fill="F2F4F7" w:color="auto" w:val="clear"/>
            <w:vAlign w:val="center"/>
          </w:tcPr>
          <w:p>
            <w:pPr>
              <w:spacing w:after="0" w:line="240"/>
            </w:pPr>
            <w:r>
              <w:rPr>
                <w:b w:val="false"/>
                <w:bCs w:val="false"/>
                <w:color w:val="17212B"/>
                <w:sz w:val="19"/>
                <w:szCs w:val="19"/>
              </w:rPr>
              <w:t xml:space="preserve">Naman Goyal</w:t>
            </w:r>
          </w:p>
        </w:tc>
        <w:tc>
          <w:tcPr>
            <w:tcW w:type="dxa" w:w="5620"/>
            <w:shd w:fill="F2F4F7" w:color="auto" w:val="clear"/>
            <w:vAlign w:val="center"/>
          </w:tcPr>
          <w:p>
            <w:pPr>
              <w:spacing w:after="0" w:line="240"/>
            </w:pPr>
            <w:r>
              <w:rPr>
                <w:b w:val="false"/>
                <w:bCs w:val="false"/>
                <w:color w:val="17212B"/>
                <w:sz w:val="19"/>
                <w:szCs w:val="19"/>
              </w:rPr>
              <w:t xml:space="preserve">namangoyal21197@gmail.com</w:t>
            </w:r>
          </w:p>
        </w:tc>
      </w:tr>
    </w:tbl>
    <w:p>
      <w:pPr>
        <w:spacing w:before="300"/>
      </w:pPr>
    </w:p>
    <w:p>
      <w:r>
        <w:t xml:space="preserve">Repository: https://github.com/dipakkr/mastercard-challlenge-hackathon</w:t>
      </w:r>
    </w:p>
    <w:p>
      <w:r>
        <w:t xml:space="preserve">Working prototype: https://adversarial-fraud-arena.vercel.app</w:t>
      </w:r>
    </w:p>
    <w:p>
      <w:r>
        <w:t xml:space="preserve">Evidence generated: 29/08/2026</w:t>
      </w:r>
    </w:p>
    <w:p>
      <w:r>
        <w:t xml:space="preserve">Evidence commit: 1d0a953f5dc1</w:t>
      </w:r>
    </w:p>
    <w:p>
      <w:r>
        <w:br w:type="page"/>
      </w:r>
    </w:p>
    <w:p>
      <w:pPr>
        <w:pStyle w:val="Heading1"/>
      </w:pPr>
      <w:r>
        <w:t xml:space="preserve">1. Executive Summary</w:t>
      </w:r>
    </w:p>
    <w:p>
      <w:r>
        <w:t xml:space="preserve">Fraud models learn from attacks that already happened. GenAI lets attackers create and adapt payment strategies much faster.</w:t>
      </w:r>
    </w:p>
    <w:p>
      <w:r>
        <w:t xml:space="preserve">The Arena generates tomorrow's attacks inside a synthetic payment network. It exposes detector blind spots before those attacks reach production.</w:t>
      </w:r>
    </w:p>
    <w:p>
      <w:r>
        <w:t xml:space="preserve">A bounded Red Team evolves attack genomes from prior outcomes. A Blue Team investigates confirmed failures and proposes bounded defenses.</w:t>
      </w:r>
    </w:p>
    <w:p>
      <w:r>
        <w:t xml:space="preserve">A deterministic Referee owns all labels, metrics, seeds, acceptance gates, and replay results. Neither AI grades itself.</w:t>
      </w:r>
    </w:p>
    <w:p>
      <w:pPr>
        <w:shd w:fill="FCECEA" w:color="auto" w:val="clear"/>
        <w:spacing w:after="180" w:before="100"/>
        <w:ind w:left="160" w:right="160"/>
      </w:pPr>
      <w:r>
        <w:rPr>
          <w:b/>
          <w:bCs/>
          <w:color w:val="EB001B"/>
        </w:rPr>
        <w:t xml:space="preserve">THE ONE THING TO UNDERSTAND BEFORE THE NUMBERS: </w:t>
      </w:r>
      <w:r>
        <w:t xml:space="preserve">Our headline figures come in two pairs, and the second pair looks worse on purpose. Against attacks the detector was TRAINED on it reaches ROC-AUC 0.98 and F1 58%. Against an attack our own red team EVOLVED to evade it, F1 falls to the twenties — and stays under 15% at every threshold across the entire score range. That is the finding, not a shortfall. A novel attack is a MISSING-FEATURE problem, not a calibration problem: no operating point rescues it, and you only learn which feature is missing by generating the attack first. Section 10 shows the full operating curve that establishes this.</w:t>
      </w:r>
    </w:p>
    <w:p>
      <w:pPr>
        <w:shd w:fill="EAF3FA" w:color="auto" w:val="clear"/>
        <w:spacing w:after="180" w:before="100"/>
        <w:ind w:left="160" w:right="160"/>
      </w:pPr>
      <w:r>
        <w:rPr>
          <w:b/>
          <w:bCs/>
          <w:color w:val="1A1A1A"/>
        </w:rPr>
        <w:t xml:space="preserve">MEASURED RESULT: </w:t>
      </w:r>
      <w:r>
        <w:t xml:space="preserve">ROC-AUC 98.02% and F1 58.46% at 0.19% false positives on known attacks. On an attack the red team evolved specifically to evade, recall including analyst holds rose from 44.44% to 70.00% for 0.05 points of false positives — a PAIRED result at p &lt; 0.001, with 23 transactions newly caught and 0 newly missed.</w:t>
      </w:r>
    </w:p>
    <w:p>
      <w:pPr>
        <w:pStyle w:val="Heading2"/>
      </w:pPr>
      <w:r>
        <w:t xml:space="preserve">The smallest credible submission</w:t>
      </w:r>
    </w:p>
    <w:p>
      <w:pPr>
        <w:pStyle w:val="ListParagraph"/>
        <w:numPr>
          <w:ilvl w:val="0"/>
          <w:numId w:val="2"/>
        </w:numPr>
      </w:pPr>
      <w:r>
        <w:t xml:space="preserve">One deployable Next.js application</w:t>
      </w:r>
    </w:p>
    <w:p>
      <w:pPr>
        <w:pStyle w:val="ListParagraph"/>
        <w:numPr>
          <w:ilvl w:val="0"/>
          <w:numId w:val="2"/>
        </w:numPr>
      </w:pPr>
      <w:r>
        <w:t xml:space="preserve">One trained baseline fraud model</w:t>
      </w:r>
    </w:p>
    <w:p>
      <w:pPr>
        <w:pStyle w:val="ListParagraph"/>
        <w:numPr>
          <w:ilvl w:val="0"/>
          <w:numId w:val="2"/>
        </w:numPr>
      </w:pPr>
      <w:r>
        <w:t xml:space="preserve">Five bounded attack families, compiled and scored end to end</w:t>
      </w:r>
    </w:p>
    <w:p>
      <w:pPr>
        <w:pStyle w:val="ListParagraph"/>
        <w:numPr>
          <w:ilvl w:val="0"/>
          <w:numId w:val="2"/>
        </w:numPr>
      </w:pPr>
      <w:r>
        <w:t xml:space="preserve">One adaptive search loop</w:t>
      </w:r>
    </w:p>
    <w:p>
      <w:pPr>
        <w:pStyle w:val="ListParagraph"/>
        <w:numPr>
          <w:ilvl w:val="0"/>
          <w:numId w:val="2"/>
        </w:numPr>
      </w:pPr>
      <w:r>
        <w:t xml:space="preserve">One evidence-grounded Blue proposal</w:t>
      </w:r>
    </w:p>
    <w:p>
      <w:pPr>
        <w:pStyle w:val="ListParagraph"/>
        <w:numPr>
          <w:ilvl w:val="0"/>
          <w:numId w:val="2"/>
        </w:numPr>
      </w:pPr>
      <w:r>
        <w:t xml:space="preserve">One independent gate with exact and held-out replay</w:t>
      </w:r>
    </w:p>
    <w:p>
      <w:r>
        <w:t xml:space="preserve">The product maximizes observable evidence per unit of engineering effort. It avoids speculative services, databases, and model layers.</w:t>
      </w:r>
    </w:p>
    <w:p>
      <w:pPr>
        <w:pStyle w:val="Heading1"/>
      </w:pPr>
      <w:r>
        <w:t xml:space="preserve">2. Challenge</w:t>
      </w:r>
    </w:p>
    <w:p>
      <w:r>
        <w:t xml:space="preserve">Payment fraud evolves between detector retraining cycles. A static model sees historical behavior and can miss new coordinated strategies.</w:t>
      </w:r>
    </w:p>
    <w:p>
      <w:r>
        <w:t xml:space="preserve">The challenge requires a visible IDENTIFY, GENERATE, and DEFEND system. The working product must also show failure, investigation, and proof.</w:t>
      </w:r>
    </w:p>
    <w:p>
      <w:pPr>
        <w:pStyle w:val="Heading2"/>
      </w:pPr>
      <w:r>
        <w:t xml:space="preserve">Primary user</w:t>
      </w:r>
    </w:p>
    <w:p>
      <w:r>
        <w:t xml:space="preserve">A payment-network fraud-model validation team uses the Arena before a model reaches production.</w:t>
      </w:r>
    </w:p>
    <w:p>
      <w:pPr>
        <w:pStyle w:val="Heading2"/>
      </w:pPr>
      <w:r>
        <w:t xml:space="preserve">Painful job</w:t>
      </w:r>
    </w:p>
    <w:p>
      <w:r>
        <w:t xml:space="preserve">The team must find credible blind spots without testing against real customers or production payment systems.</w:t>
      </w:r>
    </w:p>
    <w:p>
      <w:pPr>
        <w:pStyle w:val="Heading2"/>
      </w:pPr>
      <w:r>
        <w:t xml:space="preserve">Desired outcome</w:t>
      </w:r>
    </w:p>
    <w:p>
      <w:r>
        <w:t xml:space="preserve">The team reproduces one detector failure and validates a safe defense against exact and held-out attacks.</w:t>
      </w:r>
    </w:p>
    <w:p>
      <w:pPr>
        <w:pStyle w:val="Heading2"/>
      </w:pPr>
      <w:r>
        <w:t xml:space="preserve">Live proof</w:t>
      </w:r>
    </w:p>
    <w:p>
      <w:r>
        <w:t xml:space="preserve">The application runs the complete loop in approximately three minutes, without an API key or internet connection.</w:t>
      </w:r>
    </w:p>
    <w:p>
      <w:pPr>
        <w:pStyle w:val="Heading1"/>
      </w:pPr>
      <w:r>
        <w:t xml:space="preserve">3. Why GenAI Changes Payment Fraud</w:t>
      </w:r>
    </w:p>
    <w:p>
      <w:r>
        <w:t xml:space="preserve">GenAI changes the speed, scale, and personalization of fraud. It can also reason across failed attempts and select the next strategy.</w:t>
      </w:r>
    </w:p>
    <w:p>
      <w:pPr>
        <w:pStyle w:val="ListParagraph"/>
        <w:numPr>
          <w:ilvl w:val="0"/>
          <w:numId w:val="2"/>
        </w:numPr>
      </w:pPr>
      <w:r>
        <w:t xml:space="preserve">Attackers can personalize impersonation and payment requests at low marginal cost.</w:t>
      </w:r>
    </w:p>
    <w:p>
      <w:pPr>
        <w:pStyle w:val="ListParagraph"/>
        <w:numPr>
          <w:ilvl w:val="0"/>
          <w:numId w:val="2"/>
        </w:numPr>
      </w:pPr>
      <w:r>
        <w:t xml:space="preserve">Attackers can generate coherent synthetic identity histories and coordinated variants.</w:t>
      </w:r>
    </w:p>
    <w:p>
      <w:pPr>
        <w:pStyle w:val="ListParagraph"/>
        <w:numPr>
          <w:ilvl w:val="0"/>
          <w:numId w:val="2"/>
        </w:numPr>
      </w:pPr>
      <w:r>
        <w:t xml:space="preserve">Attackers can reshape timing, amount, device, and merchant behavior after rejection.</w:t>
      </w:r>
    </w:p>
    <w:p>
      <w:pPr>
        <w:pStyle w:val="ListParagraph"/>
        <w:numPr>
          <w:ilvl w:val="0"/>
          <w:numId w:val="2"/>
        </w:numPr>
      </w:pPr>
      <w:r>
        <w:t xml:space="preserve">Attackers can explore detector boundaries faster than periodic retraining cycles.</w:t>
      </w:r>
    </w:p>
    <w:p>
      <w:r>
        <w:t xml:space="preserve">Public reports from Mastercard, Visa, the FBI, and Europol support this defensive threat framing. The repository stores the source links.</w:t>
      </w:r>
    </w:p>
    <w:p>
      <w:pPr>
        <w:pStyle w:val="Heading1"/>
      </w:pPr>
      <w:r>
        <w:t xml:space="preserve">4. Core Product Insight</w:t>
      </w:r>
    </w:p>
    <w:p>
      <w:pPr>
        <w:shd w:fill="EAF3FA" w:color="auto" w:val="clear"/>
        <w:spacing w:after="180" w:before="100"/>
        <w:ind w:left="160" w:right="160"/>
      </w:pPr>
      <w:r>
        <w:rPr>
          <w:b/>
          <w:bCs/>
          <w:color w:val="1A1A1A"/>
        </w:rPr>
        <w:t xml:space="preserve">THESIS: </w:t>
      </w:r>
      <w:r>
        <w:t xml:space="preserve">Fraud defenses should not learn only after an attack succeeds in the real world.</w:t>
      </w:r>
    </w:p>
    <w:p>
      <w:r>
        <w:t xml:space="preserve">The Arena safely generates and evolves attack candidates today. It independently verifies whether the resulting defense improves.</w:t>
      </w:r>
    </w:p>
    <w:p>
      <w:pPr>
        <w:pStyle w:val="Heading2"/>
      </w:pPr>
      <w:r>
        <w:t xml:space="preserve">Adversarial Fraud Arena</w:t>
      </w:r>
    </w:p>
    <w:p>
      <w:r>
        <w:t xml:space="preserve">This approach differs from a fraud classifier. The classifier is one participant inside a continuous adversarial validation system.</w:t>
      </w:r>
    </w:p>
    <w:p>
      <w:r>
        <w:br w:type="page"/>
      </w:r>
    </w:p>
    <w:p>
      <w:pPr>
        <w:pStyle w:val="Heading1"/>
      </w:pPr>
      <w:r>
        <w:t xml:space="preserve">5. Challenge Alignment</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1500"/>
        <w:gridCol w:w="3660"/>
        <w:gridCol w:w="3960"/>
      </w:tblGrid>
      <w:tr>
        <w:trPr>
          <w:cantSplit/>
          <w:tblHeader/>
        </w:trPr>
        <w:tc>
          <w:tcPr>
            <w:tcW w:type="dxa" w:w="1500"/>
            <w:shd w:fill="1A1A1A" w:color="auto" w:val="clear"/>
            <w:vAlign w:val="center"/>
          </w:tcPr>
          <w:p>
            <w:pPr>
              <w:spacing w:after="0" w:line="240"/>
            </w:pPr>
            <w:r>
              <w:rPr>
                <w:b/>
                <w:bCs/>
                <w:color w:val="FFFFFF"/>
                <w:sz w:val="19"/>
                <w:szCs w:val="19"/>
              </w:rPr>
              <w:t xml:space="preserve">Stage</w:t>
            </w:r>
          </w:p>
        </w:tc>
        <w:tc>
          <w:tcPr>
            <w:tcW w:type="dxa" w:w="3660"/>
            <w:shd w:fill="1A1A1A" w:color="auto" w:val="clear"/>
            <w:vAlign w:val="center"/>
          </w:tcPr>
          <w:p>
            <w:pPr>
              <w:spacing w:after="0" w:line="240"/>
            </w:pPr>
            <w:r>
              <w:rPr>
                <w:b/>
                <w:bCs/>
                <w:color w:val="FFFFFF"/>
                <w:sz w:val="19"/>
                <w:szCs w:val="19"/>
              </w:rPr>
              <w:t xml:space="preserve">Working feature</w:t>
            </w:r>
          </w:p>
        </w:tc>
        <w:tc>
          <w:tcPr>
            <w:tcW w:type="dxa" w:w="3960"/>
            <w:shd w:fill="1A1A1A" w:color="auto" w:val="clear"/>
            <w:vAlign w:val="center"/>
          </w:tcPr>
          <w:p>
            <w:pPr>
              <w:spacing w:after="0" w:line="240"/>
            </w:pPr>
            <w:r>
              <w:rPr>
                <w:b/>
                <w:bCs/>
                <w:color w:val="FFFFFF"/>
                <w:sz w:val="19"/>
                <w:szCs w:val="19"/>
              </w:rPr>
              <w:t xml:space="preserve">Judge-visible evidence</w:t>
            </w:r>
          </w:p>
        </w:tc>
      </w:tr>
      <w:tr>
        <w:trPr>
          <w:cantSplit/>
          <w:tblHeader w:val="false"/>
        </w:trPr>
        <w:tc>
          <w:tcPr>
            <w:tcW w:type="dxa" w:w="1500"/>
            <w:vAlign w:val="center"/>
          </w:tcPr>
          <w:p>
            <w:pPr>
              <w:spacing w:after="0" w:line="240"/>
            </w:pPr>
            <w:r>
              <w:rPr>
                <w:b w:val="false"/>
                <w:bCs w:val="false"/>
                <w:color w:val="17212B"/>
                <w:sz w:val="19"/>
                <w:szCs w:val="19"/>
              </w:rPr>
              <w:t xml:space="preserve">IDENTIFY</w:t>
            </w:r>
          </w:p>
        </w:tc>
        <w:tc>
          <w:tcPr>
            <w:tcW w:type="dxa" w:w="3660"/>
            <w:vAlign w:val="center"/>
          </w:tcPr>
          <w:p>
            <w:pPr>
              <w:spacing w:after="0" w:line="240"/>
            </w:pPr>
            <w:r>
              <w:rPr>
                <w:b w:val="false"/>
                <w:bCs w:val="false"/>
                <w:color w:val="17212B"/>
                <w:sz w:val="19"/>
                <w:szCs w:val="19"/>
              </w:rPr>
              <w:t xml:space="preserve">Defensive threat corpus and strict assessment</w:t>
            </w:r>
          </w:p>
        </w:tc>
        <w:tc>
          <w:tcPr>
            <w:tcW w:type="dxa" w:w="3960"/>
            <w:vAlign w:val="center"/>
          </w:tcPr>
          <w:p>
            <w:pPr>
              <w:spacing w:after="0" w:line="240"/>
            </w:pPr>
            <w:r>
              <w:rPr>
                <w:b w:val="false"/>
                <w:bCs w:val="false"/>
                <w:color w:val="17212B"/>
                <w:sz w:val="19"/>
                <w:szCs w:val="19"/>
              </w:rPr>
              <w:t xml:space="preserve">Threat Intelligence view</w:t>
            </w:r>
          </w:p>
        </w:tc>
      </w:tr>
      <w:tr>
        <w:trPr>
          <w:cantSplit/>
          <w:tblHeader w:val="false"/>
        </w:trPr>
        <w:tc>
          <w:tcPr>
            <w:tcW w:type="dxa" w:w="1500"/>
            <w:shd w:fill="F2F4F7" w:color="auto" w:val="clear"/>
            <w:vAlign w:val="center"/>
          </w:tcPr>
          <w:p>
            <w:pPr>
              <w:spacing w:after="0" w:line="240"/>
            </w:pPr>
            <w:r>
              <w:rPr>
                <w:b w:val="false"/>
                <w:bCs w:val="false"/>
                <w:color w:val="17212B"/>
                <w:sz w:val="19"/>
                <w:szCs w:val="19"/>
              </w:rPr>
              <w:t xml:space="preserve">GENERATE</w:t>
            </w:r>
          </w:p>
        </w:tc>
        <w:tc>
          <w:tcPr>
            <w:tcW w:type="dxa" w:w="3660"/>
            <w:shd w:fill="F2F4F7" w:color="auto" w:val="clear"/>
            <w:vAlign w:val="center"/>
          </w:tcPr>
          <w:p>
            <w:pPr>
              <w:spacing w:after="0" w:line="240"/>
            </w:pPr>
            <w:r>
              <w:rPr>
                <w:b w:val="false"/>
                <w:bCs w:val="false"/>
                <w:color w:val="17212B"/>
                <w:sz w:val="19"/>
                <w:szCs w:val="19"/>
              </w:rPr>
              <w:t xml:space="preserve">Outcome-conditioned Fraud Genome mutation</w:t>
            </w:r>
          </w:p>
        </w:tc>
        <w:tc>
          <w:tcPr>
            <w:tcW w:type="dxa" w:w="3960"/>
            <w:shd w:fill="F2F4F7" w:color="auto" w:val="clear"/>
            <w:vAlign w:val="center"/>
          </w:tcPr>
          <w:p>
            <w:pPr>
              <w:spacing w:after="0" w:line="240"/>
            </w:pPr>
            <w:r>
              <w:rPr>
                <w:b w:val="false"/>
                <w:bCs w:val="false"/>
                <w:color w:val="17212B"/>
                <w:sz w:val="19"/>
                <w:szCs w:val="19"/>
              </w:rPr>
              <w:t xml:space="preserve">Red feed and lineage</w:t>
            </w:r>
          </w:p>
        </w:tc>
      </w:tr>
      <w:tr>
        <w:trPr>
          <w:cantSplit/>
          <w:tblHeader w:val="false"/>
        </w:trPr>
        <w:tc>
          <w:tcPr>
            <w:tcW w:type="dxa" w:w="1500"/>
            <w:vAlign w:val="center"/>
          </w:tcPr>
          <w:p>
            <w:pPr>
              <w:spacing w:after="0" w:line="240"/>
            </w:pPr>
            <w:r>
              <w:rPr>
                <w:b w:val="false"/>
                <w:bCs w:val="false"/>
                <w:color w:val="17212B"/>
                <w:sz w:val="19"/>
                <w:szCs w:val="19"/>
              </w:rPr>
              <w:t xml:space="preserve">ATTACK</w:t>
            </w:r>
          </w:p>
        </w:tc>
        <w:tc>
          <w:tcPr>
            <w:tcW w:type="dxa" w:w="3660"/>
            <w:vAlign w:val="center"/>
          </w:tcPr>
          <w:p>
            <w:pPr>
              <w:spacing w:after="0" w:line="240"/>
            </w:pPr>
            <w:r>
              <w:rPr>
                <w:b w:val="false"/>
                <w:bCs w:val="false"/>
                <w:color w:val="17212B"/>
                <w:sz w:val="19"/>
                <w:szCs w:val="19"/>
              </w:rPr>
              <w:t xml:space="preserve">Seeded synthetic scenario compiler</w:t>
            </w:r>
          </w:p>
        </w:tc>
        <w:tc>
          <w:tcPr>
            <w:tcW w:type="dxa" w:w="3960"/>
            <w:vAlign w:val="center"/>
          </w:tcPr>
          <w:p>
            <w:pPr>
              <w:spacing w:after="0" w:line="240"/>
            </w:pPr>
            <w:r>
              <w:rPr>
                <w:b w:val="false"/>
                <w:bCs w:val="false"/>
                <w:color w:val="17212B"/>
                <w:sz w:val="19"/>
                <w:szCs w:val="19"/>
              </w:rPr>
              <w:t xml:space="preserve">Payment Rail activity</w:t>
            </w:r>
          </w:p>
        </w:tc>
      </w:tr>
      <w:tr>
        <w:trPr>
          <w:cantSplit/>
          <w:tblHeader w:val="false"/>
        </w:trPr>
        <w:tc>
          <w:tcPr>
            <w:tcW w:type="dxa" w:w="1500"/>
            <w:shd w:fill="F2F4F7" w:color="auto" w:val="clear"/>
            <w:vAlign w:val="center"/>
          </w:tcPr>
          <w:p>
            <w:pPr>
              <w:spacing w:after="0" w:line="240"/>
            </w:pPr>
            <w:r>
              <w:rPr>
                <w:b w:val="false"/>
                <w:bCs w:val="false"/>
                <w:color w:val="17212B"/>
                <w:sz w:val="19"/>
                <w:szCs w:val="19"/>
              </w:rPr>
              <w:t xml:space="preserve">EVADE</w:t>
            </w:r>
          </w:p>
        </w:tc>
        <w:tc>
          <w:tcPr>
            <w:tcW w:type="dxa" w:w="3660"/>
            <w:shd w:fill="F2F4F7" w:color="auto" w:val="clear"/>
            <w:vAlign w:val="center"/>
          </w:tcPr>
          <w:p>
            <w:pPr>
              <w:spacing w:after="0" w:line="240"/>
            </w:pPr>
            <w:r>
              <w:rPr>
                <w:b w:val="false"/>
                <w:bCs w:val="false"/>
                <w:color w:val="17212B"/>
                <w:sz w:val="19"/>
                <w:szCs w:val="19"/>
              </w:rPr>
              <w:t xml:space="preserve">Real detector decisions</w:t>
            </w:r>
          </w:p>
        </w:tc>
        <w:tc>
          <w:tcPr>
            <w:tcW w:type="dxa" w:w="3960"/>
            <w:shd w:fill="F2F4F7" w:color="auto" w:val="clear"/>
            <w:vAlign w:val="center"/>
          </w:tcPr>
          <w:p>
            <w:pPr>
              <w:spacing w:after="0" w:line="240"/>
            </w:pPr>
            <w:r>
              <w:rPr>
                <w:b w:val="false"/>
                <w:bCs w:val="false"/>
                <w:color w:val="17212B"/>
                <w:sz w:val="19"/>
                <w:szCs w:val="19"/>
              </w:rPr>
              <w:t xml:space="preserve">Caught and evaded verdicts</w:t>
            </w:r>
          </w:p>
        </w:tc>
      </w:tr>
      <w:tr>
        <w:trPr>
          <w:cantSplit/>
          <w:tblHeader w:val="false"/>
        </w:trPr>
        <w:tc>
          <w:tcPr>
            <w:tcW w:type="dxa" w:w="1500"/>
            <w:vAlign w:val="center"/>
          </w:tcPr>
          <w:p>
            <w:pPr>
              <w:spacing w:after="0" w:line="240"/>
            </w:pPr>
            <w:r>
              <w:rPr>
                <w:b w:val="false"/>
                <w:bCs w:val="false"/>
                <w:color w:val="17212B"/>
                <w:sz w:val="19"/>
                <w:szCs w:val="19"/>
              </w:rPr>
              <w:t xml:space="preserve">DISCOVER</w:t>
            </w:r>
          </w:p>
        </w:tc>
        <w:tc>
          <w:tcPr>
            <w:tcW w:type="dxa" w:w="3660"/>
            <w:vAlign w:val="center"/>
          </w:tcPr>
          <w:p>
            <w:pPr>
              <w:spacing w:after="0" w:line="240"/>
            </w:pPr>
            <w:r>
              <w:rPr>
                <w:b w:val="false"/>
                <w:bCs w:val="false"/>
                <w:color w:val="17212B"/>
                <w:sz w:val="19"/>
                <w:szCs w:val="19"/>
              </w:rPr>
              <w:t xml:space="preserve">Fresh-seed confirmation</w:t>
            </w:r>
          </w:p>
        </w:tc>
        <w:tc>
          <w:tcPr>
            <w:tcW w:type="dxa" w:w="3960"/>
            <w:vAlign w:val="center"/>
          </w:tcPr>
          <w:p>
            <w:pPr>
              <w:spacing w:after="0" w:line="240"/>
            </w:pPr>
            <w:r>
              <w:rPr>
                <w:b w:val="false"/>
                <w:bCs w:val="false"/>
                <w:color w:val="17212B"/>
                <w:sz w:val="19"/>
                <w:szCs w:val="19"/>
              </w:rPr>
              <w:t xml:space="preserve">BLIND SPOT DISCOVERED alert</w:t>
            </w:r>
          </w:p>
        </w:tc>
      </w:tr>
      <w:tr>
        <w:trPr>
          <w:cantSplit/>
          <w:tblHeader w:val="false"/>
        </w:trPr>
        <w:tc>
          <w:tcPr>
            <w:tcW w:type="dxa" w:w="1500"/>
            <w:shd w:fill="F2F4F7" w:color="auto" w:val="clear"/>
            <w:vAlign w:val="center"/>
          </w:tcPr>
          <w:p>
            <w:pPr>
              <w:spacing w:after="0" w:line="240"/>
            </w:pPr>
            <w:r>
              <w:rPr>
                <w:b w:val="false"/>
                <w:bCs w:val="false"/>
                <w:color w:val="17212B"/>
                <w:sz w:val="19"/>
                <w:szCs w:val="19"/>
              </w:rPr>
              <w:t xml:space="preserve">DEFEND</w:t>
            </w:r>
          </w:p>
        </w:tc>
        <w:tc>
          <w:tcPr>
            <w:tcW w:type="dxa" w:w="3660"/>
            <w:shd w:fill="F2F4F7" w:color="auto" w:val="clear"/>
            <w:vAlign w:val="center"/>
          </w:tcPr>
          <w:p>
            <w:pPr>
              <w:spacing w:after="0" w:line="240"/>
            </w:pPr>
            <w:r>
              <w:rPr>
                <w:b w:val="false"/>
                <w:bCs w:val="false"/>
                <w:color w:val="17212B"/>
                <w:sz w:val="19"/>
                <w:szCs w:val="19"/>
              </w:rPr>
              <w:t xml:space="preserve">Blue proposal and Defense Gate</w:t>
            </w:r>
          </w:p>
        </w:tc>
        <w:tc>
          <w:tcPr>
            <w:tcW w:type="dxa" w:w="3960"/>
            <w:shd w:fill="F2F4F7" w:color="auto" w:val="clear"/>
            <w:vAlign w:val="center"/>
          </w:tcPr>
          <w:p>
            <w:pPr>
              <w:spacing w:after="0" w:line="240"/>
            </w:pPr>
            <w:r>
              <w:rPr>
                <w:b w:val="false"/>
                <w:bCs w:val="false"/>
                <w:color w:val="17212B"/>
                <w:sz w:val="19"/>
                <w:szCs w:val="19"/>
              </w:rPr>
              <w:t xml:space="preserve">Investigation and gate verdict</w:t>
            </w:r>
          </w:p>
        </w:tc>
      </w:tr>
      <w:tr>
        <w:trPr>
          <w:cantSplit/>
          <w:tblHeader w:val="false"/>
        </w:trPr>
        <w:tc>
          <w:tcPr>
            <w:tcW w:type="dxa" w:w="1500"/>
            <w:vAlign w:val="center"/>
          </w:tcPr>
          <w:p>
            <w:pPr>
              <w:spacing w:after="0" w:line="240"/>
            </w:pPr>
            <w:r>
              <w:rPr>
                <w:b w:val="false"/>
                <w:bCs w:val="false"/>
                <w:color w:val="17212B"/>
                <w:sz w:val="19"/>
                <w:szCs w:val="19"/>
              </w:rPr>
              <w:t xml:space="preserve">REPLAY</w:t>
            </w:r>
          </w:p>
        </w:tc>
        <w:tc>
          <w:tcPr>
            <w:tcW w:type="dxa" w:w="3660"/>
            <w:vAlign w:val="center"/>
          </w:tcPr>
          <w:p>
            <w:pPr>
              <w:spacing w:after="0" w:line="240"/>
            </w:pPr>
            <w:r>
              <w:rPr>
                <w:b w:val="false"/>
                <w:bCs w:val="false"/>
                <w:color w:val="17212B"/>
                <w:sz w:val="19"/>
                <w:szCs w:val="19"/>
              </w:rPr>
              <w:t xml:space="preserve">Stored scenario, seed, and versions</w:t>
            </w:r>
          </w:p>
        </w:tc>
        <w:tc>
          <w:tcPr>
            <w:tcW w:type="dxa" w:w="3960"/>
            <w:vAlign w:val="center"/>
          </w:tcPr>
          <w:p>
            <w:pPr>
              <w:spacing w:after="0" w:line="240"/>
            </w:pPr>
            <w:r>
              <w:rPr>
                <w:b w:val="false"/>
                <w:bCs w:val="false"/>
                <w:color w:val="17212B"/>
                <w:sz w:val="19"/>
                <w:szCs w:val="19"/>
              </w:rPr>
              <w:t xml:space="preserve">Before-versus-after transaction diff</w:t>
            </w:r>
          </w:p>
        </w:tc>
      </w:tr>
      <w:tr>
        <w:trPr>
          <w:cantSplit/>
          <w:tblHeader w:val="false"/>
        </w:trPr>
        <w:tc>
          <w:tcPr>
            <w:tcW w:type="dxa" w:w="1500"/>
            <w:shd w:fill="F2F4F7" w:color="auto" w:val="clear"/>
            <w:vAlign w:val="center"/>
          </w:tcPr>
          <w:p>
            <w:pPr>
              <w:spacing w:after="0" w:line="240"/>
            </w:pPr>
            <w:r>
              <w:rPr>
                <w:b w:val="false"/>
                <w:bCs w:val="false"/>
                <w:color w:val="17212B"/>
                <w:sz w:val="19"/>
                <w:szCs w:val="19"/>
              </w:rPr>
              <w:t xml:space="preserve">MEASURE</w:t>
            </w:r>
          </w:p>
        </w:tc>
        <w:tc>
          <w:tcPr>
            <w:tcW w:type="dxa" w:w="3660"/>
            <w:shd w:fill="F2F4F7" w:color="auto" w:val="clear"/>
            <w:vAlign w:val="center"/>
          </w:tcPr>
          <w:p>
            <w:pPr>
              <w:spacing w:after="0" w:line="240"/>
            </w:pPr>
            <w:r>
              <w:rPr>
                <w:b w:val="false"/>
                <w:bCs w:val="false"/>
                <w:color w:val="17212B"/>
                <w:sz w:val="19"/>
                <w:szCs w:val="19"/>
              </w:rPr>
              <w:t xml:space="preserve">Referee metrics and audit ledger</w:t>
            </w:r>
          </w:p>
        </w:tc>
        <w:tc>
          <w:tcPr>
            <w:tcW w:type="dxa" w:w="3960"/>
            <w:shd w:fill="F2F4F7" w:color="auto" w:val="clear"/>
            <w:vAlign w:val="center"/>
          </w:tcPr>
          <w:p>
            <w:pPr>
              <w:spacing w:after="0" w:line="240"/>
            </w:pPr>
            <w:r>
              <w:rPr>
                <w:b w:val="false"/>
                <w:bCs w:val="false"/>
                <w:color w:val="17212B"/>
                <w:sz w:val="19"/>
                <w:szCs w:val="19"/>
              </w:rPr>
              <w:t xml:space="preserve">Authoritative scoreboard</w:t>
            </w:r>
          </w:p>
        </w:tc>
      </w:tr>
    </w:tbl>
    <w:p>
      <w:pPr>
        <w:pStyle w:val="Heading2"/>
      </w:pPr>
      <w:r>
        <w:t xml:space="preserve">The five published judging criteria</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2400"/>
        <w:gridCol w:w="4400"/>
        <w:gridCol w:w="2320"/>
      </w:tblGrid>
      <w:tr>
        <w:trPr>
          <w:cantSplit/>
          <w:tblHeader/>
        </w:trPr>
        <w:tc>
          <w:tcPr>
            <w:tcW w:type="dxa" w:w="2400"/>
            <w:shd w:fill="1A1A1A" w:color="auto" w:val="clear"/>
            <w:vAlign w:val="center"/>
          </w:tcPr>
          <w:p>
            <w:pPr>
              <w:spacing w:after="0" w:line="240"/>
            </w:pPr>
            <w:r>
              <w:rPr>
                <w:b/>
                <w:bCs/>
                <w:color w:val="FFFFFF"/>
                <w:sz w:val="19"/>
                <w:szCs w:val="19"/>
              </w:rPr>
              <w:t xml:space="preserve">Criterion</w:t>
            </w:r>
          </w:p>
        </w:tc>
        <w:tc>
          <w:tcPr>
            <w:tcW w:type="dxa" w:w="4400"/>
            <w:shd w:fill="1A1A1A" w:color="auto" w:val="clear"/>
            <w:vAlign w:val="center"/>
          </w:tcPr>
          <w:p>
            <w:pPr>
              <w:spacing w:after="0" w:line="240"/>
            </w:pPr>
            <w:r>
              <w:rPr>
                <w:b/>
                <w:bCs/>
                <w:color w:val="FFFFFF"/>
                <w:sz w:val="19"/>
                <w:szCs w:val="19"/>
              </w:rPr>
              <w:t xml:space="preserve">Primary evidence</w:t>
            </w:r>
          </w:p>
        </w:tc>
        <w:tc>
          <w:tcPr>
            <w:tcW w:type="dxa" w:w="2320"/>
            <w:shd w:fill="1A1A1A" w:color="auto" w:val="clear"/>
            <w:vAlign w:val="center"/>
          </w:tcPr>
          <w:p>
            <w:pPr>
              <w:spacing w:after="0" w:line="240"/>
            </w:pPr>
            <w:r>
              <w:rPr>
                <w:b/>
                <w:bCs/>
                <w:color w:val="FFFFFF"/>
                <w:sz w:val="19"/>
                <w:szCs w:val="19"/>
              </w:rPr>
              <w:t xml:space="preserve">Measured value</w:t>
            </w:r>
          </w:p>
        </w:tc>
      </w:tr>
      <w:tr>
        <w:trPr>
          <w:cantSplit/>
          <w:tblHeader w:val="false"/>
        </w:trPr>
        <w:tc>
          <w:tcPr>
            <w:tcW w:type="dxa" w:w="2400"/>
            <w:vAlign w:val="center"/>
          </w:tcPr>
          <w:p>
            <w:pPr>
              <w:spacing w:after="0" w:line="240"/>
            </w:pPr>
            <w:r>
              <w:rPr>
                <w:b w:val="false"/>
                <w:bCs w:val="false"/>
                <w:color w:val="17212B"/>
                <w:sz w:val="19"/>
                <w:szCs w:val="19"/>
              </w:rPr>
              <w:t xml:space="preserve">Diversity of attacks identified</w:t>
            </w:r>
          </w:p>
        </w:tc>
        <w:tc>
          <w:tcPr>
            <w:tcW w:type="dxa" w:w="4400"/>
            <w:vAlign w:val="center"/>
          </w:tcPr>
          <w:p>
            <w:pPr>
              <w:spacing w:after="0" w:line="240"/>
            </w:pPr>
            <w:r>
              <w:rPr>
                <w:b w:val="false"/>
                <w:bCs w:val="false"/>
                <w:color w:val="17212B"/>
                <w:sz w:val="19"/>
                <w:szCs w:val="19"/>
              </w:rPr>
              <w:t xml:space="preserve">20 GenAI-accelerated families across 7 channels and rails; 5 compiled end to end</w:t>
            </w:r>
          </w:p>
        </w:tc>
        <w:tc>
          <w:tcPr>
            <w:tcW w:type="dxa" w:w="2320"/>
            <w:vAlign w:val="center"/>
          </w:tcPr>
          <w:p>
            <w:pPr>
              <w:spacing w:after="0" w:line="240"/>
            </w:pPr>
            <w:r>
              <w:rPr>
                <w:b w:val="false"/>
                <w:bCs w:val="false"/>
                <w:color w:val="17212B"/>
                <w:sz w:val="19"/>
                <w:szCs w:val="19"/>
              </w:rPr>
              <w:t xml:space="preserve">5 simulated</w:t>
            </w:r>
          </w:p>
        </w:tc>
      </w:tr>
      <w:tr>
        <w:trPr>
          <w:cantSplit/>
          <w:tblHeader w:val="false"/>
        </w:trPr>
        <w:tc>
          <w:tcPr>
            <w:tcW w:type="dxa" w:w="2400"/>
            <w:shd w:fill="F2F4F7" w:color="auto" w:val="clear"/>
            <w:vAlign w:val="center"/>
          </w:tcPr>
          <w:p>
            <w:pPr>
              <w:spacing w:after="0" w:line="240"/>
            </w:pPr>
            <w:r>
              <w:rPr>
                <w:b w:val="false"/>
                <w:bCs w:val="false"/>
                <w:color w:val="17212B"/>
                <w:sz w:val="19"/>
                <w:szCs w:val="19"/>
              </w:rPr>
              <w:t xml:space="preserve">Fidelity of attacks in simulation</w:t>
            </w:r>
          </w:p>
        </w:tc>
        <w:tc>
          <w:tcPr>
            <w:tcW w:type="dxa" w:w="4400"/>
            <w:shd w:fill="F2F4F7" w:color="auto" w:val="clear"/>
            <w:vAlign w:val="center"/>
          </w:tcPr>
          <w:p>
            <w:pPr>
              <w:spacing w:after="0" w:line="240"/>
            </w:pPr>
            <w:r>
              <w:rPr>
                <w:b w:val="false"/>
                <w:bCs w:val="false"/>
                <w:color w:val="17212B"/>
                <w:sz w:val="19"/>
                <w:szCs w:val="19"/>
              </w:rPr>
              <w:t xml:space="preserve">1,200-customer network; ATO rides a real population account; bounded genome; realism penalties</w:t>
            </w:r>
          </w:p>
        </w:tc>
        <w:tc>
          <w:tcPr>
            <w:tcW w:type="dxa" w:w="2320"/>
            <w:shd w:fill="F2F4F7" w:color="auto" w:val="clear"/>
            <w:vAlign w:val="center"/>
          </w:tcPr>
          <w:p>
            <w:pPr>
              <w:spacing w:after="0" w:line="240"/>
            </w:pPr>
            <w:r>
              <w:rPr>
                <w:b w:val="false"/>
                <w:bCs w:val="false"/>
                <w:color w:val="17212B"/>
                <w:sz w:val="19"/>
                <w:szCs w:val="19"/>
              </w:rPr>
              <w:t xml:space="preserve">Deterministic</w:t>
            </w:r>
          </w:p>
        </w:tc>
      </w:tr>
      <w:tr>
        <w:trPr>
          <w:cantSplit/>
          <w:tblHeader w:val="false"/>
        </w:trPr>
        <w:tc>
          <w:tcPr>
            <w:tcW w:type="dxa" w:w="2400"/>
            <w:vAlign w:val="center"/>
          </w:tcPr>
          <w:p>
            <w:pPr>
              <w:spacing w:after="0" w:line="240"/>
            </w:pPr>
            <w:r>
              <w:rPr>
                <w:b w:val="false"/>
                <w:bCs w:val="false"/>
                <w:color w:val="17212B"/>
                <w:sz w:val="19"/>
                <w:szCs w:val="19"/>
              </w:rPr>
              <w:t xml:space="preserve">Detection algorithm efficacy</w:t>
            </w:r>
          </w:p>
        </w:tc>
        <w:tc>
          <w:tcPr>
            <w:tcW w:type="dxa" w:w="4400"/>
            <w:vAlign w:val="center"/>
          </w:tcPr>
          <w:p>
            <w:pPr>
              <w:spacing w:after="0" w:line="240"/>
            </w:pPr>
            <w:r>
              <w:rPr>
                <w:b w:val="false"/>
                <w:bCs w:val="false"/>
                <w:color w:val="17212B"/>
                <w:sz w:val="19"/>
                <w:szCs w:val="19"/>
              </w:rPr>
              <w:t xml:space="preserve">Swept operating point, tie-aware ROC-AUC, paired McNemar test, Wilson intervals</w:t>
            </w:r>
          </w:p>
        </w:tc>
        <w:tc>
          <w:tcPr>
            <w:tcW w:type="dxa" w:w="2320"/>
            <w:vAlign w:val="center"/>
          </w:tcPr>
          <w:p>
            <w:pPr>
              <w:spacing w:after="0" w:line="240"/>
            </w:pPr>
            <w:r>
              <w:rPr>
                <w:b w:val="false"/>
                <w:bCs w:val="false"/>
                <w:color w:val="17212B"/>
                <w:sz w:val="19"/>
                <w:szCs w:val="19"/>
              </w:rPr>
              <w:t xml:space="preserve">AUC 98.02%</w:t>
            </w:r>
          </w:p>
        </w:tc>
      </w:tr>
      <w:tr>
        <w:trPr>
          <w:cantSplit/>
          <w:tblHeader w:val="false"/>
        </w:trPr>
        <w:tc>
          <w:tcPr>
            <w:tcW w:type="dxa" w:w="2400"/>
            <w:shd w:fill="F2F4F7" w:color="auto" w:val="clear"/>
            <w:vAlign w:val="center"/>
          </w:tcPr>
          <w:p>
            <w:pPr>
              <w:spacing w:after="0" w:line="240"/>
            </w:pPr>
            <w:r>
              <w:rPr>
                <w:b w:val="false"/>
                <w:bCs w:val="false"/>
                <w:color w:val="17212B"/>
                <w:sz w:val="19"/>
                <w:szCs w:val="19"/>
              </w:rPr>
              <w:t xml:space="preserve">Novelty of the overall solution</w:t>
            </w:r>
          </w:p>
        </w:tc>
        <w:tc>
          <w:tcPr>
            <w:tcW w:type="dxa" w:w="4400"/>
            <w:shd w:fill="F2F4F7" w:color="auto" w:val="clear"/>
            <w:vAlign w:val="center"/>
          </w:tcPr>
          <w:p>
            <w:pPr>
              <w:spacing w:after="0" w:line="240"/>
            </w:pPr>
            <w:r>
              <w:rPr>
                <w:b w:val="false"/>
                <w:bCs w:val="false"/>
                <w:color w:val="17212B"/>
                <w:sz w:val="19"/>
                <w:szCs w:val="19"/>
              </w:rPr>
              <w:t xml:space="preserve">Closed loop with a schema-bounded adversary and a deterministic referee that neither AI can argue with</w:t>
            </w:r>
          </w:p>
        </w:tc>
        <w:tc>
          <w:tcPr>
            <w:tcW w:type="dxa" w:w="2320"/>
            <w:shd w:fill="F2F4F7" w:color="auto" w:val="clear"/>
            <w:vAlign w:val="center"/>
          </w:tcPr>
          <w:p>
            <w:pPr>
              <w:spacing w:after="0" w:line="240"/>
            </w:pPr>
            <w:r>
              <w:rPr>
                <w:b w:val="false"/>
                <w:bCs w:val="false"/>
                <w:color w:val="17212B"/>
                <w:sz w:val="19"/>
                <w:szCs w:val="19"/>
              </w:rPr>
              <w:t xml:space="preserve">Whole system</w:t>
            </w:r>
          </w:p>
        </w:tc>
      </w:tr>
      <w:tr>
        <w:trPr>
          <w:cantSplit/>
          <w:tblHeader w:val="false"/>
        </w:trPr>
        <w:tc>
          <w:tcPr>
            <w:tcW w:type="dxa" w:w="2400"/>
            <w:vAlign w:val="center"/>
          </w:tcPr>
          <w:p>
            <w:pPr>
              <w:spacing w:after="0" w:line="240"/>
            </w:pPr>
            <w:r>
              <w:rPr>
                <w:b w:val="false"/>
                <w:bCs w:val="false"/>
                <w:color w:val="17212B"/>
                <w:sz w:val="19"/>
                <w:szCs w:val="19"/>
              </w:rPr>
              <w:t xml:space="preserve">Real-world feasibility</w:t>
            </w:r>
          </w:p>
        </w:tc>
        <w:tc>
          <w:tcPr>
            <w:tcW w:type="dxa" w:w="4400"/>
            <w:vAlign w:val="center"/>
          </w:tcPr>
          <w:p>
            <w:pPr>
              <w:spacing w:after="0" w:line="240"/>
            </w:pPr>
            <w:r>
              <w:rPr>
                <w:b w:val="false"/>
                <w:bCs w:val="false"/>
                <w:color w:val="17212B"/>
                <w:sz w:val="19"/>
                <w:szCs w:val="19"/>
              </w:rPr>
              <w:t xml:space="preserve">Deployment-prevalence calibration, decline/review separation, streaming feature pass, audit ledger</w:t>
            </w:r>
          </w:p>
        </w:tc>
        <w:tc>
          <w:tcPr>
            <w:tcW w:type="dxa" w:w="2320"/>
            <w:vAlign w:val="center"/>
          </w:tcPr>
          <w:p>
            <w:pPr>
              <w:spacing w:after="0" w:line="240"/>
            </w:pPr>
            <w:r>
              <w:rPr>
                <w:b w:val="false"/>
                <w:bCs w:val="false"/>
                <w:color w:val="17212B"/>
                <w:sz w:val="19"/>
                <w:szCs w:val="19"/>
              </w:rPr>
              <w:t xml:space="preserve">2,051,601 tx/s</w:t>
            </w:r>
          </w:p>
        </w:tc>
      </w:tr>
    </w:tbl>
    <w:p>
      <w:r>
        <w:br w:type="page"/>
      </w:r>
    </w:p>
    <w:p>
      <w:pPr>
        <w:pStyle w:val="Heading1"/>
      </w:pPr>
      <w:r>
        <w:t xml:space="preserve">6. IDENTIFY</w:t>
      </w:r>
    </w:p>
    <w:p>
      <w:pPr>
        <w:pStyle w:val="Heading2"/>
      </w:pPr>
      <w:r>
        <w:t xml:space="preserve">Threat Research</w:t>
      </w:r>
    </w:p>
    <w:p>
      <w:r>
        <w:t xml:space="preserve">The threat review covers twenty defensive families across seven channels and rails. Five are compiled and scored end to end by the payment twin. The rest are documented with the sensor they would need rather than faked — simulating authorised-push-payment fraud or deepfake KYC at transaction level would mean inventing evidence the sensor cannot see.</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1850"/>
        <w:gridCol w:w="2500"/>
        <w:gridCol w:w="2950"/>
        <w:gridCol w:w="1820"/>
      </w:tblGrid>
      <w:tr>
        <w:trPr>
          <w:cantSplit/>
          <w:tblHeader/>
        </w:trPr>
        <w:tc>
          <w:tcPr>
            <w:tcW w:type="dxa" w:w="1850"/>
            <w:shd w:fill="1A1A1A" w:color="auto" w:val="clear"/>
            <w:vAlign w:val="center"/>
          </w:tcPr>
          <w:p>
            <w:pPr>
              <w:spacing w:after="0" w:line="240"/>
            </w:pPr>
            <w:r>
              <w:rPr>
                <w:b/>
                <w:bCs/>
                <w:color w:val="FFFFFF"/>
                <w:sz w:val="19"/>
                <w:szCs w:val="19"/>
              </w:rPr>
              <w:t xml:space="preserve">Family</w:t>
            </w:r>
          </w:p>
        </w:tc>
        <w:tc>
          <w:tcPr>
            <w:tcW w:type="dxa" w:w="2500"/>
            <w:shd w:fill="1A1A1A" w:color="auto" w:val="clear"/>
            <w:vAlign w:val="center"/>
          </w:tcPr>
          <w:p>
            <w:pPr>
              <w:spacing w:after="0" w:line="240"/>
            </w:pPr>
            <w:r>
              <w:rPr>
                <w:b/>
                <w:bCs/>
                <w:color w:val="FFFFFF"/>
                <w:sz w:val="19"/>
                <w:szCs w:val="19"/>
              </w:rPr>
              <w:t xml:space="preserve">GenAI advantage</w:t>
            </w:r>
          </w:p>
        </w:tc>
        <w:tc>
          <w:tcPr>
            <w:tcW w:type="dxa" w:w="2950"/>
            <w:shd w:fill="1A1A1A" w:color="auto" w:val="clear"/>
            <w:vAlign w:val="center"/>
          </w:tcPr>
          <w:p>
            <w:pPr>
              <w:spacing w:after="0" w:line="240"/>
            </w:pPr>
            <w:r>
              <w:rPr>
                <w:b/>
                <w:bCs/>
                <w:color w:val="FFFFFF"/>
                <w:sz w:val="19"/>
                <w:szCs w:val="19"/>
              </w:rPr>
              <w:t xml:space="preserve">Expected blind spot</w:t>
            </w:r>
          </w:p>
        </w:tc>
        <w:tc>
          <w:tcPr>
            <w:tcW w:type="dxa" w:w="1820"/>
            <w:shd w:fill="1A1A1A" w:color="auto" w:val="clear"/>
            <w:vAlign w:val="center"/>
          </w:tcPr>
          <w:p>
            <w:pPr>
              <w:spacing w:after="0" w:line="240"/>
            </w:pPr>
            <w:r>
              <w:rPr>
                <w:b/>
                <w:bCs/>
                <w:color w:val="FFFFFF"/>
                <w:sz w:val="19"/>
                <w:szCs w:val="19"/>
              </w:rPr>
              <w:t xml:space="preserve">MVP</w:t>
            </w:r>
          </w:p>
        </w:tc>
      </w:tr>
      <w:tr>
        <w:trPr>
          <w:cantSplit/>
          <w:tblHeader w:val="false"/>
        </w:trPr>
        <w:tc>
          <w:tcPr>
            <w:tcW w:type="dxa" w:w="1850"/>
            <w:vAlign w:val="center"/>
          </w:tcPr>
          <w:p>
            <w:pPr>
              <w:spacing w:after="0" w:line="240"/>
            </w:pPr>
            <w:r>
              <w:rPr>
                <w:b w:val="false"/>
                <w:bCs w:val="false"/>
                <w:color w:val="17212B"/>
                <w:sz w:val="19"/>
                <w:szCs w:val="19"/>
              </w:rPr>
              <w:t xml:space="preserve">Adaptive card testing</w:t>
            </w:r>
          </w:p>
        </w:tc>
        <w:tc>
          <w:tcPr>
            <w:tcW w:type="dxa" w:w="2500"/>
            <w:vAlign w:val="center"/>
          </w:tcPr>
          <w:p>
            <w:pPr>
              <w:spacing w:after="0" w:line="240"/>
            </w:pPr>
            <w:r>
              <w:rPr>
                <w:b w:val="false"/>
                <w:bCs w:val="false"/>
                <w:color w:val="17212B"/>
                <w:sz w:val="19"/>
                <w:szCs w:val="19"/>
              </w:rPr>
              <w:t xml:space="preserve">Changes probes after rejection</w:t>
            </w:r>
          </w:p>
        </w:tc>
        <w:tc>
          <w:tcPr>
            <w:tcW w:type="dxa" w:w="2950"/>
            <w:vAlign w:val="center"/>
          </w:tcPr>
          <w:p>
            <w:pPr>
              <w:spacing w:after="0" w:line="240"/>
            </w:pPr>
            <w:r>
              <w:rPr>
                <w:b w:val="false"/>
                <w:bCs w:val="false"/>
                <w:color w:val="17212B"/>
                <w:sz w:val="19"/>
                <w:szCs w:val="19"/>
              </w:rPr>
              <w:t xml:space="preserve">Few-probe variants</w:t>
            </w:r>
          </w:p>
        </w:tc>
        <w:tc>
          <w:tcPr>
            <w:tcW w:type="dxa" w:w="1820"/>
            <w:vAlign w:val="center"/>
          </w:tcPr>
          <w:p>
            <w:pPr>
              <w:spacing w:after="0" w:line="240"/>
            </w:pPr>
            <w:r>
              <w:rPr>
                <w:b w:val="false"/>
                <w:bCs w:val="false"/>
                <w:color w:val="17212B"/>
                <w:sz w:val="19"/>
                <w:szCs w:val="19"/>
              </w:rPr>
              <w:t xml:space="preserve">SIMULATED</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Low-and-slow camouflage</w:t>
            </w:r>
          </w:p>
        </w:tc>
        <w:tc>
          <w:tcPr>
            <w:tcW w:type="dxa" w:w="2500"/>
            <w:shd w:fill="F2F4F7" w:color="auto" w:val="clear"/>
            <w:vAlign w:val="center"/>
          </w:tcPr>
          <w:p>
            <w:pPr>
              <w:spacing w:after="0" w:line="240"/>
            </w:pPr>
            <w:r>
              <w:rPr>
                <w:b w:val="false"/>
                <w:bCs w:val="false"/>
                <w:color w:val="17212B"/>
                <w:sz w:val="19"/>
                <w:szCs w:val="19"/>
              </w:rPr>
              <w:t xml:space="preserve">Tunes timing and amount</w:t>
            </w:r>
          </w:p>
        </w:tc>
        <w:tc>
          <w:tcPr>
            <w:tcW w:type="dxa" w:w="2950"/>
            <w:shd w:fill="F2F4F7" w:color="auto" w:val="clear"/>
            <w:vAlign w:val="center"/>
          </w:tcPr>
          <w:p>
            <w:pPr>
              <w:spacing w:after="0" w:line="240"/>
            </w:pPr>
            <w:r>
              <w:rPr>
                <w:b w:val="false"/>
                <w:bCs w:val="false"/>
                <w:color w:val="17212B"/>
                <w:sz w:val="19"/>
                <w:szCs w:val="19"/>
              </w:rPr>
              <w:t xml:space="preserve">Mild point-wise signals</w:t>
            </w:r>
          </w:p>
        </w:tc>
        <w:tc>
          <w:tcPr>
            <w:tcW w:type="dxa" w:w="1820"/>
            <w:shd w:fill="F2F4F7" w:color="auto" w:val="clear"/>
            <w:vAlign w:val="center"/>
          </w:tcPr>
          <w:p>
            <w:pPr>
              <w:spacing w:after="0" w:line="240"/>
            </w:pPr>
            <w:r>
              <w:rPr>
                <w:b w:val="false"/>
                <w:bCs w:val="false"/>
                <w:color w:val="17212B"/>
                <w:sz w:val="19"/>
                <w:szCs w:val="19"/>
              </w:rPr>
              <w:t xml:space="preserve">SIMULATED</w:t>
            </w:r>
          </w:p>
        </w:tc>
      </w:tr>
      <w:tr>
        <w:trPr>
          <w:cantSplit/>
          <w:tblHeader w:val="false"/>
        </w:trPr>
        <w:tc>
          <w:tcPr>
            <w:tcW w:type="dxa" w:w="1850"/>
            <w:vAlign w:val="center"/>
          </w:tcPr>
          <w:p>
            <w:pPr>
              <w:spacing w:after="0" w:line="240"/>
            </w:pPr>
            <w:r>
              <w:rPr>
                <w:b w:val="false"/>
                <w:bCs w:val="false"/>
                <w:color w:val="17212B"/>
                <w:sz w:val="19"/>
                <w:szCs w:val="19"/>
              </w:rPr>
              <w:t xml:space="preserve">Coordinated mule fan-out</w:t>
            </w:r>
          </w:p>
        </w:tc>
        <w:tc>
          <w:tcPr>
            <w:tcW w:type="dxa" w:w="2500"/>
            <w:vAlign w:val="center"/>
          </w:tcPr>
          <w:p>
            <w:pPr>
              <w:spacing w:after="0" w:line="240"/>
            </w:pPr>
            <w:r>
              <w:rPr>
                <w:b w:val="false"/>
                <w:bCs w:val="false"/>
                <w:color w:val="17212B"/>
                <w:sz w:val="19"/>
                <w:szCs w:val="19"/>
              </w:rPr>
              <w:t xml:space="preserve">Creates coherent identity batches</w:t>
            </w:r>
          </w:p>
        </w:tc>
        <w:tc>
          <w:tcPr>
            <w:tcW w:type="dxa" w:w="2950"/>
            <w:vAlign w:val="center"/>
          </w:tcPr>
          <w:p>
            <w:pPr>
              <w:spacing w:after="0" w:line="240"/>
            </w:pPr>
            <w:r>
              <w:rPr>
                <w:b w:val="false"/>
                <w:bCs w:val="false"/>
                <w:color w:val="17212B"/>
                <w:sz w:val="19"/>
                <w:szCs w:val="19"/>
              </w:rPr>
              <w:t xml:space="preserve">Risk lives between accounts</w:t>
            </w:r>
          </w:p>
        </w:tc>
        <w:tc>
          <w:tcPr>
            <w:tcW w:type="dxa" w:w="1820"/>
            <w:vAlign w:val="center"/>
          </w:tcPr>
          <w:p>
            <w:pPr>
              <w:spacing w:after="0" w:line="240"/>
            </w:pPr>
            <w:r>
              <w:rPr>
                <w:b w:val="false"/>
                <w:bCs w:val="false"/>
                <w:color w:val="17212B"/>
                <w:sz w:val="19"/>
                <w:szCs w:val="19"/>
              </w:rPr>
              <w:t xml:space="preserve">SIMULATED</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Account takeover</w:t>
            </w:r>
          </w:p>
        </w:tc>
        <w:tc>
          <w:tcPr>
            <w:tcW w:type="dxa" w:w="2500"/>
            <w:shd w:fill="F2F4F7" w:color="auto" w:val="clear"/>
            <w:vAlign w:val="center"/>
          </w:tcPr>
          <w:p>
            <w:pPr>
              <w:spacing w:after="0" w:line="240"/>
            </w:pPr>
            <w:r>
              <w:rPr>
                <w:b w:val="false"/>
                <w:bCs w:val="false"/>
                <w:color w:val="17212B"/>
                <w:sz w:val="19"/>
                <w:szCs w:val="19"/>
              </w:rPr>
              <w:t xml:space="preserve">Paces the takeover around session-risk windows</w:t>
            </w:r>
          </w:p>
        </w:tc>
        <w:tc>
          <w:tcPr>
            <w:tcW w:type="dxa" w:w="2950"/>
            <w:shd w:fill="F2F4F7" w:color="auto" w:val="clear"/>
            <w:vAlign w:val="center"/>
          </w:tcPr>
          <w:p>
            <w:pPr>
              <w:spacing w:after="0" w:line="240"/>
            </w:pPr>
            <w:r>
              <w:rPr>
                <w:b w:val="false"/>
                <w:bCs w:val="false"/>
                <w:color w:val="17212B"/>
                <w:sz w:val="19"/>
                <w:szCs w:val="19"/>
              </w:rPr>
              <w:t xml:space="preserve">Warmed device on a mature account</w:t>
            </w:r>
          </w:p>
        </w:tc>
        <w:tc>
          <w:tcPr>
            <w:tcW w:type="dxa" w:w="1820"/>
            <w:shd w:fill="F2F4F7" w:color="auto" w:val="clear"/>
            <w:vAlign w:val="center"/>
          </w:tcPr>
          <w:p>
            <w:pPr>
              <w:spacing w:after="0" w:line="240"/>
            </w:pPr>
            <w:r>
              <w:rPr>
                <w:b w:val="false"/>
                <w:bCs w:val="false"/>
                <w:color w:val="17212B"/>
                <w:sz w:val="19"/>
                <w:szCs w:val="19"/>
              </w:rPr>
              <w:t xml:space="preserve">SIMULATED</w:t>
            </w:r>
          </w:p>
        </w:tc>
      </w:tr>
      <w:tr>
        <w:trPr>
          <w:cantSplit/>
          <w:tblHeader w:val="false"/>
        </w:trPr>
        <w:tc>
          <w:tcPr>
            <w:tcW w:type="dxa" w:w="1850"/>
            <w:vAlign w:val="center"/>
          </w:tcPr>
          <w:p>
            <w:pPr>
              <w:spacing w:after="0" w:line="240"/>
            </w:pPr>
            <w:r>
              <w:rPr>
                <w:b w:val="false"/>
                <w:bCs w:val="false"/>
                <w:color w:val="17212B"/>
                <w:sz w:val="19"/>
                <w:szCs w:val="19"/>
              </w:rPr>
              <w:t xml:space="preserve">Structuring across storefronts</w:t>
            </w:r>
          </w:p>
        </w:tc>
        <w:tc>
          <w:tcPr>
            <w:tcW w:type="dxa" w:w="2500"/>
            <w:vAlign w:val="center"/>
          </w:tcPr>
          <w:p>
            <w:pPr>
              <w:spacing w:after="0" w:line="240"/>
            </w:pPr>
            <w:r>
              <w:rPr>
                <w:b w:val="false"/>
                <w:bCs w:val="false"/>
                <w:color w:val="17212B"/>
                <w:sz w:val="19"/>
                <w:szCs w:val="19"/>
              </w:rPr>
              <w:t xml:space="preserve">Splits value under a ceiling across merchants</w:t>
            </w:r>
          </w:p>
        </w:tc>
        <w:tc>
          <w:tcPr>
            <w:tcW w:type="dxa" w:w="2950"/>
            <w:vAlign w:val="center"/>
          </w:tcPr>
          <w:p>
            <w:pPr>
              <w:spacing w:after="0" w:line="240"/>
            </w:pPr>
            <w:r>
              <w:rPr>
                <w:b w:val="false"/>
                <w:bCs w:val="false"/>
                <w:color w:val="17212B"/>
                <w:sz w:val="19"/>
                <w:szCs w:val="19"/>
              </w:rPr>
              <w:t xml:space="preserve">No merchant sees the repetition</w:t>
            </w:r>
          </w:p>
        </w:tc>
        <w:tc>
          <w:tcPr>
            <w:tcW w:type="dxa" w:w="1820"/>
            <w:vAlign w:val="center"/>
          </w:tcPr>
          <w:p>
            <w:pPr>
              <w:spacing w:after="0" w:line="240"/>
            </w:pPr>
            <w:r>
              <w:rPr>
                <w:b w:val="false"/>
                <w:bCs w:val="false"/>
                <w:color w:val="17212B"/>
                <w:sz w:val="19"/>
                <w:szCs w:val="19"/>
              </w:rPr>
              <w:t xml:space="preserve">SIMULATED</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Synthetic identity</w:t>
            </w:r>
          </w:p>
        </w:tc>
        <w:tc>
          <w:tcPr>
            <w:tcW w:type="dxa" w:w="2500"/>
            <w:shd w:fill="F2F4F7" w:color="auto" w:val="clear"/>
            <w:vAlign w:val="center"/>
          </w:tcPr>
          <w:p>
            <w:pPr>
              <w:spacing w:after="0" w:line="240"/>
            </w:pPr>
            <w:r>
              <w:rPr>
                <w:b w:val="false"/>
                <w:bCs w:val="false"/>
                <w:color w:val="17212B"/>
                <w:sz w:val="19"/>
                <w:szCs w:val="19"/>
              </w:rPr>
              <w:t xml:space="preserve">Builds plausible histories</w:t>
            </w:r>
          </w:p>
        </w:tc>
        <w:tc>
          <w:tcPr>
            <w:tcW w:type="dxa" w:w="2950"/>
            <w:shd w:fill="F2F4F7" w:color="auto" w:val="clear"/>
            <w:vAlign w:val="center"/>
          </w:tcPr>
          <w:p>
            <w:pPr>
              <w:spacing w:after="0" w:line="240"/>
            </w:pPr>
            <w:r>
              <w:rPr>
                <w:b w:val="false"/>
                <w:bCs w:val="false"/>
                <w:color w:val="17212B"/>
                <w:sz w:val="19"/>
                <w:szCs w:val="19"/>
              </w:rPr>
              <w:t xml:space="preserve">Mature synthetic profiles</w:t>
            </w:r>
          </w:p>
        </w:tc>
        <w:tc>
          <w:tcPr>
            <w:tcW w:type="dxa" w:w="1820"/>
            <w:shd w:fill="F2F4F7" w:color="auto" w:val="clear"/>
            <w:vAlign w:val="center"/>
          </w:tcPr>
          <w:p>
            <w:pPr>
              <w:spacing w:after="0" w:line="240"/>
            </w:pPr>
            <w:r>
              <w:rPr>
                <w:b w:val="false"/>
                <w:bCs w:val="false"/>
                <w:color w:val="17212B"/>
                <w:sz w:val="19"/>
                <w:szCs w:val="19"/>
              </w:rPr>
              <w:t xml:space="preserve">Research</w:t>
            </w:r>
          </w:p>
        </w:tc>
      </w:tr>
      <w:tr>
        <w:trPr>
          <w:cantSplit/>
          <w:tblHeader w:val="false"/>
        </w:trPr>
        <w:tc>
          <w:tcPr>
            <w:tcW w:type="dxa" w:w="1850"/>
            <w:vAlign w:val="center"/>
          </w:tcPr>
          <w:p>
            <w:pPr>
              <w:spacing w:after="0" w:line="240"/>
            </w:pPr>
            <w:r>
              <w:rPr>
                <w:b w:val="false"/>
                <w:bCs w:val="false"/>
                <w:color w:val="17212B"/>
                <w:sz w:val="19"/>
                <w:szCs w:val="19"/>
              </w:rPr>
              <w:t xml:space="preserve">Velocity camouflage</w:t>
            </w:r>
          </w:p>
        </w:tc>
        <w:tc>
          <w:tcPr>
            <w:tcW w:type="dxa" w:w="2500"/>
            <w:vAlign w:val="center"/>
          </w:tcPr>
          <w:p>
            <w:pPr>
              <w:spacing w:after="0" w:line="240"/>
            </w:pPr>
            <w:r>
              <w:rPr>
                <w:b w:val="false"/>
                <w:bCs w:val="false"/>
                <w:color w:val="17212B"/>
                <w:sz w:val="19"/>
                <w:szCs w:val="19"/>
              </w:rPr>
              <w:t xml:space="preserve">Targets rate-window edges</w:t>
            </w:r>
          </w:p>
        </w:tc>
        <w:tc>
          <w:tcPr>
            <w:tcW w:type="dxa" w:w="2950"/>
            <w:vAlign w:val="center"/>
          </w:tcPr>
          <w:p>
            <w:pPr>
              <w:spacing w:after="0" w:line="240"/>
            </w:pPr>
            <w:r>
              <w:rPr>
                <w:b w:val="false"/>
                <w:bCs w:val="false"/>
                <w:color w:val="17212B"/>
                <w:sz w:val="19"/>
                <w:szCs w:val="19"/>
              </w:rPr>
              <w:t xml:space="preserve">Sub-window pacing</w:t>
            </w:r>
          </w:p>
        </w:tc>
        <w:tc>
          <w:tcPr>
            <w:tcW w:type="dxa" w:w="1820"/>
            <w:vAlign w:val="center"/>
          </w:tcPr>
          <w:p>
            <w:pPr>
              <w:spacing w:after="0" w:line="240"/>
            </w:pPr>
            <w:r>
              <w:rPr>
                <w:b w:val="false"/>
                <w:bCs w:val="false"/>
                <w:color w:val="17212B"/>
                <w:sz w:val="19"/>
                <w:szCs w:val="19"/>
              </w:rPr>
              <w:t xml:space="preserve">Research</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BIN enumeration</w:t>
            </w:r>
          </w:p>
        </w:tc>
        <w:tc>
          <w:tcPr>
            <w:tcW w:type="dxa" w:w="2500"/>
            <w:shd w:fill="F2F4F7" w:color="auto" w:val="clear"/>
            <w:vAlign w:val="center"/>
          </w:tcPr>
          <w:p>
            <w:pPr>
              <w:spacing w:after="0" w:line="240"/>
            </w:pPr>
            <w:r>
              <w:rPr>
                <w:b w:val="false"/>
                <w:bCs w:val="false"/>
                <w:color w:val="17212B"/>
                <w:sz w:val="19"/>
                <w:szCs w:val="19"/>
              </w:rPr>
              <w:t xml:space="preserve">Generated request signatures defeat fingerprinting</w:t>
            </w:r>
          </w:p>
        </w:tc>
        <w:tc>
          <w:tcPr>
            <w:tcW w:type="dxa" w:w="2950"/>
            <w:shd w:fill="F2F4F7" w:color="auto" w:val="clear"/>
            <w:vAlign w:val="center"/>
          </w:tcPr>
          <w:p>
            <w:pPr>
              <w:spacing w:after="0" w:line="240"/>
            </w:pPr>
            <w:r>
              <w:rPr>
                <w:b w:val="false"/>
                <w:bCs w:val="false"/>
                <w:color w:val="17212B"/>
                <w:sz w:val="19"/>
                <w:szCs w:val="19"/>
              </w:rPr>
              <w:t xml:space="preserve">Spread thin under every limit</w:t>
            </w:r>
          </w:p>
        </w:tc>
        <w:tc>
          <w:tcPr>
            <w:tcW w:type="dxa" w:w="1820"/>
            <w:shd w:fill="F2F4F7" w:color="auto" w:val="clear"/>
            <w:vAlign w:val="center"/>
          </w:tcPr>
          <w:p>
            <w:pPr>
              <w:spacing w:after="0" w:line="240"/>
            </w:pPr>
            <w:r>
              <w:rPr>
                <w:b w:val="false"/>
                <w:bCs w:val="false"/>
                <w:color w:val="17212B"/>
                <w:sz w:val="19"/>
                <w:szCs w:val="19"/>
              </w:rPr>
              <w:t xml:space="preserve">Research</w:t>
            </w:r>
          </w:p>
        </w:tc>
      </w:tr>
      <w:tr>
        <w:trPr>
          <w:cantSplit/>
          <w:tblHeader w:val="false"/>
        </w:trPr>
        <w:tc>
          <w:tcPr>
            <w:tcW w:type="dxa" w:w="1850"/>
            <w:vAlign w:val="center"/>
          </w:tcPr>
          <w:p>
            <w:pPr>
              <w:spacing w:after="0" w:line="240"/>
            </w:pPr>
            <w:r>
              <w:rPr>
                <w:b w:val="false"/>
                <w:bCs w:val="false"/>
                <w:color w:val="17212B"/>
                <w:sz w:val="19"/>
                <w:szCs w:val="19"/>
              </w:rPr>
              <w:t xml:space="preserve">Relay and fallback abuse</w:t>
            </w:r>
          </w:p>
        </w:tc>
        <w:tc>
          <w:tcPr>
            <w:tcW w:type="dxa" w:w="2500"/>
            <w:vAlign w:val="center"/>
          </w:tcPr>
          <w:p>
            <w:pPr>
              <w:spacing w:after="0" w:line="240"/>
            </w:pPr>
            <w:r>
              <w:rPr>
                <w:b w:val="false"/>
                <w:bCs w:val="false"/>
                <w:color w:val="17212B"/>
                <w:sz w:val="19"/>
                <w:szCs w:val="19"/>
              </w:rPr>
              <w:t xml:space="preserve">Selects weak-fallback terminals, coordinates relay timing</w:t>
            </w:r>
          </w:p>
        </w:tc>
        <w:tc>
          <w:tcPr>
            <w:tcW w:type="dxa" w:w="2950"/>
            <w:vAlign w:val="center"/>
          </w:tcPr>
          <w:p>
            <w:pPr>
              <w:spacing w:after="0" w:line="240"/>
            </w:pPr>
            <w:r>
              <w:rPr>
                <w:b w:val="false"/>
                <w:bCs w:val="false"/>
                <w:color w:val="17212B"/>
                <w:sz w:val="19"/>
                <w:szCs w:val="19"/>
              </w:rPr>
              <w:t xml:space="preserve">Only visible across terminals</w:t>
            </w:r>
          </w:p>
        </w:tc>
        <w:tc>
          <w:tcPr>
            <w:tcW w:type="dxa" w:w="1820"/>
            <w:vAlign w:val="center"/>
          </w:tcPr>
          <w:p>
            <w:pPr>
              <w:spacing w:after="0" w:line="240"/>
            </w:pPr>
            <w:r>
              <w:rPr>
                <w:b w:val="false"/>
                <w:bCs w:val="false"/>
                <w:color w:val="17212B"/>
                <w:sz w:val="19"/>
                <w:szCs w:val="19"/>
              </w:rPr>
              <w:t xml:space="preserve">Research</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Token provisioning abuse</w:t>
            </w:r>
          </w:p>
        </w:tc>
        <w:tc>
          <w:tcPr>
            <w:tcW w:type="dxa" w:w="2500"/>
            <w:shd w:fill="F2F4F7" w:color="auto" w:val="clear"/>
            <w:vAlign w:val="center"/>
          </w:tcPr>
          <w:p>
            <w:pPr>
              <w:spacing w:after="0" w:line="240"/>
            </w:pPr>
            <w:r>
              <w:rPr>
                <w:b w:val="false"/>
                <w:bCs w:val="false"/>
                <w:color w:val="17212B"/>
                <w:sz w:val="19"/>
                <w:szCs w:val="19"/>
              </w:rPr>
              <w:t xml:space="preserve">Voice-cloned call-centre verification</w:t>
            </w:r>
          </w:p>
        </w:tc>
        <w:tc>
          <w:tcPr>
            <w:tcW w:type="dxa" w:w="2950"/>
            <w:shd w:fill="F2F4F7" w:color="auto" w:val="clear"/>
            <w:vAlign w:val="center"/>
          </w:tcPr>
          <w:p>
            <w:pPr>
              <w:spacing w:after="0" w:line="240"/>
            </w:pPr>
            <w:r>
              <w:rPr>
                <w:b w:val="false"/>
                <w:bCs w:val="false"/>
                <w:color w:val="17212B"/>
                <w:sz w:val="19"/>
                <w:szCs w:val="19"/>
              </w:rPr>
              <w:t xml:space="preserve">Provisioned token scores clean</w:t>
            </w:r>
          </w:p>
        </w:tc>
        <w:tc>
          <w:tcPr>
            <w:tcW w:type="dxa" w:w="1820"/>
            <w:shd w:fill="F2F4F7" w:color="auto" w:val="clear"/>
            <w:vAlign w:val="center"/>
          </w:tcPr>
          <w:p>
            <w:pPr>
              <w:spacing w:after="0" w:line="240"/>
            </w:pPr>
            <w:r>
              <w:rPr>
                <w:b w:val="false"/>
                <w:bCs w:val="false"/>
                <w:color w:val="17212B"/>
                <w:sz w:val="19"/>
                <w:szCs w:val="19"/>
              </w:rPr>
              <w:t xml:space="preserve">Research</w:t>
            </w:r>
          </w:p>
        </w:tc>
      </w:tr>
      <w:tr>
        <w:trPr>
          <w:cantSplit/>
          <w:tblHeader w:val="false"/>
        </w:trPr>
        <w:tc>
          <w:tcPr>
            <w:tcW w:type="dxa" w:w="1850"/>
            <w:vAlign w:val="center"/>
          </w:tcPr>
          <w:p>
            <w:pPr>
              <w:spacing w:after="0" w:line="240"/>
            </w:pPr>
            <w:r>
              <w:rPr>
                <w:b w:val="false"/>
                <w:bCs w:val="false"/>
                <w:color w:val="17212B"/>
                <w:sz w:val="19"/>
                <w:szCs w:val="19"/>
              </w:rPr>
              <w:t xml:space="preserve">Voice-clone step-up bypass</w:t>
            </w:r>
          </w:p>
        </w:tc>
        <w:tc>
          <w:tcPr>
            <w:tcW w:type="dxa" w:w="2500"/>
            <w:vAlign w:val="center"/>
          </w:tcPr>
          <w:p>
            <w:pPr>
              <w:spacing w:after="0" w:line="240"/>
            </w:pPr>
            <w:r>
              <w:rPr>
                <w:b w:val="false"/>
                <w:bCs w:val="false"/>
                <w:color w:val="17212B"/>
                <w:sz w:val="19"/>
                <w:szCs w:val="19"/>
              </w:rPr>
              <w:t xml:space="preserve">Real-time cloning from public audio</w:t>
            </w:r>
          </w:p>
        </w:tc>
        <w:tc>
          <w:tcPr>
            <w:tcW w:type="dxa" w:w="2950"/>
            <w:vAlign w:val="center"/>
          </w:tcPr>
          <w:p>
            <w:pPr>
              <w:spacing w:after="0" w:line="240"/>
            </w:pPr>
            <w:r>
              <w:rPr>
                <w:b w:val="false"/>
                <w:bCs w:val="false"/>
                <w:color w:val="17212B"/>
                <w:sz w:val="19"/>
                <w:szCs w:val="19"/>
              </w:rPr>
              <w:t xml:space="preserve">The verification is the surface</w:t>
            </w:r>
          </w:p>
        </w:tc>
        <w:tc>
          <w:tcPr>
            <w:tcW w:type="dxa" w:w="1820"/>
            <w:vAlign w:val="center"/>
          </w:tcPr>
          <w:p>
            <w:pPr>
              <w:spacing w:after="0" w:line="240"/>
            </w:pPr>
            <w:r>
              <w:rPr>
                <w:b w:val="false"/>
                <w:bCs w:val="false"/>
                <w:color w:val="17212B"/>
                <w:sz w:val="19"/>
                <w:szCs w:val="19"/>
              </w:rPr>
              <w:t xml:space="preserve">Research</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Refund and returnless abuse</w:t>
            </w:r>
          </w:p>
        </w:tc>
        <w:tc>
          <w:tcPr>
            <w:tcW w:type="dxa" w:w="2500"/>
            <w:shd w:fill="F2F4F7" w:color="auto" w:val="clear"/>
            <w:vAlign w:val="center"/>
          </w:tcPr>
          <w:p>
            <w:pPr>
              <w:spacing w:after="0" w:line="240"/>
            </w:pPr>
            <w:r>
              <w:rPr>
                <w:b w:val="false"/>
                <w:bCs w:val="false"/>
                <w:color w:val="17212B"/>
                <w:sz w:val="19"/>
                <w:szCs w:val="19"/>
              </w:rPr>
              <w:t xml:space="preserve">Dispute narratives generated per order</w:t>
            </w:r>
          </w:p>
        </w:tc>
        <w:tc>
          <w:tcPr>
            <w:tcW w:type="dxa" w:w="2950"/>
            <w:shd w:fill="F2F4F7" w:color="auto" w:val="clear"/>
            <w:vAlign w:val="center"/>
          </w:tcPr>
          <w:p>
            <w:pPr>
              <w:spacing w:after="0" w:line="240"/>
            </w:pPr>
            <w:r>
              <w:rPr>
                <w:b w:val="false"/>
                <w:bCs w:val="false"/>
                <w:color w:val="17212B"/>
                <w:sz w:val="19"/>
                <w:szCs w:val="19"/>
              </w:rPr>
              <w:t xml:space="preserve">Claims never accumulate anywhere</w:t>
            </w:r>
          </w:p>
        </w:tc>
        <w:tc>
          <w:tcPr>
            <w:tcW w:type="dxa" w:w="1820"/>
            <w:shd w:fill="F2F4F7" w:color="auto" w:val="clear"/>
            <w:vAlign w:val="center"/>
          </w:tcPr>
          <w:p>
            <w:pPr>
              <w:spacing w:after="0" w:line="240"/>
            </w:pPr>
            <w:r>
              <w:rPr>
                <w:b w:val="false"/>
                <w:bCs w:val="false"/>
                <w:color w:val="17212B"/>
                <w:sz w:val="19"/>
                <w:szCs w:val="19"/>
              </w:rPr>
              <w:t xml:space="preserve">Research</w:t>
            </w:r>
          </w:p>
        </w:tc>
      </w:tr>
      <w:tr>
        <w:trPr>
          <w:cantSplit/>
          <w:tblHeader w:val="false"/>
        </w:trPr>
        <w:tc>
          <w:tcPr>
            <w:tcW w:type="dxa" w:w="1850"/>
            <w:vAlign w:val="center"/>
          </w:tcPr>
          <w:p>
            <w:pPr>
              <w:spacing w:after="0" w:line="240"/>
            </w:pPr>
            <w:r>
              <w:rPr>
                <w:b w:val="false"/>
                <w:bCs w:val="false"/>
                <w:color w:val="17212B"/>
                <w:sz w:val="19"/>
                <w:szCs w:val="19"/>
              </w:rPr>
              <w:t xml:space="preserve">First-party chargeback</w:t>
            </w:r>
          </w:p>
        </w:tc>
        <w:tc>
          <w:tcPr>
            <w:tcW w:type="dxa" w:w="2500"/>
            <w:vAlign w:val="center"/>
          </w:tcPr>
          <w:p>
            <w:pPr>
              <w:spacing w:after="0" w:line="240"/>
            </w:pPr>
            <w:r>
              <w:rPr>
                <w:b w:val="false"/>
                <w:bCs w:val="false"/>
                <w:color w:val="17212B"/>
                <w:sz w:val="19"/>
                <w:szCs w:val="19"/>
              </w:rPr>
              <w:t xml:space="preserve">Drafts the strongest dispute reason per order</w:t>
            </w:r>
          </w:p>
        </w:tc>
        <w:tc>
          <w:tcPr>
            <w:tcW w:type="dxa" w:w="2950"/>
            <w:vAlign w:val="center"/>
          </w:tcPr>
          <w:p>
            <w:pPr>
              <w:spacing w:after="0" w:line="240"/>
            </w:pPr>
            <w:r>
              <w:rPr>
                <w:b w:val="false"/>
                <w:bCs w:val="false"/>
                <w:color w:val="17212B"/>
                <w:sz w:val="19"/>
                <w:szCs w:val="19"/>
              </w:rPr>
              <w:t xml:space="preserve">The payment itself is genuine</w:t>
            </w:r>
          </w:p>
        </w:tc>
        <w:tc>
          <w:tcPr>
            <w:tcW w:type="dxa" w:w="1820"/>
            <w:vAlign w:val="center"/>
          </w:tcPr>
          <w:p>
            <w:pPr>
              <w:spacing w:after="0" w:line="240"/>
            </w:pPr>
            <w:r>
              <w:rPr>
                <w:b w:val="false"/>
                <w:bCs w:val="false"/>
                <w:color w:val="17212B"/>
                <w:sz w:val="19"/>
                <w:szCs w:val="19"/>
              </w:rPr>
              <w:t xml:space="preserve">Research</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Agentic commerce abuse</w:t>
            </w:r>
          </w:p>
        </w:tc>
        <w:tc>
          <w:tcPr>
            <w:tcW w:type="dxa" w:w="2500"/>
            <w:shd w:fill="F2F4F7" w:color="auto" w:val="clear"/>
            <w:vAlign w:val="center"/>
          </w:tcPr>
          <w:p>
            <w:pPr>
              <w:spacing w:after="0" w:line="240"/>
            </w:pPr>
            <w:r>
              <w:rPr>
                <w:b w:val="false"/>
                <w:bCs w:val="false"/>
                <w:color w:val="17212B"/>
                <w:sz w:val="19"/>
                <w:szCs w:val="19"/>
              </w:rPr>
              <w:t xml:space="preserve">Compromised agents hold valid delegated credentials</w:t>
            </w:r>
          </w:p>
        </w:tc>
        <w:tc>
          <w:tcPr>
            <w:tcW w:type="dxa" w:w="2950"/>
            <w:shd w:fill="F2F4F7" w:color="auto" w:val="clear"/>
            <w:vAlign w:val="center"/>
          </w:tcPr>
          <w:p>
            <w:pPr>
              <w:spacing w:after="0" w:line="240"/>
            </w:pPr>
            <w:r>
              <w:rPr>
                <w:b w:val="false"/>
                <w:bCs w:val="false"/>
                <w:color w:val="17212B"/>
                <w:sz w:val="19"/>
                <w:szCs w:val="19"/>
              </w:rPr>
              <w:t xml:space="preserve">Machine cadence is expected here</w:t>
            </w:r>
          </w:p>
        </w:tc>
        <w:tc>
          <w:tcPr>
            <w:tcW w:type="dxa" w:w="1820"/>
            <w:shd w:fill="F2F4F7" w:color="auto" w:val="clear"/>
            <w:vAlign w:val="center"/>
          </w:tcPr>
          <w:p>
            <w:pPr>
              <w:spacing w:after="0" w:line="240"/>
            </w:pPr>
            <w:r>
              <w:rPr>
                <w:b w:val="false"/>
                <w:bCs w:val="false"/>
                <w:color w:val="17212B"/>
                <w:sz w:val="19"/>
                <w:szCs w:val="19"/>
              </w:rPr>
              <w:t xml:space="preserve">Research</w:t>
            </w:r>
          </w:p>
        </w:tc>
      </w:tr>
      <w:tr>
        <w:trPr>
          <w:cantSplit/>
          <w:tblHeader w:val="false"/>
        </w:trPr>
        <w:tc>
          <w:tcPr>
            <w:tcW w:type="dxa" w:w="1850"/>
            <w:vAlign w:val="center"/>
          </w:tcPr>
          <w:p>
            <w:pPr>
              <w:spacing w:after="0" w:line="240"/>
            </w:pPr>
            <w:r>
              <w:rPr>
                <w:b w:val="false"/>
                <w:bCs w:val="false"/>
                <w:color w:val="17212B"/>
                <w:sz w:val="19"/>
                <w:szCs w:val="19"/>
              </w:rPr>
              <w:t xml:space="preserve">Prompt injection of the defense</w:t>
            </w:r>
          </w:p>
        </w:tc>
        <w:tc>
          <w:tcPr>
            <w:tcW w:type="dxa" w:w="2500"/>
            <w:vAlign w:val="center"/>
          </w:tcPr>
          <w:p>
            <w:pPr>
              <w:spacing w:after="0" w:line="240"/>
            </w:pPr>
            <w:r>
              <w:rPr>
                <w:b w:val="false"/>
                <w:bCs w:val="false"/>
                <w:color w:val="17212B"/>
                <w:sz w:val="19"/>
                <w:szCs w:val="19"/>
              </w:rPr>
              <w:t xml:space="preserve">Merchant text carries instructions for the defender's LLM</w:t>
            </w:r>
          </w:p>
        </w:tc>
        <w:tc>
          <w:tcPr>
            <w:tcW w:type="dxa" w:w="2950"/>
            <w:vAlign w:val="center"/>
          </w:tcPr>
          <w:p>
            <w:pPr>
              <w:spacing w:after="0" w:line="240"/>
            </w:pPr>
            <w:r>
              <w:rPr>
                <w:b w:val="false"/>
                <w:bCs w:val="false"/>
                <w:color w:val="17212B"/>
                <w:sz w:val="19"/>
                <w:szCs w:val="19"/>
              </w:rPr>
              <w:t xml:space="preserve">The reasoning layer is the surface</w:t>
            </w:r>
          </w:p>
        </w:tc>
        <w:tc>
          <w:tcPr>
            <w:tcW w:type="dxa" w:w="1820"/>
            <w:vAlign w:val="center"/>
          </w:tcPr>
          <w:p>
            <w:pPr>
              <w:spacing w:after="0" w:line="240"/>
            </w:pPr>
            <w:r>
              <w:rPr>
                <w:b w:val="false"/>
                <w:bCs w:val="false"/>
                <w:color w:val="17212B"/>
                <w:sz w:val="19"/>
                <w:szCs w:val="19"/>
              </w:rPr>
              <w:t xml:space="preserve">DEFENDED</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AI payment scams</w:t>
            </w:r>
          </w:p>
        </w:tc>
        <w:tc>
          <w:tcPr>
            <w:tcW w:type="dxa" w:w="2500"/>
            <w:shd w:fill="F2F4F7" w:color="auto" w:val="clear"/>
            <w:vAlign w:val="center"/>
          </w:tcPr>
          <w:p>
            <w:pPr>
              <w:spacing w:after="0" w:line="240"/>
            </w:pPr>
            <w:r>
              <w:rPr>
                <w:b w:val="false"/>
                <w:bCs w:val="false"/>
                <w:color w:val="17212B"/>
                <w:sz w:val="19"/>
                <w:szCs w:val="19"/>
              </w:rPr>
              <w:t xml:space="preserve">Scales trusted impersonation</w:t>
            </w:r>
          </w:p>
        </w:tc>
        <w:tc>
          <w:tcPr>
            <w:tcW w:type="dxa" w:w="2950"/>
            <w:shd w:fill="F2F4F7" w:color="auto" w:val="clear"/>
            <w:vAlign w:val="center"/>
          </w:tcPr>
          <w:p>
            <w:pPr>
              <w:spacing w:after="0" w:line="240"/>
            </w:pPr>
            <w:r>
              <w:rPr>
                <w:b w:val="false"/>
                <w:bCs w:val="false"/>
                <w:color w:val="17212B"/>
                <w:sz w:val="19"/>
                <w:szCs w:val="19"/>
              </w:rPr>
              <w:t xml:space="preserve">Authorized payment context</w:t>
            </w:r>
          </w:p>
        </w:tc>
        <w:tc>
          <w:tcPr>
            <w:tcW w:type="dxa" w:w="1820"/>
            <w:shd w:fill="F2F4F7" w:color="auto" w:val="clear"/>
            <w:vAlign w:val="center"/>
          </w:tcPr>
          <w:p>
            <w:pPr>
              <w:spacing w:after="0" w:line="240"/>
            </w:pPr>
            <w:r>
              <w:rPr>
                <w:b w:val="false"/>
                <w:bCs w:val="false"/>
                <w:color w:val="17212B"/>
                <w:sz w:val="19"/>
                <w:szCs w:val="19"/>
              </w:rPr>
              <w:t xml:space="preserve">Research</w:t>
            </w:r>
          </w:p>
        </w:tc>
      </w:tr>
      <w:tr>
        <w:trPr>
          <w:cantSplit/>
          <w:tblHeader w:val="false"/>
        </w:trPr>
        <w:tc>
          <w:tcPr>
            <w:tcW w:type="dxa" w:w="1850"/>
            <w:vAlign w:val="center"/>
          </w:tcPr>
          <w:p>
            <w:pPr>
              <w:spacing w:after="0" w:line="240"/>
            </w:pPr>
            <w:r>
              <w:rPr>
                <w:b w:val="false"/>
                <w:bCs w:val="false"/>
                <w:color w:val="17212B"/>
                <w:sz w:val="19"/>
                <w:szCs w:val="19"/>
              </w:rPr>
              <w:t xml:space="preserve">KYC manipulation</w:t>
            </w:r>
          </w:p>
        </w:tc>
        <w:tc>
          <w:tcPr>
            <w:tcW w:type="dxa" w:w="2500"/>
            <w:vAlign w:val="center"/>
          </w:tcPr>
          <w:p>
            <w:pPr>
              <w:spacing w:after="0" w:line="240"/>
            </w:pPr>
            <w:r>
              <w:rPr>
                <w:b w:val="false"/>
                <w:bCs w:val="false"/>
                <w:color w:val="17212B"/>
                <w:sz w:val="19"/>
                <w:szCs w:val="19"/>
              </w:rPr>
              <w:t xml:space="preserve">Creates coherent documents</w:t>
            </w:r>
          </w:p>
        </w:tc>
        <w:tc>
          <w:tcPr>
            <w:tcW w:type="dxa" w:w="2950"/>
            <w:vAlign w:val="center"/>
          </w:tcPr>
          <w:p>
            <w:pPr>
              <w:spacing w:after="0" w:line="240"/>
            </w:pPr>
            <w:r>
              <w:rPr>
                <w:b w:val="false"/>
                <w:bCs w:val="false"/>
                <w:color w:val="17212B"/>
                <w:sz w:val="19"/>
                <w:szCs w:val="19"/>
              </w:rPr>
              <w:t xml:space="preserve">Pre-transaction signal</w:t>
            </w:r>
          </w:p>
        </w:tc>
        <w:tc>
          <w:tcPr>
            <w:tcW w:type="dxa" w:w="1820"/>
            <w:vAlign w:val="center"/>
          </w:tcPr>
          <w:p>
            <w:pPr>
              <w:spacing w:after="0" w:line="240"/>
            </w:pPr>
            <w:r>
              <w:rPr>
                <w:b w:val="false"/>
                <w:bCs w:val="false"/>
                <w:color w:val="17212B"/>
                <w:sz w:val="19"/>
                <w:szCs w:val="19"/>
              </w:rPr>
              <w:t xml:space="preserve">Research</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Merchant collusion</w:t>
            </w:r>
          </w:p>
        </w:tc>
        <w:tc>
          <w:tcPr>
            <w:tcW w:type="dxa" w:w="2500"/>
            <w:shd w:fill="F2F4F7" w:color="auto" w:val="clear"/>
            <w:vAlign w:val="center"/>
          </w:tcPr>
          <w:p>
            <w:pPr>
              <w:spacing w:after="0" w:line="240"/>
            </w:pPr>
            <w:r>
              <w:rPr>
                <w:b w:val="false"/>
                <w:bCs w:val="false"/>
                <w:color w:val="17212B"/>
                <w:sz w:val="19"/>
                <w:szCs w:val="19"/>
              </w:rPr>
              <w:t xml:space="preserve">Coordinates both graph sides</w:t>
            </w:r>
          </w:p>
        </w:tc>
        <w:tc>
          <w:tcPr>
            <w:tcW w:type="dxa" w:w="2950"/>
            <w:shd w:fill="F2F4F7" w:color="auto" w:val="clear"/>
            <w:vAlign w:val="center"/>
          </w:tcPr>
          <w:p>
            <w:pPr>
              <w:spacing w:after="0" w:line="240"/>
            </w:pPr>
            <w:r>
              <w:rPr>
                <w:b w:val="false"/>
                <w:bCs w:val="false"/>
                <w:color w:val="17212B"/>
                <w:sz w:val="19"/>
                <w:szCs w:val="19"/>
              </w:rPr>
              <w:t xml:space="preserve">Normal individual behavior</w:t>
            </w:r>
          </w:p>
        </w:tc>
        <w:tc>
          <w:tcPr>
            <w:tcW w:type="dxa" w:w="1820"/>
            <w:shd w:fill="F2F4F7" w:color="auto" w:val="clear"/>
            <w:vAlign w:val="center"/>
          </w:tcPr>
          <w:p>
            <w:pPr>
              <w:spacing w:after="0" w:line="240"/>
            </w:pPr>
            <w:r>
              <w:rPr>
                <w:b w:val="false"/>
                <w:bCs w:val="false"/>
                <w:color w:val="17212B"/>
                <w:sz w:val="19"/>
                <w:szCs w:val="19"/>
              </w:rPr>
              <w:t xml:space="preserve">Research</w:t>
            </w:r>
          </w:p>
        </w:tc>
      </w:tr>
      <w:tr>
        <w:trPr>
          <w:cantSplit/>
          <w:tblHeader w:val="false"/>
        </w:trPr>
        <w:tc>
          <w:tcPr>
            <w:tcW w:type="dxa" w:w="1850"/>
            <w:vAlign w:val="center"/>
          </w:tcPr>
          <w:p>
            <w:pPr>
              <w:spacing w:after="0" w:line="240"/>
            </w:pPr>
            <w:r>
              <w:rPr>
                <w:b w:val="false"/>
                <w:bCs w:val="false"/>
                <w:color w:val="17212B"/>
                <w:sz w:val="19"/>
                <w:szCs w:val="19"/>
              </w:rPr>
              <w:t xml:space="preserve">Multi-channel impersonation</w:t>
            </w:r>
          </w:p>
        </w:tc>
        <w:tc>
          <w:tcPr>
            <w:tcW w:type="dxa" w:w="2500"/>
            <w:vAlign w:val="center"/>
          </w:tcPr>
          <w:p>
            <w:pPr>
              <w:spacing w:after="0" w:line="240"/>
            </w:pPr>
            <w:r>
              <w:rPr>
                <w:b w:val="false"/>
                <w:bCs w:val="false"/>
                <w:color w:val="17212B"/>
                <w:sz w:val="19"/>
                <w:szCs w:val="19"/>
              </w:rPr>
              <w:t xml:space="preserve">Maintains one cross-channel story</w:t>
            </w:r>
          </w:p>
        </w:tc>
        <w:tc>
          <w:tcPr>
            <w:tcW w:type="dxa" w:w="2950"/>
            <w:vAlign w:val="center"/>
          </w:tcPr>
          <w:p>
            <w:pPr>
              <w:spacing w:after="0" w:line="240"/>
            </w:pPr>
            <w:r>
              <w:rPr>
                <w:b w:val="false"/>
                <w:bCs w:val="false"/>
                <w:color w:val="17212B"/>
                <w:sz w:val="19"/>
                <w:szCs w:val="19"/>
              </w:rPr>
              <w:t xml:space="preserve">Disconnected sensor evidence</w:t>
            </w:r>
          </w:p>
        </w:tc>
        <w:tc>
          <w:tcPr>
            <w:tcW w:type="dxa" w:w="1820"/>
            <w:vAlign w:val="center"/>
          </w:tcPr>
          <w:p>
            <w:pPr>
              <w:spacing w:after="0" w:line="240"/>
            </w:pPr>
            <w:r>
              <w:rPr>
                <w:b w:val="false"/>
                <w:bCs w:val="false"/>
                <w:color w:val="17212B"/>
                <w:sz w:val="19"/>
                <w:szCs w:val="19"/>
              </w:rPr>
              <w:t xml:space="preserve">Research</w:t>
            </w:r>
          </w:p>
        </w:tc>
      </w:tr>
      <w:tr>
        <w:trPr>
          <w:cantSplit/>
          <w:tblHeader w:val="false"/>
        </w:trPr>
        <w:tc>
          <w:tcPr>
            <w:tcW w:type="dxa" w:w="1850"/>
            <w:shd w:fill="F2F4F7" w:color="auto" w:val="clear"/>
            <w:vAlign w:val="center"/>
          </w:tcPr>
          <w:p>
            <w:pPr>
              <w:spacing w:after="0" w:line="240"/>
            </w:pPr>
            <w:r>
              <w:rPr>
                <w:b w:val="false"/>
                <w:bCs w:val="false"/>
                <w:color w:val="17212B"/>
                <w:sz w:val="19"/>
                <w:szCs w:val="19"/>
              </w:rPr>
              <w:t xml:space="preserve">Autonomous probing</w:t>
            </w:r>
          </w:p>
        </w:tc>
        <w:tc>
          <w:tcPr>
            <w:tcW w:type="dxa" w:w="2500"/>
            <w:shd w:fill="F2F4F7" w:color="auto" w:val="clear"/>
            <w:vAlign w:val="center"/>
          </w:tcPr>
          <w:p>
            <w:pPr>
              <w:spacing w:after="0" w:line="240"/>
            </w:pPr>
            <w:r>
              <w:rPr>
                <w:b w:val="false"/>
                <w:bCs w:val="false"/>
                <w:color w:val="17212B"/>
                <w:sz w:val="19"/>
                <w:szCs w:val="19"/>
              </w:rPr>
              <w:t xml:space="preserve">Repeats feedback-driven strategy</w:t>
            </w:r>
          </w:p>
        </w:tc>
        <w:tc>
          <w:tcPr>
            <w:tcW w:type="dxa" w:w="2950"/>
            <w:shd w:fill="F2F4F7" w:color="auto" w:val="clear"/>
            <w:vAlign w:val="center"/>
          </w:tcPr>
          <w:p>
            <w:pPr>
              <w:spacing w:after="0" w:line="240"/>
            </w:pPr>
            <w:r>
              <w:rPr>
                <w:b w:val="false"/>
                <w:bCs w:val="false"/>
                <w:color w:val="17212B"/>
                <w:sz w:val="19"/>
                <w:szCs w:val="19"/>
              </w:rPr>
              <w:t xml:space="preserve">Retraining-cycle gap</w:t>
            </w:r>
          </w:p>
        </w:tc>
        <w:tc>
          <w:tcPr>
            <w:tcW w:type="dxa" w:w="1820"/>
            <w:shd w:fill="F2F4F7" w:color="auto" w:val="clear"/>
            <w:vAlign w:val="center"/>
          </w:tcPr>
          <w:p>
            <w:pPr>
              <w:spacing w:after="0" w:line="240"/>
            </w:pPr>
            <w:r>
              <w:rPr>
                <w:b w:val="false"/>
                <w:bCs w:val="false"/>
                <w:color w:val="17212B"/>
                <w:sz w:val="19"/>
                <w:szCs w:val="19"/>
              </w:rPr>
              <w:t xml:space="preserve">Arena capability</w:t>
            </w:r>
          </w:p>
        </w:tc>
      </w:tr>
    </w:tbl>
    <w:p>
      <w:pPr>
        <w:pStyle w:val="Heading2"/>
      </w:pPr>
      <w:r>
        <w:t xml:space="preserve">Selection logic</w:t>
      </w:r>
    </w:p>
    <w:p>
      <w:r>
        <w:t xml:space="preserve">The five simulated families were chosen to break five DIFFERENT parts of a detector rather than to be five variations on one idea: classic burst and sequence rules (card testing), temporal shape invisible to point-wise scoring (low-and-slow), cross-account graph structure (mule fan-out), session and device context on a mature account (account takeover), and cumulative value hidden by decomposition (structuring).</w:t>
      </w:r>
    </w:p>
    <w:p>
      <w:r>
        <w:t xml:space="preserve">Two of them — account takeover and structuring — were added specifically because the genome already carried the dimensions to express them and nothing used them.</w:t>
      </w:r>
    </w:p>
    <w:p>
      <w:r>
        <w:br w:type="page"/>
      </w:r>
    </w:p>
    <w:p>
      <w:pPr>
        <w:pStyle w:val="Heading1"/>
      </w:pPr>
      <w:r>
        <w:t xml:space="preserve">7. GENERATE</w:t>
      </w:r>
    </w:p>
    <w:p>
      <w:pPr>
        <w:pStyle w:val="Heading2"/>
      </w:pPr>
      <w:r>
        <w:t xml:space="preserve">Fraud Genome</w:t>
      </w:r>
    </w:p>
    <w:p>
      <w:r>
        <w:t xml:space="preserve">The Fraud Genome is the only attack language. It contains bounded behavior and never contains executable instructions.</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1650"/>
        <w:gridCol w:w="3350"/>
        <w:gridCol w:w="4120"/>
      </w:tblGrid>
      <w:tr>
        <w:trPr>
          <w:cantSplit/>
          <w:tblHeader/>
        </w:trPr>
        <w:tc>
          <w:tcPr>
            <w:tcW w:type="dxa" w:w="1650"/>
            <w:shd w:fill="1A1A1A" w:color="auto" w:val="clear"/>
            <w:vAlign w:val="center"/>
          </w:tcPr>
          <w:p>
            <w:pPr>
              <w:spacing w:after="0" w:line="240"/>
            </w:pPr>
            <w:r>
              <w:rPr>
                <w:b/>
                <w:bCs/>
                <w:color w:val="FFFFFF"/>
                <w:sz w:val="19"/>
                <w:szCs w:val="19"/>
              </w:rPr>
              <w:t xml:space="preserve">Group</w:t>
            </w:r>
          </w:p>
        </w:tc>
        <w:tc>
          <w:tcPr>
            <w:tcW w:type="dxa" w:w="3350"/>
            <w:shd w:fill="1A1A1A" w:color="auto" w:val="clear"/>
            <w:vAlign w:val="center"/>
          </w:tcPr>
          <w:p>
            <w:pPr>
              <w:spacing w:after="0" w:line="240"/>
            </w:pPr>
            <w:r>
              <w:rPr>
                <w:b/>
                <w:bCs/>
                <w:color w:val="FFFFFF"/>
                <w:sz w:val="19"/>
                <w:szCs w:val="19"/>
              </w:rPr>
              <w:t xml:space="preserve">Fields</w:t>
            </w:r>
          </w:p>
        </w:tc>
        <w:tc>
          <w:tcPr>
            <w:tcW w:type="dxa" w:w="4120"/>
            <w:shd w:fill="1A1A1A" w:color="auto" w:val="clear"/>
            <w:vAlign w:val="center"/>
          </w:tcPr>
          <w:p>
            <w:pPr>
              <w:spacing w:after="0" w:line="240"/>
            </w:pPr>
            <w:r>
              <w:rPr>
                <w:b/>
                <w:bCs/>
                <w:color w:val="FFFFFF"/>
                <w:sz w:val="19"/>
                <w:szCs w:val="19"/>
              </w:rPr>
              <w:t xml:space="preserve">Bounds or values</w:t>
            </w:r>
          </w:p>
        </w:tc>
      </w:tr>
      <w:tr>
        <w:trPr>
          <w:cantSplit/>
          <w:tblHeader w:val="false"/>
        </w:trPr>
        <w:tc>
          <w:tcPr>
            <w:tcW w:type="dxa" w:w="1650"/>
            <w:vAlign w:val="center"/>
          </w:tcPr>
          <w:p>
            <w:pPr>
              <w:spacing w:after="0" w:line="240"/>
            </w:pPr>
            <w:r>
              <w:rPr>
                <w:b w:val="false"/>
                <w:bCs w:val="false"/>
                <w:color w:val="17212B"/>
                <w:sz w:val="19"/>
                <w:szCs w:val="19"/>
              </w:rPr>
              <w:t xml:space="preserve">Identity</w:t>
            </w:r>
          </w:p>
        </w:tc>
        <w:tc>
          <w:tcPr>
            <w:tcW w:type="dxa" w:w="3350"/>
            <w:vAlign w:val="center"/>
          </w:tcPr>
          <w:p>
            <w:pPr>
              <w:spacing w:after="0" w:line="240"/>
            </w:pPr>
            <w:r>
              <w:rPr>
                <w:b w:val="false"/>
                <w:bCs w:val="false"/>
                <w:color w:val="17212B"/>
                <w:sz w:val="19"/>
                <w:szCs w:val="19"/>
              </w:rPr>
              <w:t xml:space="preserve">family, account_age_days</w:t>
            </w:r>
          </w:p>
        </w:tc>
        <w:tc>
          <w:tcPr>
            <w:tcW w:type="dxa" w:w="4120"/>
            <w:vAlign w:val="center"/>
          </w:tcPr>
          <w:p>
            <w:pPr>
              <w:spacing w:after="0" w:line="240"/>
            </w:pPr>
            <w:r>
              <w:rPr>
                <w:b w:val="false"/>
                <w:bCs w:val="false"/>
                <w:color w:val="17212B"/>
                <w:sz w:val="19"/>
                <w:szCs w:val="19"/>
              </w:rPr>
              <w:t xml:space="preserve">Five families; 0 to 3,650 days</w:t>
            </w:r>
          </w:p>
        </w:tc>
      </w:tr>
      <w:tr>
        <w:trPr>
          <w:cantSplit/>
          <w:tblHeader w:val="false"/>
        </w:trPr>
        <w:tc>
          <w:tcPr>
            <w:tcW w:type="dxa" w:w="1650"/>
            <w:shd w:fill="F2F4F7" w:color="auto" w:val="clear"/>
            <w:vAlign w:val="center"/>
          </w:tcPr>
          <w:p>
            <w:pPr>
              <w:spacing w:after="0" w:line="240"/>
            </w:pPr>
            <w:r>
              <w:rPr>
                <w:b w:val="false"/>
                <w:bCs w:val="false"/>
                <w:color w:val="17212B"/>
                <w:sz w:val="19"/>
                <w:szCs w:val="19"/>
              </w:rPr>
              <w:t xml:space="preserve">Amount</w:t>
            </w:r>
          </w:p>
        </w:tc>
        <w:tc>
          <w:tcPr>
            <w:tcW w:type="dxa" w:w="3350"/>
            <w:shd w:fill="F2F4F7" w:color="auto" w:val="clear"/>
            <w:vAlign w:val="center"/>
          </w:tcPr>
          <w:p>
            <w:pPr>
              <w:spacing w:after="0" w:line="240"/>
            </w:pPr>
            <w:r>
              <w:rPr>
                <w:b w:val="false"/>
                <w:bCs w:val="false"/>
                <w:color w:val="17212B"/>
                <w:sz w:val="19"/>
                <w:szCs w:val="19"/>
              </w:rPr>
              <w:t xml:space="preserve">base, jitter, drain_multiplier</w:t>
            </w:r>
          </w:p>
        </w:tc>
        <w:tc>
          <w:tcPr>
            <w:tcW w:type="dxa" w:w="4120"/>
            <w:shd w:fill="F2F4F7" w:color="auto" w:val="clear"/>
            <w:vAlign w:val="center"/>
          </w:tcPr>
          <w:p>
            <w:pPr>
              <w:spacing w:after="0" w:line="240"/>
            </w:pPr>
            <w:r>
              <w:rPr>
                <w:b w:val="false"/>
                <w:bCs w:val="false"/>
                <w:color w:val="17212B"/>
                <w:sz w:val="19"/>
                <w:szCs w:val="19"/>
              </w:rPr>
              <w:t xml:space="preserve">1 to 2,000; 0 to 0.6; 1 to 50</w:t>
            </w:r>
          </w:p>
        </w:tc>
      </w:tr>
      <w:tr>
        <w:trPr>
          <w:cantSplit/>
          <w:tblHeader w:val="false"/>
        </w:trPr>
        <w:tc>
          <w:tcPr>
            <w:tcW w:type="dxa" w:w="1650"/>
            <w:vAlign w:val="center"/>
          </w:tcPr>
          <w:p>
            <w:pPr>
              <w:spacing w:after="0" w:line="240"/>
            </w:pPr>
            <w:r>
              <w:rPr>
                <w:b w:val="false"/>
                <w:bCs w:val="false"/>
                <w:color w:val="17212B"/>
                <w:sz w:val="19"/>
                <w:szCs w:val="19"/>
              </w:rPr>
              <w:t xml:space="preserve">Velocity</w:t>
            </w:r>
          </w:p>
        </w:tc>
        <w:tc>
          <w:tcPr>
            <w:tcW w:type="dxa" w:w="3350"/>
            <w:vAlign w:val="center"/>
          </w:tcPr>
          <w:p>
            <w:pPr>
              <w:spacing w:after="0" w:line="240"/>
            </w:pPr>
            <w:r>
              <w:rPr>
                <w:b w:val="false"/>
                <w:bCs w:val="false"/>
                <w:color w:val="17212B"/>
                <w:sz w:val="19"/>
                <w:szCs w:val="19"/>
              </w:rPr>
              <w:t xml:space="preserve">tx_per_hour</w:t>
            </w:r>
          </w:p>
        </w:tc>
        <w:tc>
          <w:tcPr>
            <w:tcW w:type="dxa" w:w="4120"/>
            <w:vAlign w:val="center"/>
          </w:tcPr>
          <w:p>
            <w:pPr>
              <w:spacing w:after="0" w:line="240"/>
            </w:pPr>
            <w:r>
              <w:rPr>
                <w:b w:val="false"/>
                <w:bCs w:val="false"/>
                <w:color w:val="17212B"/>
                <w:sz w:val="19"/>
                <w:szCs w:val="19"/>
              </w:rPr>
              <w:t xml:space="preserve">1 to 40</w:t>
            </w:r>
          </w:p>
        </w:tc>
      </w:tr>
      <w:tr>
        <w:trPr>
          <w:cantSplit/>
          <w:tblHeader w:val="false"/>
        </w:trPr>
        <w:tc>
          <w:tcPr>
            <w:tcW w:type="dxa" w:w="1650"/>
            <w:shd w:fill="F2F4F7" w:color="auto" w:val="clear"/>
            <w:vAlign w:val="center"/>
          </w:tcPr>
          <w:p>
            <w:pPr>
              <w:spacing w:after="0" w:line="240"/>
            </w:pPr>
            <w:r>
              <w:rPr>
                <w:b w:val="false"/>
                <w:bCs w:val="false"/>
                <w:color w:val="17212B"/>
                <w:sz w:val="19"/>
                <w:szCs w:val="19"/>
              </w:rPr>
              <w:t xml:space="preserve">Temporal</w:t>
            </w:r>
          </w:p>
        </w:tc>
        <w:tc>
          <w:tcPr>
            <w:tcW w:type="dxa" w:w="3350"/>
            <w:shd w:fill="F2F4F7" w:color="auto" w:val="clear"/>
            <w:vAlign w:val="center"/>
          </w:tcPr>
          <w:p>
            <w:pPr>
              <w:spacing w:after="0" w:line="240"/>
            </w:pPr>
            <w:r>
              <w:rPr>
                <w:b w:val="false"/>
                <w:bCs w:val="false"/>
                <w:color w:val="17212B"/>
                <w:sz w:val="19"/>
                <w:szCs w:val="19"/>
              </w:rPr>
              <w:t xml:space="preserve">start_hour_utc, span_hours</w:t>
            </w:r>
          </w:p>
        </w:tc>
        <w:tc>
          <w:tcPr>
            <w:tcW w:type="dxa" w:w="4120"/>
            <w:shd w:fill="F2F4F7" w:color="auto" w:val="clear"/>
            <w:vAlign w:val="center"/>
          </w:tcPr>
          <w:p>
            <w:pPr>
              <w:spacing w:after="0" w:line="240"/>
            </w:pPr>
            <w:r>
              <w:rPr>
                <w:b w:val="false"/>
                <w:bCs w:val="false"/>
                <w:color w:val="17212B"/>
                <w:sz w:val="19"/>
                <w:szCs w:val="19"/>
              </w:rPr>
              <w:t xml:space="preserve">0 to 23; 1 to 336</w:t>
            </w:r>
          </w:p>
        </w:tc>
      </w:tr>
      <w:tr>
        <w:trPr>
          <w:cantSplit/>
          <w:tblHeader w:val="false"/>
        </w:trPr>
        <w:tc>
          <w:tcPr>
            <w:tcW w:type="dxa" w:w="1650"/>
            <w:vAlign w:val="center"/>
          </w:tcPr>
          <w:p>
            <w:pPr>
              <w:spacing w:after="0" w:line="240"/>
            </w:pPr>
            <w:r>
              <w:rPr>
                <w:b w:val="false"/>
                <w:bCs w:val="false"/>
                <w:color w:val="17212B"/>
                <w:sz w:val="19"/>
                <w:szCs w:val="19"/>
              </w:rPr>
              <w:t xml:space="preserve">Merchant</w:t>
            </w:r>
          </w:p>
        </w:tc>
        <w:tc>
          <w:tcPr>
            <w:tcW w:type="dxa" w:w="3350"/>
            <w:vAlign w:val="center"/>
          </w:tcPr>
          <w:p>
            <w:pPr>
              <w:spacing w:after="0" w:line="240"/>
            </w:pPr>
            <w:r>
              <w:rPr>
                <w:b w:val="false"/>
                <w:bCs w:val="false"/>
                <w:color w:val="17212B"/>
                <w:sz w:val="19"/>
                <w:szCs w:val="19"/>
              </w:rPr>
              <w:t xml:space="preserve">mcc, new_merchant</w:t>
            </w:r>
          </w:p>
        </w:tc>
        <w:tc>
          <w:tcPr>
            <w:tcW w:type="dxa" w:w="4120"/>
            <w:vAlign w:val="center"/>
          </w:tcPr>
          <w:p>
            <w:pPr>
              <w:spacing w:after="0" w:line="240"/>
            </w:pPr>
            <w:r>
              <w:rPr>
                <w:b w:val="false"/>
                <w:bCs w:val="false"/>
                <w:color w:val="17212B"/>
                <w:sz w:val="19"/>
                <w:szCs w:val="19"/>
              </w:rPr>
              <w:t xml:space="preserve">Eight MCC values; boolean</w:t>
            </w:r>
          </w:p>
        </w:tc>
      </w:tr>
      <w:tr>
        <w:trPr>
          <w:cantSplit/>
          <w:tblHeader w:val="false"/>
        </w:trPr>
        <w:tc>
          <w:tcPr>
            <w:tcW w:type="dxa" w:w="1650"/>
            <w:shd w:fill="F2F4F7" w:color="auto" w:val="clear"/>
            <w:vAlign w:val="center"/>
          </w:tcPr>
          <w:p>
            <w:pPr>
              <w:spacing w:after="0" w:line="240"/>
            </w:pPr>
            <w:r>
              <w:rPr>
                <w:b w:val="false"/>
                <w:bCs w:val="false"/>
                <w:color w:val="17212B"/>
                <w:sz w:val="19"/>
                <w:szCs w:val="19"/>
              </w:rPr>
              <w:t xml:space="preserve">Takeover</w:t>
            </w:r>
          </w:p>
        </w:tc>
        <w:tc>
          <w:tcPr>
            <w:tcW w:type="dxa" w:w="3350"/>
            <w:shd w:fill="F2F4F7" w:color="auto" w:val="clear"/>
            <w:vAlign w:val="center"/>
          </w:tcPr>
          <w:p>
            <w:pPr>
              <w:spacing w:after="0" w:line="240"/>
            </w:pPr>
            <w:r>
              <w:rPr>
                <w:b w:val="false"/>
                <w:bCs w:val="false"/>
                <w:color w:val="17212B"/>
                <w:sz w:val="19"/>
                <w:szCs w:val="19"/>
              </w:rPr>
              <w:t xml:space="preserve">victim_reuse, recon_tx_count, dwell_hours</w:t>
            </w:r>
          </w:p>
        </w:tc>
        <w:tc>
          <w:tcPr>
            <w:tcW w:type="dxa" w:w="4120"/>
            <w:shd w:fill="F2F4F7" w:color="auto" w:val="clear"/>
            <w:vAlign w:val="center"/>
          </w:tcPr>
          <w:p>
            <w:pPr>
              <w:spacing w:after="0" w:line="240"/>
            </w:pPr>
            <w:r>
              <w:rPr>
                <w:b w:val="false"/>
                <w:bCs w:val="false"/>
                <w:color w:val="17212B"/>
                <w:sz w:val="19"/>
                <w:szCs w:val="19"/>
              </w:rPr>
              <w:t xml:space="preserve">boolean; 0 to 10; 0 to 168 h</w:t>
            </w:r>
          </w:p>
        </w:tc>
      </w:tr>
      <w:tr>
        <w:trPr>
          <w:cantSplit/>
          <w:tblHeader w:val="false"/>
        </w:trPr>
        <w:tc>
          <w:tcPr>
            <w:tcW w:type="dxa" w:w="1650"/>
            <w:vAlign w:val="center"/>
          </w:tcPr>
          <w:p>
            <w:pPr>
              <w:spacing w:after="0" w:line="240"/>
            </w:pPr>
            <w:r>
              <w:rPr>
                <w:b w:val="false"/>
                <w:bCs w:val="false"/>
                <w:color w:val="17212B"/>
                <w:sz w:val="19"/>
                <w:szCs w:val="19"/>
              </w:rPr>
              <w:t xml:space="preserve">Split</w:t>
            </w:r>
          </w:p>
        </w:tc>
        <w:tc>
          <w:tcPr>
            <w:tcW w:type="dxa" w:w="3350"/>
            <w:vAlign w:val="center"/>
          </w:tcPr>
          <w:p>
            <w:pPr>
              <w:spacing w:after="0" w:line="240"/>
            </w:pPr>
            <w:r>
              <w:rPr>
                <w:b w:val="false"/>
                <w:bCs w:val="false"/>
                <w:color w:val="17212B"/>
                <w:sz w:val="19"/>
                <w:szCs w:val="19"/>
              </w:rPr>
              <w:t xml:space="preserve">count, merchant_spread, ceiling_ratio</w:t>
            </w:r>
          </w:p>
        </w:tc>
        <w:tc>
          <w:tcPr>
            <w:tcW w:type="dxa" w:w="4120"/>
            <w:vAlign w:val="center"/>
          </w:tcPr>
          <w:p>
            <w:pPr>
              <w:spacing w:after="0" w:line="240"/>
            </w:pPr>
            <w:r>
              <w:rPr>
                <w:b w:val="false"/>
                <w:bCs w:val="false"/>
                <w:color w:val="17212B"/>
                <w:sz w:val="19"/>
                <w:szCs w:val="19"/>
              </w:rPr>
              <w:t xml:space="preserve">1 to 20; 1 to 8; 0.5 to 0.99</w:t>
            </w:r>
          </w:p>
        </w:tc>
      </w:tr>
      <w:tr>
        <w:trPr>
          <w:cantSplit/>
          <w:tblHeader w:val="false"/>
        </w:trPr>
        <w:tc>
          <w:tcPr>
            <w:tcW w:type="dxa" w:w="1650"/>
            <w:shd w:fill="F2F4F7" w:color="auto" w:val="clear"/>
            <w:vAlign w:val="center"/>
          </w:tcPr>
          <w:p>
            <w:pPr>
              <w:spacing w:after="0" w:line="240"/>
            </w:pPr>
            <w:r>
              <w:rPr>
                <w:b w:val="false"/>
                <w:bCs w:val="false"/>
                <w:color w:val="17212B"/>
                <w:sz w:val="19"/>
                <w:szCs w:val="19"/>
              </w:rPr>
              <w:t xml:space="preserve">Device</w:t>
            </w:r>
          </w:p>
        </w:tc>
        <w:tc>
          <w:tcPr>
            <w:tcW w:type="dxa" w:w="3350"/>
            <w:shd w:fill="F2F4F7" w:color="auto" w:val="clear"/>
            <w:vAlign w:val="center"/>
          </w:tcPr>
          <w:p>
            <w:pPr>
              <w:spacing w:after="0" w:line="240"/>
            </w:pPr>
            <w:r>
              <w:rPr>
                <w:b w:val="false"/>
                <w:bCs w:val="false"/>
                <w:color w:val="17212B"/>
                <w:sz w:val="19"/>
                <w:szCs w:val="19"/>
              </w:rPr>
              <w:t xml:space="preserve">age_days, geo_jump_km</w:t>
            </w:r>
          </w:p>
        </w:tc>
        <w:tc>
          <w:tcPr>
            <w:tcW w:type="dxa" w:w="4120"/>
            <w:shd w:fill="F2F4F7" w:color="auto" w:val="clear"/>
            <w:vAlign w:val="center"/>
          </w:tcPr>
          <w:p>
            <w:pPr>
              <w:spacing w:after="0" w:line="240"/>
            </w:pPr>
            <w:r>
              <w:rPr>
                <w:b w:val="false"/>
                <w:bCs w:val="false"/>
                <w:color w:val="17212B"/>
                <w:sz w:val="19"/>
                <w:szCs w:val="19"/>
              </w:rPr>
              <w:t xml:space="preserve">0 to 3,650; 0 to 20,000</w:t>
            </w:r>
          </w:p>
        </w:tc>
      </w:tr>
      <w:tr>
        <w:trPr>
          <w:cantSplit/>
          <w:tblHeader w:val="false"/>
        </w:trPr>
        <w:tc>
          <w:tcPr>
            <w:tcW w:type="dxa" w:w="1650"/>
            <w:vAlign w:val="center"/>
          </w:tcPr>
          <w:p>
            <w:pPr>
              <w:spacing w:after="0" w:line="240"/>
            </w:pPr>
            <w:r>
              <w:rPr>
                <w:b w:val="false"/>
                <w:bCs w:val="false"/>
                <w:color w:val="17212B"/>
                <w:sz w:val="19"/>
                <w:szCs w:val="19"/>
              </w:rPr>
              <w:t xml:space="preserve">Sequence</w:t>
            </w:r>
          </w:p>
        </w:tc>
        <w:tc>
          <w:tcPr>
            <w:tcW w:type="dxa" w:w="3350"/>
            <w:vAlign w:val="center"/>
          </w:tcPr>
          <w:p>
            <w:pPr>
              <w:spacing w:after="0" w:line="240"/>
            </w:pPr>
            <w:r>
              <w:rPr>
                <w:b w:val="false"/>
                <w:bCs w:val="false"/>
                <w:color w:val="17212B"/>
                <w:sz w:val="19"/>
                <w:szCs w:val="19"/>
              </w:rPr>
              <w:t xml:space="preserve">probe, gap, regularity, drain</w:t>
            </w:r>
          </w:p>
        </w:tc>
        <w:tc>
          <w:tcPr>
            <w:tcW w:type="dxa" w:w="4120"/>
            <w:vAlign w:val="center"/>
          </w:tcPr>
          <w:p>
            <w:pPr>
              <w:spacing w:after="0" w:line="240"/>
            </w:pPr>
            <w:r>
              <w:rPr>
                <w:b w:val="false"/>
                <w:bCs w:val="false"/>
                <w:color w:val="17212B"/>
                <w:sz w:val="19"/>
                <w:szCs w:val="19"/>
              </w:rPr>
              <w:t xml:space="preserve">Strict numeric and boolean bounds</w:t>
            </w:r>
          </w:p>
        </w:tc>
      </w:tr>
      <w:tr>
        <w:trPr>
          <w:cantSplit/>
          <w:tblHeader w:val="false"/>
        </w:trPr>
        <w:tc>
          <w:tcPr>
            <w:tcW w:type="dxa" w:w="1650"/>
            <w:shd w:fill="F2F4F7" w:color="auto" w:val="clear"/>
            <w:vAlign w:val="center"/>
          </w:tcPr>
          <w:p>
            <w:pPr>
              <w:spacing w:after="0" w:line="240"/>
            </w:pPr>
            <w:r>
              <w:rPr>
                <w:b w:val="false"/>
                <w:bCs w:val="false"/>
                <w:color w:val="17212B"/>
                <w:sz w:val="19"/>
                <w:szCs w:val="19"/>
              </w:rPr>
              <w:t xml:space="preserve">Lineage</w:t>
            </w:r>
          </w:p>
        </w:tc>
        <w:tc>
          <w:tcPr>
            <w:tcW w:type="dxa" w:w="3350"/>
            <w:shd w:fill="F2F4F7" w:color="auto" w:val="clear"/>
            <w:vAlign w:val="center"/>
          </w:tcPr>
          <w:p>
            <w:pPr>
              <w:spacing w:after="0" w:line="240"/>
            </w:pPr>
            <w:r>
              <w:rPr>
                <w:b w:val="false"/>
                <w:bCs w:val="false"/>
                <w:color w:val="17212B"/>
                <w:sz w:val="19"/>
                <w:szCs w:val="19"/>
              </w:rPr>
              <w:t xml:space="preserve">scenario, parent, generation, seed</w:t>
            </w:r>
          </w:p>
        </w:tc>
        <w:tc>
          <w:tcPr>
            <w:tcW w:type="dxa" w:w="4120"/>
            <w:shd w:fill="F2F4F7" w:color="auto" w:val="clear"/>
            <w:vAlign w:val="center"/>
          </w:tcPr>
          <w:p>
            <w:pPr>
              <w:spacing w:after="0" w:line="240"/>
            </w:pPr>
            <w:r>
              <w:rPr>
                <w:b w:val="false"/>
                <w:bCs w:val="false"/>
                <w:color w:val="17212B"/>
                <w:sz w:val="19"/>
                <w:szCs w:val="19"/>
              </w:rPr>
              <w:t xml:space="preserve">Schema-validated identifiers</w:t>
            </w:r>
          </w:p>
        </w:tc>
      </w:tr>
    </w:tbl>
    <w:p>
      <w:pPr>
        <w:pStyle w:val="Heading2"/>
      </w:pPr>
      <w:r>
        <w:t xml:space="preserve">Red-Team Architecture</w:t>
      </w:r>
    </w:p>
    <w:p>
      <w:r>
        <w:t xml:space="preserve">Red receives the allowed families, allowed dimensions, simulator constraints, prior results, aggregate memory, and a mutation budget.</w:t>
      </w:r>
    </w:p>
    <w:p>
      <w:r>
        <w:t xml:space="preserve">Red never receives real cards, real customers, victim data, production APIs, banking credentials, or operational attack instructions.</w:t>
      </w:r>
    </w:p>
    <w:p>
      <w:pPr>
        <w:pStyle w:val="Heading3"/>
      </w:pPr>
      <w:r>
        <w:t xml:space="preserve">Mutation loop</w:t>
      </w:r>
    </w:p>
    <w:p>
      <w:pPr>
        <w:pStyle w:val="ListParagraph"/>
        <w:numPr>
          <w:ilvl w:val="0"/>
          <w:numId w:val="3"/>
        </w:numPr>
      </w:pPr>
      <w:r>
        <w:t xml:space="preserve">Read the prior verdict, fitness, reason codes, and lineage.</w:t>
      </w:r>
    </w:p>
    <w:p>
      <w:pPr>
        <w:pStyle w:val="ListParagraph"/>
        <w:numPr>
          <w:ilvl w:val="0"/>
          <w:numId w:val="3"/>
        </w:numPr>
      </w:pPr>
      <w:r>
        <w:t xml:space="preserve">Propose bounded changes to the allowlisted genome.</w:t>
      </w:r>
    </w:p>
    <w:p>
      <w:pPr>
        <w:pStyle w:val="ListParagraph"/>
        <w:numPr>
          <w:ilvl w:val="0"/>
          <w:numId w:val="3"/>
        </w:numPr>
      </w:pPr>
      <w:r>
        <w:t xml:space="preserve">Validate the complete genome with Zod.</w:t>
      </w:r>
    </w:p>
    <w:p>
      <w:pPr>
        <w:pStyle w:val="ListParagraph"/>
        <w:numPr>
          <w:ilvl w:val="0"/>
          <w:numId w:val="3"/>
        </w:numPr>
      </w:pPr>
      <w:r>
        <w:t xml:space="preserve">Compile the scenario with a Referee-owned seed.</w:t>
      </w:r>
    </w:p>
    <w:p>
      <w:pPr>
        <w:pStyle w:val="ListParagraph"/>
        <w:numPr>
          <w:ilvl w:val="0"/>
          <w:numId w:val="3"/>
        </w:numPr>
      </w:pPr>
      <w:r>
        <w:t xml:space="preserve">Score every transaction with the active detector.</w:t>
      </w:r>
    </w:p>
    <w:p>
      <w:pPr>
        <w:pStyle w:val="ListParagraph"/>
        <w:numPr>
          <w:ilvl w:val="0"/>
          <w:numId w:val="3"/>
        </w:numPr>
      </w:pPr>
      <w:r>
        <w:t xml:space="preserve">Store fitness, novelty, verdict, and lineage.</w:t>
      </w:r>
    </w:p>
    <w:p>
      <w:pPr>
        <w:pStyle w:val="ListParagraph"/>
        <w:numPr>
          <w:ilvl w:val="0"/>
          <w:numId w:val="3"/>
        </w:numPr>
      </w:pPr>
      <w:r>
        <w:t xml:space="preserve">Select the next parents from measured outcomes.</w:t>
      </w:r>
    </w:p>
    <w:p>
      <w:r>
        <w:br w:type="page"/>
      </w:r>
    </w:p>
    <w:p>
      <w:pPr>
        <w:pStyle w:val="Heading2"/>
      </w:pPr>
      <w:r>
        <w:t xml:space="preserve">Search algorithm</w:t>
      </w:r>
    </w:p>
    <w:p>
      <w:r>
        <w:t xml:space="preserve">The MVP uses bounded evolutionary beam search. It needs no new optimizer, trains no search model, and supports visible lineage.</w:t>
      </w:r>
    </w:p>
    <w:p>
      <w:r>
        <w:t xml:space="preserve">A multi-armed bandit needs a stable arm definition. Bayesian optimization adds complexity that the small bounded search does not require.</w:t>
      </w:r>
    </w:p>
    <w:p>
      <w:pPr>
        <w:pStyle w:val="Heading1"/>
      </w:pPr>
      <w:r>
        <w:t xml:space="preserve">8. DEFEND</w:t>
      </w:r>
    </w:p>
    <w:p>
      <w:pPr>
        <w:pStyle w:val="Heading2"/>
      </w:pPr>
      <w:r>
        <w:t xml:space="preserve">Synthetic Payment Digital Twin</w:t>
      </w:r>
    </w:p>
    <w:p>
      <w:r>
        <w:t xml:space="preserve">The simulator creates synthetic customers, accounts, tokens, merchants, MCCs, devices, sessions, countries, histories, sequences, and graph relationships.</w:t>
      </w:r>
    </w:p>
    <w:p>
      <w:r>
        <w:t xml:space="preserve">Each transaction stores the payment identity, amount, time, channel, geography, scenario identifier, kind, and deterministic ground truth.</w:t>
      </w:r>
    </w:p>
    <w:p>
      <w:pPr>
        <w:pStyle w:val="Heading2"/>
      </w:pPr>
      <w:r>
        <w:t xml:space="preserve">Data Strategy</w:t>
      </w:r>
    </w:p>
    <w:p>
      <w:r>
        <w:t xml:space="preserve">The prototype uses no external competition dataset. It records synthetic provenance, fixed seeds, and train-search-development-test separation.</w:t>
      </w:r>
    </w:p>
    <w:p>
      <w:pPr>
        <w:pStyle w:val="Heading2"/>
      </w:pPr>
      <w:r>
        <w:t xml:space="preserve">Fraud-Detection Architecture</w:t>
      </w:r>
    </w:p>
    <w:p>
      <w:r>
        <w:t xml:space="preserve">The baseline combines calibrated rules with logistic regression. It uses eight behavioural features and emits reason codes.</w:t>
      </w:r>
    </w:p>
    <w:p>
      <w:r>
        <w:t xml:space="preserve">The advanced defense adds merchant-convergence graph signals. The selected mule family requires relationship evidence across accounts.</w:t>
      </w:r>
    </w:p>
    <w:p>
      <w:r>
        <w:t xml:space="preserve">The architecture does not add a graph database or graph neural network. The in-memory signal covers the selected proof.</w:t>
      </w:r>
    </w:p>
    <w:p>
      <w:pPr>
        <w:pStyle w:val="Heading2"/>
      </w:pPr>
      <w:r>
        <w:t xml:space="preserve">Blue-Team Architecture</w:t>
      </w:r>
    </w:p>
    <w:p>
      <w:r>
        <w:t xml:space="preserve">Evaded transactions are part of a coordinated newcomer burst: several recently-minted identities make their first payments at one merchant within 48 hours. Point-wise features stay individually mild, so the linear score under-fires while the cluster structure is visible in the merchant graph.</w:t>
      </w:r>
    </w:p>
    <w:p>
      <w:pPr>
        <w:pStyle w:val="ListParagraph"/>
        <w:numPr>
          <w:ilvl w:val="0"/>
          <w:numId w:val="2"/>
        </w:numPr>
      </w:pPr>
      <w:r>
        <w:t xml:space="preserve">median newcomer_count_48h on misses = 2.00</w:t>
      </w:r>
    </w:p>
    <w:p>
      <w:pPr>
        <w:pStyle w:val="ListParagraph"/>
        <w:numPr>
          <w:ilvl w:val="0"/>
          <w:numId w:val="2"/>
        </w:numPr>
      </w:pPr>
      <w:r>
        <w:t xml:space="preserve">median newcomer_burst_score on misses = 0.62</w:t>
      </w:r>
    </w:p>
    <w:p>
      <w:pPr>
        <w:pStyle w:val="ListParagraph"/>
        <w:numPr>
          <w:ilvl w:val="0"/>
          <w:numId w:val="2"/>
        </w:numPr>
      </w:pPr>
      <w:r>
        <w:t xml:space="preserve">median amt_z on misses only 1.75 — below classic anomaly thresholds</w:t>
      </w:r>
    </w:p>
    <w:p>
      <w:pPr>
        <w:pStyle w:val="ListParagraph"/>
        <w:numPr>
          <w:ilvl w:val="0"/>
          <w:numId w:val="2"/>
        </w:numPr>
      </w:pPr>
      <w:r>
        <w:t xml:space="preserve">catch reasons concentrate elsewhere: ODD_HOUR, AMOUNT_ANOMALY, VELOCITY_HIGH</w:t>
      </w:r>
    </w:p>
    <w:p>
      <w:r>
        <w:t xml:space="preserve">Recommended change: Set graph_weight to its bounded maximum (0.6) and nudge the decision threshold down 3 points. The deadzone keeps legitimate traffic unaffected; the referee's FPR gate polices the sensitivity increase.</w:t>
      </w:r>
    </w:p>
    <w:p>
      <w:r>
        <w:t xml:space="preserve">Expected tradeoff: A small deliberate false-positive increase, well inside the gate absolute and relative budgets; the recall gain concentrates on coordinated fan-out families.</w:t>
      </w:r>
    </w:p>
    <w:p>
      <w:pPr>
        <w:pStyle w:val="Heading2"/>
      </w:pPr>
      <w:r>
        <w:t xml:space="preserve">Deterministic Referee</w:t>
      </w:r>
    </w:p>
    <w:p>
      <w:pPr>
        <w:pStyle w:val="ListParagraph"/>
        <w:numPr>
          <w:ilvl w:val="0"/>
          <w:numId w:val="2"/>
        </w:numPr>
      </w:pPr>
      <w:r>
        <w:t xml:space="preserve">Own all ground-truth labels and experiment seeds.</w:t>
      </w:r>
    </w:p>
    <w:p>
      <w:pPr>
        <w:pStyle w:val="ListParagraph"/>
        <w:numPr>
          <w:ilvl w:val="0"/>
          <w:numId w:val="2"/>
        </w:numPr>
      </w:pPr>
      <w:r>
        <w:t xml:space="preserve">Compute every metric, fitness value, and novelty value.</w:t>
      </w:r>
    </w:p>
    <w:p>
      <w:pPr>
        <w:pStyle w:val="ListParagraph"/>
        <w:numPr>
          <w:ilvl w:val="0"/>
          <w:numId w:val="2"/>
        </w:numPr>
      </w:pPr>
      <w:r>
        <w:t xml:space="preserve">Confirm each blind spot with fresh seeds.</w:t>
      </w:r>
    </w:p>
    <w:p>
      <w:pPr>
        <w:pStyle w:val="ListParagraph"/>
        <w:numPr>
          <w:ilvl w:val="0"/>
          <w:numId w:val="2"/>
        </w:numPr>
      </w:pPr>
      <w:r>
        <w:t xml:space="preserve">Apply every defense acceptance threshold.</w:t>
      </w:r>
    </w:p>
    <w:p>
      <w:pPr>
        <w:pStyle w:val="ListParagraph"/>
        <w:numPr>
          <w:ilvl w:val="0"/>
          <w:numId w:val="2"/>
        </w:numPr>
      </w:pPr>
      <w:r>
        <w:t xml:space="preserve">Replay stored scenarios under both model versions.</w:t>
      </w:r>
    </w:p>
    <w:p>
      <w:pPr>
        <w:pStyle w:val="ListParagraph"/>
        <w:numPr>
          <w:ilvl w:val="0"/>
          <w:numId w:val="2"/>
        </w:numPr>
      </w:pPr>
      <w:r>
        <w:t xml:space="preserve">Write versioned experiment records.</w:t>
      </w:r>
    </w:p>
    <w:p>
      <w:pPr>
        <w:shd w:fill="EAF3FA" w:color="auto" w:val="clear"/>
        <w:spacing w:after="180" w:before="100"/>
        <w:ind w:left="160" w:right="160"/>
      </w:pPr>
      <w:r>
        <w:rPr>
          <w:b/>
          <w:bCs/>
          <w:color w:val="1A1A1A"/>
        </w:rPr>
        <w:t xml:space="preserve">TRUST ANCHOR: </w:t>
      </w:r>
      <w:r>
        <w:t xml:space="preserve">Neither AI grades itself.</w:t>
      </w:r>
    </w:p>
    <w:p>
      <w:r>
        <w:br w:type="page"/>
      </w:r>
    </w:p>
    <w:p>
      <w:pPr>
        <w:pStyle w:val="Heading1"/>
      </w:pPr>
      <w:r>
        <w:t xml:space="preserve">9. Experimental Methodology</w:t>
      </w:r>
    </w:p>
    <w:p>
      <w:pPr>
        <w:pStyle w:val="Heading2"/>
      </w:pPr>
      <w:r>
        <w:t xml:space="preserve">Isolation</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2300"/>
        <w:gridCol w:w="1600"/>
        <w:gridCol w:w="5220"/>
      </w:tblGrid>
      <w:tr>
        <w:trPr>
          <w:cantSplit/>
          <w:tblHeader/>
        </w:trPr>
        <w:tc>
          <w:tcPr>
            <w:tcW w:type="dxa" w:w="2300"/>
            <w:shd w:fill="1A1A1A" w:color="auto" w:val="clear"/>
            <w:vAlign w:val="center"/>
          </w:tcPr>
          <w:p>
            <w:pPr>
              <w:spacing w:after="0" w:line="240"/>
            </w:pPr>
            <w:r>
              <w:rPr>
                <w:b/>
                <w:bCs/>
                <w:color w:val="FFFFFF"/>
                <w:sz w:val="19"/>
                <w:szCs w:val="19"/>
              </w:rPr>
              <w:t xml:space="preserve">Environment</w:t>
            </w:r>
          </w:p>
        </w:tc>
        <w:tc>
          <w:tcPr>
            <w:tcW w:type="dxa" w:w="1600"/>
            <w:shd w:fill="1A1A1A" w:color="auto" w:val="clear"/>
            <w:vAlign w:val="center"/>
          </w:tcPr>
          <w:p>
            <w:pPr>
              <w:spacing w:after="0" w:line="240"/>
            </w:pPr>
            <w:r>
              <w:rPr>
                <w:b/>
                <w:bCs/>
                <w:color w:val="FFFFFF"/>
                <w:sz w:val="19"/>
                <w:szCs w:val="19"/>
              </w:rPr>
              <w:t xml:space="preserve">Seed</w:t>
            </w:r>
          </w:p>
        </w:tc>
        <w:tc>
          <w:tcPr>
            <w:tcW w:type="dxa" w:w="5220"/>
            <w:shd w:fill="1A1A1A" w:color="auto" w:val="clear"/>
            <w:vAlign w:val="center"/>
          </w:tcPr>
          <w:p>
            <w:pPr>
              <w:spacing w:after="0" w:line="240"/>
            </w:pPr>
            <w:r>
              <w:rPr>
                <w:b/>
                <w:bCs/>
                <w:color w:val="FFFFFF"/>
                <w:sz w:val="19"/>
                <w:szCs w:val="19"/>
              </w:rPr>
              <w:t xml:space="preserve">Purpose</w:t>
            </w:r>
          </w:p>
        </w:tc>
      </w:tr>
      <w:tr>
        <w:trPr>
          <w:cantSplit/>
          <w:tblHeader w:val="false"/>
        </w:trPr>
        <w:tc>
          <w:tcPr>
            <w:tcW w:type="dxa" w:w="2300"/>
            <w:vAlign w:val="center"/>
          </w:tcPr>
          <w:p>
            <w:pPr>
              <w:spacing w:after="0" w:line="240"/>
            </w:pPr>
            <w:r>
              <w:rPr>
                <w:b w:val="false"/>
                <w:bCs w:val="false"/>
                <w:color w:val="17212B"/>
                <w:sz w:val="19"/>
                <w:szCs w:val="19"/>
              </w:rPr>
              <w:t xml:space="preserve">Training</w:t>
            </w:r>
          </w:p>
        </w:tc>
        <w:tc>
          <w:tcPr>
            <w:tcW w:type="dxa" w:w="1600"/>
            <w:vAlign w:val="center"/>
          </w:tcPr>
          <w:p>
            <w:pPr>
              <w:spacing w:after="0" w:line="240"/>
            </w:pPr>
            <w:r>
              <w:rPr>
                <w:b w:val="false"/>
                <w:bCs w:val="false"/>
                <w:color w:val="17212B"/>
                <w:sz w:val="19"/>
                <w:szCs w:val="19"/>
              </w:rPr>
              <w:t xml:space="preserve">10101</w:t>
            </w:r>
          </w:p>
        </w:tc>
        <w:tc>
          <w:tcPr>
            <w:tcW w:type="dxa" w:w="5220"/>
            <w:vAlign w:val="center"/>
          </w:tcPr>
          <w:p>
            <w:pPr>
              <w:spacing w:after="0" w:line="240"/>
            </w:pPr>
            <w:r>
              <w:rPr>
                <w:b w:val="false"/>
                <w:bCs w:val="false"/>
                <w:color w:val="17212B"/>
                <w:sz w:val="19"/>
                <w:szCs w:val="19"/>
              </w:rPr>
              <w:t xml:space="preserve">Fit the baseline on known behavior</w:t>
            </w:r>
          </w:p>
        </w:tc>
      </w:tr>
      <w:tr>
        <w:trPr>
          <w:cantSplit/>
          <w:tblHeader w:val="false"/>
        </w:trPr>
        <w:tc>
          <w:tcPr>
            <w:tcW w:type="dxa" w:w="2300"/>
            <w:shd w:fill="F2F4F7" w:color="auto" w:val="clear"/>
            <w:vAlign w:val="center"/>
          </w:tcPr>
          <w:p>
            <w:pPr>
              <w:spacing w:after="0" w:line="240"/>
            </w:pPr>
            <w:r>
              <w:rPr>
                <w:b w:val="false"/>
                <w:bCs w:val="false"/>
                <w:color w:val="17212B"/>
                <w:sz w:val="19"/>
                <w:szCs w:val="19"/>
              </w:rPr>
              <w:t xml:space="preserve">Red search</w:t>
            </w:r>
          </w:p>
        </w:tc>
        <w:tc>
          <w:tcPr>
            <w:tcW w:type="dxa" w:w="1600"/>
            <w:shd w:fill="F2F4F7" w:color="auto" w:val="clear"/>
            <w:vAlign w:val="center"/>
          </w:tcPr>
          <w:p>
            <w:pPr>
              <w:spacing w:after="0" w:line="240"/>
            </w:pPr>
            <w:r>
              <w:rPr>
                <w:b w:val="false"/>
                <w:bCs w:val="false"/>
                <w:color w:val="17212B"/>
                <w:sz w:val="19"/>
                <w:szCs w:val="19"/>
              </w:rPr>
              <w:t xml:space="preserve">20202</w:t>
            </w:r>
          </w:p>
        </w:tc>
        <w:tc>
          <w:tcPr>
            <w:tcW w:type="dxa" w:w="5220"/>
            <w:shd w:fill="F2F4F7" w:color="auto" w:val="clear"/>
            <w:vAlign w:val="center"/>
          </w:tcPr>
          <w:p>
            <w:pPr>
              <w:spacing w:after="0" w:line="240"/>
            </w:pPr>
            <w:r>
              <w:rPr>
                <w:b w:val="false"/>
                <w:bCs w:val="false"/>
                <w:color w:val="17212B"/>
                <w:sz w:val="19"/>
                <w:szCs w:val="19"/>
              </w:rPr>
              <w:t xml:space="preserve">Explore adaptive attacks</w:t>
            </w:r>
          </w:p>
        </w:tc>
      </w:tr>
      <w:tr>
        <w:trPr>
          <w:cantSplit/>
          <w:tblHeader w:val="false"/>
        </w:trPr>
        <w:tc>
          <w:tcPr>
            <w:tcW w:type="dxa" w:w="2300"/>
            <w:vAlign w:val="center"/>
          </w:tcPr>
          <w:p>
            <w:pPr>
              <w:spacing w:after="0" w:line="240"/>
            </w:pPr>
            <w:r>
              <w:rPr>
                <w:b w:val="false"/>
                <w:bCs w:val="false"/>
                <w:color w:val="17212B"/>
                <w:sz w:val="19"/>
                <w:szCs w:val="19"/>
              </w:rPr>
              <w:t xml:space="preserve">Blue development</w:t>
            </w:r>
          </w:p>
        </w:tc>
        <w:tc>
          <w:tcPr>
            <w:tcW w:type="dxa" w:w="1600"/>
            <w:vAlign w:val="center"/>
          </w:tcPr>
          <w:p>
            <w:pPr>
              <w:spacing w:after="0" w:line="240"/>
            </w:pPr>
            <w:r>
              <w:rPr>
                <w:b w:val="false"/>
                <w:bCs w:val="false"/>
                <w:color w:val="17212B"/>
                <w:sz w:val="19"/>
                <w:szCs w:val="19"/>
              </w:rPr>
              <w:t xml:space="preserve">30303</w:t>
            </w:r>
          </w:p>
        </w:tc>
        <w:tc>
          <w:tcPr>
            <w:tcW w:type="dxa" w:w="5220"/>
            <w:vAlign w:val="center"/>
          </w:tcPr>
          <w:p>
            <w:pPr>
              <w:spacing w:after="0" w:line="240"/>
            </w:pPr>
            <w:r>
              <w:rPr>
                <w:b w:val="false"/>
                <w:bCs w:val="false"/>
                <w:color w:val="17212B"/>
                <w:sz w:val="19"/>
                <w:szCs w:val="19"/>
              </w:rPr>
              <w:t xml:space="preserve">Create a defense hypothesis</w:t>
            </w:r>
          </w:p>
        </w:tc>
      </w:tr>
      <w:tr>
        <w:trPr>
          <w:cantSplit/>
          <w:tblHeader w:val="false"/>
        </w:trPr>
        <w:tc>
          <w:tcPr>
            <w:tcW w:type="dxa" w:w="2300"/>
            <w:shd w:fill="F2F4F7" w:color="auto" w:val="clear"/>
            <w:vAlign w:val="center"/>
          </w:tcPr>
          <w:p>
            <w:pPr>
              <w:spacing w:after="0" w:line="240"/>
            </w:pPr>
            <w:r>
              <w:rPr>
                <w:b w:val="false"/>
                <w:bCs w:val="false"/>
                <w:color w:val="17212B"/>
                <w:sz w:val="19"/>
                <w:szCs w:val="19"/>
              </w:rPr>
              <w:t xml:space="preserve">Final test</w:t>
            </w:r>
          </w:p>
        </w:tc>
        <w:tc>
          <w:tcPr>
            <w:tcW w:type="dxa" w:w="1600"/>
            <w:shd w:fill="F2F4F7" w:color="auto" w:val="clear"/>
            <w:vAlign w:val="center"/>
          </w:tcPr>
          <w:p>
            <w:pPr>
              <w:spacing w:after="0" w:line="240"/>
            </w:pPr>
            <w:r>
              <w:rPr>
                <w:b w:val="false"/>
                <w:bCs w:val="false"/>
                <w:color w:val="17212B"/>
                <w:sz w:val="19"/>
                <w:szCs w:val="19"/>
              </w:rPr>
              <w:t xml:space="preserve">40404</w:t>
            </w:r>
          </w:p>
        </w:tc>
        <w:tc>
          <w:tcPr>
            <w:tcW w:type="dxa" w:w="5220"/>
            <w:shd w:fill="F2F4F7" w:color="auto" w:val="clear"/>
            <w:vAlign w:val="center"/>
          </w:tcPr>
          <w:p>
            <w:pPr>
              <w:spacing w:after="0" w:line="240"/>
            </w:pPr>
            <w:r>
              <w:rPr>
                <w:b w:val="false"/>
                <w:bCs w:val="false"/>
                <w:color w:val="17212B"/>
                <w:sz w:val="19"/>
                <w:szCs w:val="19"/>
              </w:rPr>
              <w:t xml:space="preserve">Test fresh attacks and legitimate traffic</w:t>
            </w:r>
          </w:p>
        </w:tc>
      </w:tr>
    </w:tbl>
    <w:p>
      <w:pPr>
        <w:pStyle w:val="Heading2"/>
      </w:pPr>
      <w:r>
        <w:t xml:space="preserve">Novelty</w:t>
      </w:r>
    </w:p>
    <w:p>
      <w:r>
        <w:t xml:space="preserve">The novelty score equals the minimum normalized behavioral distance from every training template. The threshold equals 1.2.</w:t>
      </w:r>
    </w:p>
    <w:p>
      <w:r>
        <w:t xml:space="preserve">The distance uses logarithmic scaling for multiplicative dimensions and includes categorical changes. New wording cannot increase the score.</w:t>
      </w:r>
    </w:p>
    <w:p>
      <w:pPr>
        <w:pStyle w:val="Heading2"/>
      </w:pPr>
      <w:r>
        <w:t xml:space="preserve">Fitness</w:t>
      </w:r>
    </w:p>
    <w:p>
      <w:pPr>
        <w:shd w:fill="EAF3FA" w:color="auto" w:val="clear"/>
        <w:spacing w:after="180" w:before="100"/>
        <w:ind w:left="160" w:right="160"/>
      </w:pPr>
      <w:r>
        <w:rPr>
          <w:b/>
          <w:bCs/>
          <w:color w:val="1A1A1A"/>
        </w:rPr>
        <w:t xml:space="preserve">FORMULA: </w:t>
      </w:r>
      <w:r>
        <w:t xml:space="preserve">fitness = evasion + novelty bonus - unrealistic behavior penalties</w:t>
      </w:r>
    </w:p>
    <w:p>
      <w:r>
        <w:t xml:space="preserve">The target is maximum evasion among valid, plausible synthetic behavior. The LLM cannot submit a fitness value.</w:t>
      </w:r>
    </w:p>
    <w:p>
      <w:pPr>
        <w:pStyle w:val="Heading2"/>
      </w:pPr>
      <w:r>
        <w:t xml:space="preserve">Defense Gate</w:t>
      </w:r>
    </w:p>
    <w:p>
      <w:pPr>
        <w:pStyle w:val="ListParagraph"/>
        <w:numPr>
          <w:ilvl w:val="0"/>
          <w:numId w:val="2"/>
        </w:numPr>
      </w:pPr>
      <w:r>
        <w:t xml:space="preserve">Improve held-out threat recall by at least five percentage points.</w:t>
      </w:r>
    </w:p>
    <w:p>
      <w:pPr>
        <w:pStyle w:val="ListParagraph"/>
        <w:numPr>
          <w:ilvl w:val="0"/>
          <w:numId w:val="2"/>
        </w:numPr>
      </w:pPr>
      <w:r>
        <w:t xml:space="preserve">Keep the FPR increase within one percentage point.</w:t>
      </w:r>
    </w:p>
    <w:p>
      <w:pPr>
        <w:pStyle w:val="ListParagraph"/>
        <w:numPr>
          <w:ilvl w:val="0"/>
          <w:numId w:val="2"/>
        </w:numPr>
      </w:pPr>
      <w:r>
        <w:t xml:space="preserve">Improve at least four of five fresh descendants.</w:t>
      </w:r>
    </w:p>
    <w:p>
      <w:pPr>
        <w:pStyle w:val="ListParagraph"/>
        <w:numPr>
          <w:ilvl w:val="0"/>
          <w:numId w:val="2"/>
        </w:numPr>
      </w:pPr>
      <w:r>
        <w:t xml:space="preserve">Replay the exact stored attack with the original seed.</w:t>
      </w:r>
    </w:p>
    <w:p>
      <w:pPr>
        <w:pStyle w:val="Heading2"/>
      </w:pPr>
      <w:r>
        <w:t xml:space="preserve">Versioning</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3300"/>
        <w:gridCol w:w="5820"/>
      </w:tblGrid>
      <w:tr>
        <w:trPr>
          <w:cantSplit/>
          <w:tblHeader/>
        </w:trPr>
        <w:tc>
          <w:tcPr>
            <w:tcW w:type="dxa" w:w="3300"/>
            <w:shd w:fill="1A1A1A" w:color="auto" w:val="clear"/>
            <w:vAlign w:val="center"/>
          </w:tcPr>
          <w:p>
            <w:pPr>
              <w:spacing w:after="0" w:line="240"/>
            </w:pPr>
            <w:r>
              <w:rPr>
                <w:b/>
                <w:bCs/>
                <w:color w:val="FFFFFF"/>
                <w:sz w:val="19"/>
                <w:szCs w:val="19"/>
              </w:rPr>
              <w:t xml:space="preserve">Artifact</w:t>
            </w:r>
          </w:p>
        </w:tc>
        <w:tc>
          <w:tcPr>
            <w:tcW w:type="dxa" w:w="5820"/>
            <w:shd w:fill="1A1A1A" w:color="auto" w:val="clear"/>
            <w:vAlign w:val="center"/>
          </w:tcPr>
          <w:p>
            <w:pPr>
              <w:spacing w:after="0" w:line="240"/>
            </w:pPr>
            <w:r>
              <w:rPr>
                <w:b/>
                <w:bCs/>
                <w:color w:val="FFFFFF"/>
                <w:sz w:val="19"/>
                <w:szCs w:val="19"/>
              </w:rPr>
              <w:t xml:space="preserve">Version</w:t>
            </w:r>
          </w:p>
        </w:tc>
      </w:tr>
      <w:tr>
        <w:trPr>
          <w:cantSplit/>
          <w:tblHeader w:val="false"/>
        </w:trPr>
        <w:tc>
          <w:tcPr>
            <w:tcW w:type="dxa" w:w="3300"/>
            <w:vAlign w:val="center"/>
          </w:tcPr>
          <w:p>
            <w:pPr>
              <w:spacing w:after="0" w:line="240"/>
            </w:pPr>
            <w:r>
              <w:rPr>
                <w:b w:val="false"/>
                <w:bCs w:val="false"/>
                <w:color w:val="17212B"/>
                <w:sz w:val="19"/>
                <w:szCs w:val="19"/>
              </w:rPr>
              <w:t xml:space="preserve">dataset_version</w:t>
            </w:r>
          </w:p>
        </w:tc>
        <w:tc>
          <w:tcPr>
            <w:tcW w:type="dxa" w:w="5820"/>
            <w:vAlign w:val="center"/>
          </w:tcPr>
          <w:p>
            <w:pPr>
              <w:spacing w:after="0" w:line="240"/>
            </w:pPr>
            <w:r>
              <w:rPr>
                <w:b w:val="false"/>
                <w:bCs w:val="false"/>
                <w:color w:val="17212B"/>
                <w:sz w:val="19"/>
                <w:szCs w:val="19"/>
              </w:rPr>
              <w:t xml:space="preserve">synth-pop-1.3.0</w:t>
            </w:r>
          </w:p>
        </w:tc>
      </w:tr>
      <w:tr>
        <w:trPr>
          <w:cantSplit/>
          <w:tblHeader w:val="false"/>
        </w:trPr>
        <w:tc>
          <w:tcPr>
            <w:tcW w:type="dxa" w:w="3300"/>
            <w:shd w:fill="F2F4F7" w:color="auto" w:val="clear"/>
            <w:vAlign w:val="center"/>
          </w:tcPr>
          <w:p>
            <w:pPr>
              <w:spacing w:after="0" w:line="240"/>
            </w:pPr>
            <w:r>
              <w:rPr>
                <w:b w:val="false"/>
                <w:bCs w:val="false"/>
                <w:color w:val="17212B"/>
                <w:sz w:val="19"/>
                <w:szCs w:val="19"/>
              </w:rPr>
              <w:t xml:space="preserve">attack_version</w:t>
            </w:r>
          </w:p>
        </w:tc>
        <w:tc>
          <w:tcPr>
            <w:tcW w:type="dxa" w:w="5820"/>
            <w:shd w:fill="F2F4F7" w:color="auto" w:val="clear"/>
            <w:vAlign w:val="center"/>
          </w:tcPr>
          <w:p>
            <w:pPr>
              <w:spacing w:after="0" w:line="240"/>
            </w:pPr>
            <w:r>
              <w:rPr>
                <w:b w:val="false"/>
                <w:bCs w:val="false"/>
                <w:color w:val="17212B"/>
                <w:sz w:val="19"/>
                <w:szCs w:val="19"/>
              </w:rPr>
              <w:t xml:space="preserve">genome-1.2.0</w:t>
            </w:r>
          </w:p>
        </w:tc>
      </w:tr>
      <w:tr>
        <w:trPr>
          <w:cantSplit/>
          <w:tblHeader w:val="false"/>
        </w:trPr>
        <w:tc>
          <w:tcPr>
            <w:tcW w:type="dxa" w:w="3300"/>
            <w:vAlign w:val="center"/>
          </w:tcPr>
          <w:p>
            <w:pPr>
              <w:spacing w:after="0" w:line="240"/>
            </w:pPr>
            <w:r>
              <w:rPr>
                <w:b w:val="false"/>
                <w:bCs w:val="false"/>
                <w:color w:val="17212B"/>
                <w:sz w:val="19"/>
                <w:szCs w:val="19"/>
              </w:rPr>
              <w:t xml:space="preserve">detector_version</w:t>
            </w:r>
          </w:p>
        </w:tc>
        <w:tc>
          <w:tcPr>
            <w:tcW w:type="dxa" w:w="5820"/>
            <w:vAlign w:val="center"/>
          </w:tcPr>
          <w:p>
            <w:pPr>
              <w:spacing w:after="0" w:line="240"/>
            </w:pPr>
            <w:r>
              <w:rPr>
                <w:b w:val="false"/>
                <w:bCs w:val="false"/>
                <w:color w:val="17212B"/>
                <w:sz w:val="19"/>
                <w:szCs w:val="19"/>
              </w:rPr>
              <w:t xml:space="preserve">risk-engine-1.1.0</w:t>
            </w:r>
          </w:p>
        </w:tc>
      </w:tr>
      <w:tr>
        <w:trPr>
          <w:cantSplit/>
          <w:tblHeader w:val="false"/>
        </w:trPr>
        <w:tc>
          <w:tcPr>
            <w:tcW w:type="dxa" w:w="3300"/>
            <w:shd w:fill="F2F4F7" w:color="auto" w:val="clear"/>
            <w:vAlign w:val="center"/>
          </w:tcPr>
          <w:p>
            <w:pPr>
              <w:spacing w:after="0" w:line="240"/>
            </w:pPr>
            <w:r>
              <w:rPr>
                <w:b w:val="false"/>
                <w:bCs w:val="false"/>
                <w:color w:val="17212B"/>
                <w:sz w:val="19"/>
                <w:szCs w:val="19"/>
              </w:rPr>
              <w:t xml:space="preserve">defense_version</w:t>
            </w:r>
          </w:p>
        </w:tc>
        <w:tc>
          <w:tcPr>
            <w:tcW w:type="dxa" w:w="5820"/>
            <w:shd w:fill="F2F4F7" w:color="auto" w:val="clear"/>
            <w:vAlign w:val="center"/>
          </w:tcPr>
          <w:p>
            <w:pPr>
              <w:spacing w:after="0" w:line="240"/>
            </w:pPr>
            <w:r>
              <w:rPr>
                <w:b w:val="false"/>
                <w:bCs w:val="false"/>
                <w:color w:val="17212B"/>
                <w:sz w:val="19"/>
                <w:szCs w:val="19"/>
              </w:rPr>
              <w:t xml:space="preserve">risk-engine-2.0.0</w:t>
            </w:r>
          </w:p>
        </w:tc>
      </w:tr>
      <w:tr>
        <w:trPr>
          <w:cantSplit/>
          <w:tblHeader w:val="false"/>
        </w:trPr>
        <w:tc>
          <w:tcPr>
            <w:tcW w:type="dxa" w:w="3300"/>
            <w:vAlign w:val="center"/>
          </w:tcPr>
          <w:p>
            <w:pPr>
              <w:spacing w:after="0" w:line="240"/>
            </w:pPr>
            <w:r>
              <w:rPr>
                <w:b w:val="false"/>
                <w:bCs w:val="false"/>
                <w:color w:val="17212B"/>
                <w:sz w:val="19"/>
                <w:szCs w:val="19"/>
              </w:rPr>
              <w:t xml:space="preserve">reasoning_version</w:t>
            </w:r>
          </w:p>
        </w:tc>
        <w:tc>
          <w:tcPr>
            <w:tcW w:type="dxa" w:w="5820"/>
            <w:vAlign w:val="center"/>
          </w:tcPr>
          <w:p>
            <w:pPr>
              <w:spacing w:after="0" w:line="240"/>
            </w:pPr>
            <w:r>
              <w:rPr>
                <w:b w:val="false"/>
                <w:bCs w:val="false"/>
                <w:color w:val="17212B"/>
                <w:sz w:val="19"/>
                <w:szCs w:val="19"/>
              </w:rPr>
              <w:t xml:space="preserve">demo-policy-v1</w:t>
            </w:r>
          </w:p>
        </w:tc>
      </w:tr>
    </w:tbl>
    <w:p>
      <w:r>
        <w:br w:type="page"/>
      </w:r>
    </w:p>
    <w:p>
      <w:pPr>
        <w:pStyle w:val="Heading2"/>
      </w:pPr>
      <w:r>
        <w:t xml:space="preserve">Automated test suite</w:t>
      </w:r>
    </w:p>
    <w:p>
      <w:r>
        <w:t xml:space="preserve">70 automated tests across 12 files. Run `npm run selfcheck` for the linter, type checker, full suite and production build.</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2200"/>
        <w:gridCol w:w="5120"/>
        <w:gridCol w:w="1800"/>
      </w:tblGrid>
      <w:tr>
        <w:trPr>
          <w:cantSplit/>
          <w:tblHeader/>
        </w:trPr>
        <w:tc>
          <w:tcPr>
            <w:tcW w:type="dxa" w:w="2200"/>
            <w:shd w:fill="1A1A1A" w:color="auto" w:val="clear"/>
            <w:vAlign w:val="center"/>
          </w:tcPr>
          <w:p>
            <w:pPr>
              <w:spacing w:after="0" w:line="240"/>
            </w:pPr>
            <w:r>
              <w:rPr>
                <w:b/>
                <w:bCs/>
                <w:color w:val="FFFFFF"/>
                <w:sz w:val="19"/>
                <w:szCs w:val="19"/>
              </w:rPr>
              <w:t xml:space="preserve">Area</w:t>
            </w:r>
          </w:p>
        </w:tc>
        <w:tc>
          <w:tcPr>
            <w:tcW w:type="dxa" w:w="5120"/>
            <w:shd w:fill="1A1A1A" w:color="auto" w:val="clear"/>
            <w:vAlign w:val="center"/>
          </w:tcPr>
          <w:p>
            <w:pPr>
              <w:spacing w:after="0" w:line="240"/>
            </w:pPr>
            <w:r>
              <w:rPr>
                <w:b/>
                <w:bCs/>
                <w:color w:val="FFFFFF"/>
                <w:sz w:val="19"/>
                <w:szCs w:val="19"/>
              </w:rPr>
              <w:t xml:space="preserve">What is proved</w:t>
            </w:r>
          </w:p>
        </w:tc>
        <w:tc>
          <w:tcPr>
            <w:tcW w:type="dxa" w:w="1800"/>
            <w:shd w:fill="1A1A1A" w:color="auto" w:val="clear"/>
            <w:vAlign w:val="center"/>
          </w:tcPr>
          <w:p>
            <w:pPr>
              <w:spacing w:after="0" w:line="240"/>
            </w:pPr>
            <w:r>
              <w:rPr>
                <w:b/>
                <w:bCs/>
                <w:color w:val="FFFFFF"/>
                <w:sz w:val="19"/>
                <w:szCs w:val="19"/>
              </w:rPr>
              <w:t xml:space="preserve">File</w:t>
            </w:r>
          </w:p>
        </w:tc>
      </w:tr>
      <w:tr>
        <w:trPr>
          <w:cantSplit/>
          <w:tblHeader w:val="false"/>
        </w:trPr>
        <w:tc>
          <w:tcPr>
            <w:tcW w:type="dxa" w:w="2200"/>
            <w:vAlign w:val="center"/>
          </w:tcPr>
          <w:p>
            <w:pPr>
              <w:spacing w:after="0" w:line="240"/>
            </w:pPr>
            <w:r>
              <w:rPr>
                <w:b w:val="false"/>
                <w:bCs w:val="false"/>
                <w:color w:val="17212B"/>
                <w:sz w:val="19"/>
                <w:szCs w:val="19"/>
              </w:rPr>
              <w:t xml:space="preserve">Baseline behaviour</w:t>
            </w:r>
          </w:p>
        </w:tc>
        <w:tc>
          <w:tcPr>
            <w:tcW w:type="dxa" w:w="5120"/>
            <w:vAlign w:val="center"/>
          </w:tcPr>
          <w:p>
            <w:pPr>
              <w:spacing w:after="0" w:line="240"/>
            </w:pPr>
            <w:r>
              <w:rPr>
                <w:b w:val="false"/>
                <w:bCs w:val="false"/>
                <w:color w:val="17212B"/>
                <w:sz w:val="19"/>
                <w:szCs w:val="19"/>
              </w:rPr>
              <w:t xml:space="preserve">Legitimate traffic stays under the FPR budget; each loud family is caught</w:t>
            </w:r>
          </w:p>
        </w:tc>
        <w:tc>
          <w:tcPr>
            <w:tcW w:type="dxa" w:w="1800"/>
            <w:vAlign w:val="center"/>
          </w:tcPr>
          <w:p>
            <w:pPr>
              <w:spacing w:after="0" w:line="240"/>
            </w:pPr>
            <w:r>
              <w:rPr>
                <w:b w:val="false"/>
                <w:bCs w:val="false"/>
                <w:color w:val="17212B"/>
                <w:sz w:val="19"/>
                <w:szCs w:val="19"/>
              </w:rPr>
              <w:t xml:space="preserve">phase0, new-families</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Attack families</w:t>
            </w:r>
          </w:p>
        </w:tc>
        <w:tc>
          <w:tcPr>
            <w:tcW w:type="dxa" w:w="5120"/>
            <w:shd w:fill="F2F4F7" w:color="auto" w:val="clear"/>
            <w:vAlign w:val="center"/>
          </w:tcPr>
          <w:p>
            <w:pPr>
              <w:spacing w:after="0" w:line="240"/>
            </w:pPr>
            <w:r>
              <w:rPr>
                <w:b w:val="false"/>
                <w:bCs w:val="false"/>
                <w:color w:val="17212B"/>
                <w:sz w:val="19"/>
                <w:szCs w:val="19"/>
              </w:rPr>
              <w:t xml:space="preserve">Every declared family has a schema-valid root; ATO rides a REAL population account; structuring places legs under ceilings across merchants</w:t>
            </w:r>
          </w:p>
        </w:tc>
        <w:tc>
          <w:tcPr>
            <w:tcW w:type="dxa" w:w="1800"/>
            <w:shd w:fill="F2F4F7" w:color="auto" w:val="clear"/>
            <w:vAlign w:val="center"/>
          </w:tcPr>
          <w:p>
            <w:pPr>
              <w:spacing w:after="0" w:line="240"/>
            </w:pPr>
            <w:r>
              <w:rPr>
                <w:b w:val="false"/>
                <w:bCs w:val="false"/>
                <w:color w:val="17212B"/>
                <w:sz w:val="19"/>
                <w:szCs w:val="19"/>
              </w:rPr>
              <w:t xml:space="preserve">new-families</w:t>
            </w:r>
          </w:p>
        </w:tc>
      </w:tr>
      <w:tr>
        <w:trPr>
          <w:cantSplit/>
          <w:tblHeader w:val="false"/>
        </w:trPr>
        <w:tc>
          <w:tcPr>
            <w:tcW w:type="dxa" w:w="2200"/>
            <w:vAlign w:val="center"/>
          </w:tcPr>
          <w:p>
            <w:pPr>
              <w:spacing w:after="0" w:line="240"/>
            </w:pPr>
            <w:r>
              <w:rPr>
                <w:b w:val="false"/>
                <w:bCs w:val="false"/>
                <w:color w:val="17212B"/>
                <w:sz w:val="19"/>
                <w:szCs w:val="19"/>
              </w:rPr>
              <w:t xml:space="preserve">Red search</w:t>
            </w:r>
          </w:p>
        </w:tc>
        <w:tc>
          <w:tcPr>
            <w:tcW w:type="dxa" w:w="5120"/>
            <w:vAlign w:val="center"/>
          </w:tcPr>
          <w:p>
            <w:pPr>
              <w:spacing w:after="0" w:line="240"/>
            </w:pPr>
            <w:r>
              <w:rPr>
                <w:b w:val="false"/>
                <w:bCs w:val="false"/>
                <w:color w:val="17212B"/>
                <w:sz w:val="19"/>
                <w:szCs w:val="19"/>
              </w:rPr>
              <w:t xml:space="preserve">Invalid mutants are recorded and never simulated; evolution is conditioned on prior outcomes; a novel blind spot is found</w:t>
            </w:r>
          </w:p>
        </w:tc>
        <w:tc>
          <w:tcPr>
            <w:tcW w:type="dxa" w:w="1800"/>
            <w:vAlign w:val="center"/>
          </w:tcPr>
          <w:p>
            <w:pPr>
              <w:spacing w:after="0" w:line="240"/>
            </w:pPr>
            <w:r>
              <w:rPr>
                <w:b w:val="false"/>
                <w:bCs w:val="false"/>
                <w:color w:val="17212B"/>
                <w:sz w:val="19"/>
                <w:szCs w:val="19"/>
              </w:rPr>
              <w:t xml:space="preserve">loop, challenge-contract</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Blue and gate</w:t>
            </w:r>
          </w:p>
        </w:tc>
        <w:tc>
          <w:tcPr>
            <w:tcW w:type="dxa" w:w="5120"/>
            <w:shd w:fill="F2F4F7" w:color="auto" w:val="clear"/>
            <w:vAlign w:val="center"/>
          </w:tcPr>
          <w:p>
            <w:pPr>
              <w:spacing w:after="0" w:line="240"/>
            </w:pPr>
            <w:r>
              <w:rPr>
                <w:b w:val="false"/>
                <w:bCs w:val="false"/>
                <w:color w:val="17212B"/>
                <w:sz w:val="19"/>
                <w:szCs w:val="19"/>
              </w:rPr>
              <w:t xml:space="preserve">Proposals cite measured evidence and pass their schema; fresh-seed held-out evaluation, survival, replay and FPR regression</w:t>
            </w:r>
          </w:p>
        </w:tc>
        <w:tc>
          <w:tcPr>
            <w:tcW w:type="dxa" w:w="1800"/>
            <w:shd w:fill="F2F4F7" w:color="auto" w:val="clear"/>
            <w:vAlign w:val="center"/>
          </w:tcPr>
          <w:p>
            <w:pPr>
              <w:spacing w:after="0" w:line="240"/>
            </w:pPr>
            <w:r>
              <w:rPr>
                <w:b w:val="false"/>
                <w:bCs w:val="false"/>
                <w:color w:val="17212B"/>
                <w:sz w:val="19"/>
                <w:szCs w:val="19"/>
              </w:rPr>
              <w:t xml:space="preserve">loop</w:t>
            </w:r>
          </w:p>
        </w:tc>
      </w:tr>
      <w:tr>
        <w:trPr>
          <w:cantSplit/>
          <w:tblHeader w:val="false"/>
        </w:trPr>
        <w:tc>
          <w:tcPr>
            <w:tcW w:type="dxa" w:w="2200"/>
            <w:vAlign w:val="center"/>
          </w:tcPr>
          <w:p>
            <w:pPr>
              <w:spacing w:after="0" w:line="240"/>
            </w:pPr>
            <w:r>
              <w:rPr>
                <w:b w:val="false"/>
                <w:bCs w:val="false"/>
                <w:color w:val="17212B"/>
                <w:sz w:val="19"/>
                <w:szCs w:val="19"/>
              </w:rPr>
              <w:t xml:space="preserve">Metrics</w:t>
            </w:r>
          </w:p>
        </w:tc>
        <w:tc>
          <w:tcPr>
            <w:tcW w:type="dxa" w:w="5120"/>
            <w:vAlign w:val="center"/>
          </w:tcPr>
          <w:p>
            <w:pPr>
              <w:spacing w:after="0" w:line="240"/>
            </w:pPr>
            <w:r>
              <w:rPr>
                <w:b w:val="false"/>
                <w:bCs w:val="false"/>
                <w:color w:val="17212B"/>
                <w:sz w:val="19"/>
                <w:szCs w:val="19"/>
              </w:rPr>
              <w:t xml:space="preserve">Tie-aware ROC-AUC scores a fully tied ranking at exactly 0.5; both recall definitions; precision stays on the strict decline definition</w:t>
            </w:r>
          </w:p>
        </w:tc>
        <w:tc>
          <w:tcPr>
            <w:tcW w:type="dxa" w:w="1800"/>
            <w:vAlign w:val="center"/>
          </w:tcPr>
          <w:p>
            <w:pPr>
              <w:spacing w:after="0" w:line="240"/>
            </w:pPr>
            <w:r>
              <w:rPr>
                <w:b w:val="false"/>
                <w:bCs w:val="false"/>
                <w:color w:val="17212B"/>
                <w:sz w:val="19"/>
                <w:szCs w:val="19"/>
              </w:rPr>
              <w:t xml:space="preserve">new-families, metrics</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Statistics</w:t>
            </w:r>
          </w:p>
        </w:tc>
        <w:tc>
          <w:tcPr>
            <w:tcW w:type="dxa" w:w="5120"/>
            <w:shd w:fill="F2F4F7" w:color="auto" w:val="clear"/>
            <w:vAlign w:val="center"/>
          </w:tcPr>
          <w:p>
            <w:pPr>
              <w:spacing w:after="0" w:line="240"/>
            </w:pPr>
            <w:r>
              <w:rPr>
                <w:b w:val="false"/>
                <w:bCs w:val="false"/>
                <w:color w:val="17212B"/>
                <w:sz w:val="19"/>
                <w:szCs w:val="19"/>
              </w:rPr>
              <w:t xml:space="preserve">Wilson intervals bracket the estimate; McNemar rewards one-sided improvement and ignores a symmetric swap</w:t>
            </w:r>
          </w:p>
        </w:tc>
        <w:tc>
          <w:tcPr>
            <w:tcW w:type="dxa" w:w="1800"/>
            <w:shd w:fill="F2F4F7" w:color="auto" w:val="clear"/>
            <w:vAlign w:val="center"/>
          </w:tcPr>
          <w:p>
            <w:pPr>
              <w:spacing w:after="0" w:line="240"/>
            </w:pPr>
            <w:r>
              <w:rPr>
                <w:b w:val="false"/>
                <w:bCs w:val="false"/>
                <w:color w:val="17212B"/>
                <w:sz w:val="19"/>
                <w:szCs w:val="19"/>
              </w:rPr>
              <w:t xml:space="preserve">new-families</w:t>
            </w:r>
          </w:p>
        </w:tc>
      </w:tr>
      <w:tr>
        <w:trPr>
          <w:cantSplit/>
          <w:tblHeader w:val="false"/>
        </w:trPr>
        <w:tc>
          <w:tcPr>
            <w:tcW w:type="dxa" w:w="2200"/>
            <w:vAlign w:val="center"/>
          </w:tcPr>
          <w:p>
            <w:pPr>
              <w:spacing w:after="0" w:line="240"/>
            </w:pPr>
            <w:r>
              <w:rPr>
                <w:b w:val="false"/>
                <w:bCs w:val="false"/>
                <w:color w:val="17212B"/>
                <w:sz w:val="19"/>
                <w:szCs w:val="19"/>
              </w:rPr>
              <w:t xml:space="preserve">Operating point</w:t>
            </w:r>
          </w:p>
        </w:tc>
        <w:tc>
          <w:tcPr>
            <w:tcW w:type="dxa" w:w="5120"/>
            <w:vAlign w:val="center"/>
          </w:tcPr>
          <w:p>
            <w:pPr>
              <w:spacing w:after="0" w:line="240"/>
            </w:pPr>
            <w:r>
              <w:rPr>
                <w:b w:val="false"/>
                <w:bCs w:val="false"/>
                <w:color w:val="17212B"/>
                <w:sz w:val="19"/>
                <w:szCs w:val="19"/>
              </w:rPr>
              <w:t xml:space="preserve">Calibration targets deployment prevalence; no uncorroborated outlier is ever auto-declined; latency is not floored to zero</w:t>
            </w:r>
          </w:p>
        </w:tc>
        <w:tc>
          <w:tcPr>
            <w:tcW w:type="dxa" w:w="1800"/>
            <w:vAlign w:val="center"/>
          </w:tcPr>
          <w:p>
            <w:pPr>
              <w:spacing w:after="0" w:line="240"/>
            </w:pPr>
            <w:r>
              <w:rPr>
                <w:b w:val="false"/>
                <w:bCs w:val="false"/>
                <w:color w:val="17212B"/>
                <w:sz w:val="19"/>
                <w:szCs w:val="19"/>
              </w:rPr>
              <w:t xml:space="preserve">new-families</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Customer safety</w:t>
            </w:r>
          </w:p>
        </w:tc>
        <w:tc>
          <w:tcPr>
            <w:tcW w:type="dxa" w:w="5120"/>
            <w:shd w:fill="F2F4F7" w:color="auto" w:val="clear"/>
            <w:vAlign w:val="center"/>
          </w:tcPr>
          <w:p>
            <w:pPr>
              <w:spacing w:after="0" w:line="240"/>
            </w:pPr>
            <w:r>
              <w:rPr>
                <w:b w:val="false"/>
                <w:bCs w:val="false"/>
                <w:color w:val="17212B"/>
                <w:sz w:val="19"/>
                <w:szCs w:val="19"/>
              </w:rPr>
              <w:t xml:space="preserve">A large legitimate purchase is never auto-declined; a new device alone never blocks; a first visit to a new merchant stays allowed</w:t>
            </w:r>
          </w:p>
        </w:tc>
        <w:tc>
          <w:tcPr>
            <w:tcW w:type="dxa" w:w="1800"/>
            <w:shd w:fill="F2F4F7" w:color="auto" w:val="clear"/>
            <w:vAlign w:val="center"/>
          </w:tcPr>
          <w:p>
            <w:pPr>
              <w:spacing w:after="0" w:line="240"/>
            </w:pPr>
            <w:r>
              <w:rPr>
                <w:b w:val="false"/>
                <w:bCs w:val="false"/>
                <w:color w:val="17212B"/>
                <w:sz w:val="19"/>
                <w:szCs w:val="19"/>
              </w:rPr>
              <w:t xml:space="preserve">legit-robustness</w:t>
            </w:r>
          </w:p>
        </w:tc>
      </w:tr>
      <w:tr>
        <w:trPr>
          <w:cantSplit/>
          <w:tblHeader w:val="false"/>
        </w:trPr>
        <w:tc>
          <w:tcPr>
            <w:tcW w:type="dxa" w:w="2200"/>
            <w:vAlign w:val="center"/>
          </w:tcPr>
          <w:p>
            <w:pPr>
              <w:spacing w:after="0" w:line="240"/>
            </w:pPr>
            <w:r>
              <w:rPr>
                <w:b w:val="false"/>
                <w:bCs w:val="false"/>
                <w:color w:val="17212B"/>
                <w:sz w:val="19"/>
                <w:szCs w:val="19"/>
              </w:rPr>
              <w:t xml:space="preserve">Security</w:t>
            </w:r>
          </w:p>
        </w:tc>
        <w:tc>
          <w:tcPr>
            <w:tcW w:type="dxa" w:w="5120"/>
            <w:vAlign w:val="center"/>
          </w:tcPr>
          <w:p>
            <w:pPr>
              <w:spacing w:after="0" w:line="240"/>
            </w:pPr>
            <w:r>
              <w:rPr>
                <w:b w:val="false"/>
                <w:bCs w:val="false"/>
                <w:color w:val="17212B"/>
                <w:sz w:val="19"/>
                <w:szCs w:val="19"/>
              </w:rPr>
              <w:t xml:space="preserve">Prompt injection stays inert data; PAN, CVV, OTP and IBAN are rejected; provider URLs must be HTTPS; oversized payloads refused</w:t>
            </w:r>
          </w:p>
        </w:tc>
        <w:tc>
          <w:tcPr>
            <w:tcW w:type="dxa" w:w="1800"/>
            <w:vAlign w:val="center"/>
          </w:tcPr>
          <w:p>
            <w:pPr>
              <w:spacing w:after="0" w:line="240"/>
            </w:pPr>
            <w:r>
              <w:rPr>
                <w:b w:val="false"/>
                <w:bCs w:val="false"/>
                <w:color w:val="17212B"/>
                <w:sz w:val="19"/>
                <w:szCs w:val="19"/>
              </w:rPr>
              <w:t xml:space="preserve">security</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Provider failure</w:t>
            </w:r>
          </w:p>
        </w:tc>
        <w:tc>
          <w:tcPr>
            <w:tcW w:type="dxa" w:w="5120"/>
            <w:shd w:fill="F2F4F7" w:color="auto" w:val="clear"/>
            <w:vAlign w:val="center"/>
          </w:tcPr>
          <w:p>
            <w:pPr>
              <w:spacing w:after="0" w:line="240"/>
            </w:pPr>
            <w:r>
              <w:rPr>
                <w:b w:val="false"/>
                <w:bCs w:val="false"/>
                <w:color w:val="17212B"/>
                <w:sz w:val="19"/>
                <w:szCs w:val="19"/>
              </w:rPr>
              <w:t xml:space="preserve">Timeout, HTTP error and malformed output each fall back deterministically after one repair attempt</w:t>
            </w:r>
          </w:p>
        </w:tc>
        <w:tc>
          <w:tcPr>
            <w:tcW w:type="dxa" w:w="1800"/>
            <w:shd w:fill="F2F4F7" w:color="auto" w:val="clear"/>
            <w:vAlign w:val="center"/>
          </w:tcPr>
          <w:p>
            <w:pPr>
              <w:spacing w:after="0" w:line="240"/>
            </w:pPr>
            <w:r>
              <w:rPr>
                <w:b w:val="false"/>
                <w:bCs w:val="false"/>
                <w:color w:val="17212B"/>
                <w:sz w:val="19"/>
                <w:szCs w:val="19"/>
              </w:rPr>
              <w:t xml:space="preserve">security</w:t>
            </w:r>
          </w:p>
        </w:tc>
      </w:tr>
      <w:tr>
        <w:trPr>
          <w:cantSplit/>
          <w:tblHeader w:val="false"/>
        </w:trPr>
        <w:tc>
          <w:tcPr>
            <w:tcW w:type="dxa" w:w="2200"/>
            <w:vAlign w:val="center"/>
          </w:tcPr>
          <w:p>
            <w:pPr>
              <w:spacing w:after="0" w:line="240"/>
            </w:pPr>
            <w:r>
              <w:rPr>
                <w:b w:val="false"/>
                <w:bCs w:val="false"/>
                <w:color w:val="17212B"/>
                <w:sz w:val="19"/>
                <w:szCs w:val="19"/>
              </w:rPr>
              <w:t xml:space="preserve">Determinism</w:t>
            </w:r>
          </w:p>
        </w:tc>
        <w:tc>
          <w:tcPr>
            <w:tcW w:type="dxa" w:w="5120"/>
            <w:vAlign w:val="center"/>
          </w:tcPr>
          <w:p>
            <w:pPr>
              <w:spacing w:after="0" w:line="240"/>
            </w:pPr>
            <w:r>
              <w:rPr>
                <w:b w:val="false"/>
                <w:bCs w:val="false"/>
                <w:color w:val="17212B"/>
                <w:sz w:val="19"/>
                <w:szCs w:val="19"/>
              </w:rPr>
              <w:t xml:space="preserve">Identical seeds produce byte-identical evaluations; experiment ids are content-derived</w:t>
            </w:r>
          </w:p>
        </w:tc>
        <w:tc>
          <w:tcPr>
            <w:tcW w:type="dxa" w:w="1800"/>
            <w:vAlign w:val="center"/>
          </w:tcPr>
          <w:p>
            <w:pPr>
              <w:spacing w:after="0" w:line="240"/>
            </w:pPr>
            <w:r>
              <w:rPr>
                <w:b w:val="false"/>
                <w:bCs w:val="false"/>
                <w:color w:val="17212B"/>
                <w:sz w:val="19"/>
                <w:szCs w:val="19"/>
              </w:rPr>
              <w:t xml:space="preserve">phase0, audit-contract</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Product surface</w:t>
            </w:r>
          </w:p>
        </w:tc>
        <w:tc>
          <w:tcPr>
            <w:tcW w:type="dxa" w:w="5120"/>
            <w:shd w:fill="F2F4F7" w:color="auto" w:val="clear"/>
            <w:vAlign w:val="center"/>
          </w:tcPr>
          <w:p>
            <w:pPr>
              <w:spacing w:after="0" w:line="240"/>
            </w:pPr>
            <w:r>
              <w:rPr>
                <w:b w:val="false"/>
                <w:bCs w:val="false"/>
                <w:color w:val="17212B"/>
                <w:sz w:val="19"/>
                <w:szCs w:val="19"/>
              </w:rPr>
              <w:t xml:space="preserve">The closed loop, both recall definitions, the separated replays and the brand palette are all present in the UI</w:t>
            </w:r>
          </w:p>
        </w:tc>
        <w:tc>
          <w:tcPr>
            <w:tcW w:type="dxa" w:w="1800"/>
            <w:shd w:fill="F2F4F7" w:color="auto" w:val="clear"/>
            <w:vAlign w:val="center"/>
          </w:tcPr>
          <w:p>
            <w:pPr>
              <w:spacing w:after="0" w:line="240"/>
            </w:pPr>
            <w:r>
              <w:rPr>
                <w:b w:val="false"/>
                <w:bCs w:val="false"/>
                <w:color w:val="17212B"/>
                <w:sz w:val="19"/>
                <w:szCs w:val="19"/>
              </w:rPr>
              <w:t xml:space="preserve">ui-contract</w:t>
            </w:r>
          </w:p>
        </w:tc>
      </w:tr>
    </w:tbl>
    <w:p>
      <w:r>
        <w:br w:type="page"/>
      </w:r>
    </w:p>
    <w:p>
      <w:pPr>
        <w:pStyle w:val="Heading2"/>
      </w:pPr>
      <w:r>
        <w:t xml:space="preserve">Calibration provenance</w:t>
      </w:r>
    </w:p>
    <w:p>
      <w:r>
        <w:t xml:space="preserve">Every number in this submission is measured inside our own simulator. That is the design — a closed loop needs a world it fully controls — but it means the FIDELITY of that world is an assumption rather than a result, and we state which parameters are anchored and which are simply assumed.</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2200"/>
        <w:gridCol w:w="2300"/>
        <w:gridCol w:w="4620"/>
      </w:tblGrid>
      <w:tr>
        <w:trPr>
          <w:cantSplit/>
          <w:tblHeader/>
        </w:trPr>
        <w:tc>
          <w:tcPr>
            <w:tcW w:type="dxa" w:w="2200"/>
            <w:shd w:fill="1A1A1A" w:color="auto" w:val="clear"/>
            <w:vAlign w:val="center"/>
          </w:tcPr>
          <w:p>
            <w:pPr>
              <w:spacing w:after="0" w:line="240"/>
            </w:pPr>
            <w:r>
              <w:rPr>
                <w:b/>
                <w:bCs/>
                <w:color w:val="FFFFFF"/>
                <w:sz w:val="19"/>
                <w:szCs w:val="19"/>
              </w:rPr>
              <w:t xml:space="preserve">Parameter</w:t>
            </w:r>
          </w:p>
        </w:tc>
        <w:tc>
          <w:tcPr>
            <w:tcW w:type="dxa" w:w="2300"/>
            <w:shd w:fill="1A1A1A" w:color="auto" w:val="clear"/>
            <w:vAlign w:val="center"/>
          </w:tcPr>
          <w:p>
            <w:pPr>
              <w:spacing w:after="0" w:line="240"/>
            </w:pPr>
            <w:r>
              <w:rPr>
                <w:b/>
                <w:bCs/>
                <w:color w:val="FFFFFF"/>
                <w:sz w:val="19"/>
                <w:szCs w:val="19"/>
              </w:rPr>
              <w:t xml:space="preserve">Value</w:t>
            </w:r>
          </w:p>
        </w:tc>
        <w:tc>
          <w:tcPr>
            <w:tcW w:type="dxa" w:w="4620"/>
            <w:shd w:fill="1A1A1A" w:color="auto" w:val="clear"/>
            <w:vAlign w:val="center"/>
          </w:tcPr>
          <w:p>
            <w:pPr>
              <w:spacing w:after="0" w:line="240"/>
            </w:pPr>
            <w:r>
              <w:rPr>
                <w:b/>
                <w:bCs/>
                <w:color w:val="FFFFFF"/>
                <w:sz w:val="19"/>
                <w:szCs w:val="19"/>
              </w:rPr>
              <w:t xml:space="preserve">Basis</w:t>
            </w:r>
          </w:p>
        </w:tc>
      </w:tr>
      <w:tr>
        <w:trPr>
          <w:cantSplit/>
          <w:tblHeader w:val="false"/>
        </w:trPr>
        <w:tc>
          <w:tcPr>
            <w:tcW w:type="dxa" w:w="2200"/>
            <w:vAlign w:val="center"/>
          </w:tcPr>
          <w:p>
            <w:pPr>
              <w:spacing w:after="0" w:line="240"/>
            </w:pPr>
            <w:r>
              <w:rPr>
                <w:b w:val="false"/>
                <w:bCs w:val="false"/>
                <w:color w:val="17212B"/>
                <w:sz w:val="19"/>
                <w:szCs w:val="19"/>
              </w:rPr>
              <w:t xml:space="preserve">Population</w:t>
            </w:r>
          </w:p>
        </w:tc>
        <w:tc>
          <w:tcPr>
            <w:tcW w:type="dxa" w:w="2300"/>
            <w:vAlign w:val="center"/>
          </w:tcPr>
          <w:p>
            <w:pPr>
              <w:spacing w:after="0" w:line="240"/>
            </w:pPr>
            <w:r>
              <w:rPr>
                <w:b w:val="false"/>
                <w:bCs w:val="false"/>
                <w:color w:val="17212B"/>
                <w:sz w:val="19"/>
                <w:szCs w:val="19"/>
              </w:rPr>
              <w:t xml:space="preserve">1,200 customers, 300 merchants</w:t>
            </w:r>
          </w:p>
        </w:tc>
        <w:tc>
          <w:tcPr>
            <w:tcW w:type="dxa" w:w="4620"/>
            <w:vAlign w:val="center"/>
          </w:tcPr>
          <w:p>
            <w:pPr>
              <w:spacing w:after="0" w:line="240"/>
            </w:pPr>
            <w:r>
              <w:rPr>
                <w:b w:val="false"/>
                <w:bCs w:val="false"/>
                <w:color w:val="17212B"/>
                <w:sz w:val="19"/>
                <w:szCs w:val="19"/>
              </w:rPr>
              <w:t xml:space="preserve">Assumed; sized so graph structure is observable</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Spend distribution</w:t>
            </w:r>
          </w:p>
        </w:tc>
        <w:tc>
          <w:tcPr>
            <w:tcW w:type="dxa" w:w="2300"/>
            <w:shd w:fill="F2F4F7" w:color="auto" w:val="clear"/>
            <w:vAlign w:val="center"/>
          </w:tcPr>
          <w:p>
            <w:pPr>
              <w:spacing w:after="0" w:line="240"/>
            </w:pPr>
            <w:r>
              <w:rPr>
                <w:b w:val="false"/>
                <w:bCs w:val="false"/>
                <w:color w:val="17212B"/>
                <w:sz w:val="19"/>
                <w:szCs w:val="19"/>
              </w:rPr>
              <w:t xml:space="preserve">Lognormal, CV 0.3-0.75</w:t>
            </w:r>
          </w:p>
        </w:tc>
        <w:tc>
          <w:tcPr>
            <w:tcW w:type="dxa" w:w="4620"/>
            <w:shd w:fill="F2F4F7" w:color="auto" w:val="clear"/>
            <w:vAlign w:val="center"/>
          </w:tcPr>
          <w:p>
            <w:pPr>
              <w:spacing w:after="0" w:line="240"/>
            </w:pPr>
            <w:r>
              <w:rPr>
                <w:b w:val="false"/>
                <w:bCs w:val="false"/>
                <w:color w:val="17212B"/>
                <w:sz w:val="19"/>
                <w:szCs w:val="19"/>
              </w:rPr>
              <w:t xml:space="preserve">Assumed shape, parameters not fitted</w:t>
            </w:r>
          </w:p>
        </w:tc>
      </w:tr>
      <w:tr>
        <w:trPr>
          <w:cantSplit/>
          <w:tblHeader w:val="false"/>
        </w:trPr>
        <w:tc>
          <w:tcPr>
            <w:tcW w:type="dxa" w:w="2200"/>
            <w:vAlign w:val="center"/>
          </w:tcPr>
          <w:p>
            <w:pPr>
              <w:spacing w:after="0" w:line="240"/>
            </w:pPr>
            <w:r>
              <w:rPr>
                <w:b w:val="false"/>
                <w:bCs w:val="false"/>
                <w:color w:val="17212B"/>
                <w:sz w:val="19"/>
                <w:szCs w:val="19"/>
              </w:rPr>
              <w:t xml:space="preserve">Arrivals</w:t>
            </w:r>
          </w:p>
        </w:tc>
        <w:tc>
          <w:tcPr>
            <w:tcW w:type="dxa" w:w="2300"/>
            <w:vAlign w:val="center"/>
          </w:tcPr>
          <w:p>
            <w:pPr>
              <w:spacing w:after="0" w:line="240"/>
            </w:pPr>
            <w:r>
              <w:rPr>
                <w:b w:val="false"/>
                <w:bCs w:val="false"/>
                <w:color w:val="17212B"/>
                <w:sz w:val="19"/>
                <w:szCs w:val="19"/>
              </w:rPr>
              <w:t xml:space="preserve">Poisson, 0.3-3.2 per day</w:t>
            </w:r>
          </w:p>
        </w:tc>
        <w:tc>
          <w:tcPr>
            <w:tcW w:type="dxa" w:w="4620"/>
            <w:vAlign w:val="center"/>
          </w:tcPr>
          <w:p>
            <w:pPr>
              <w:spacing w:after="0" w:line="240"/>
            </w:pPr>
            <w:r>
              <w:rPr>
                <w:b w:val="false"/>
                <w:bCs w:val="false"/>
                <w:color w:val="17212B"/>
                <w:sz w:val="19"/>
                <w:szCs w:val="19"/>
              </w:rPr>
              <w:t xml:space="preserve">Assumed</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Young accounts</w:t>
            </w:r>
          </w:p>
        </w:tc>
        <w:tc>
          <w:tcPr>
            <w:tcW w:type="dxa" w:w="2300"/>
            <w:shd w:fill="F2F4F7" w:color="auto" w:val="clear"/>
            <w:vAlign w:val="center"/>
          </w:tcPr>
          <w:p>
            <w:pPr>
              <w:spacing w:after="0" w:line="240"/>
            </w:pPr>
            <w:r>
              <w:rPr>
                <w:b w:val="false"/>
                <w:bCs w:val="false"/>
                <w:color w:val="17212B"/>
                <w:sz w:val="19"/>
                <w:szCs w:val="19"/>
              </w:rPr>
              <w:t xml:space="preserve">~8% under 30 days</w:t>
            </w:r>
          </w:p>
        </w:tc>
        <w:tc>
          <w:tcPr>
            <w:tcW w:type="dxa" w:w="4620"/>
            <w:shd w:fill="F2F4F7" w:color="auto" w:val="clear"/>
            <w:vAlign w:val="center"/>
          </w:tcPr>
          <w:p>
            <w:pPr>
              <w:spacing w:after="0" w:line="240"/>
            </w:pPr>
            <w:r>
              <w:rPr>
                <w:b w:val="false"/>
                <w:bCs w:val="false"/>
                <w:color w:val="17212B"/>
                <w:sz w:val="19"/>
                <w:szCs w:val="19"/>
              </w:rPr>
              <w:t xml:space="preserve">Assumed; forces the graph gate to tolerate newcomers</w:t>
            </w:r>
          </w:p>
        </w:tc>
      </w:tr>
      <w:tr>
        <w:trPr>
          <w:cantSplit/>
          <w:tblHeader w:val="false"/>
        </w:trPr>
        <w:tc>
          <w:tcPr>
            <w:tcW w:type="dxa" w:w="2200"/>
            <w:vAlign w:val="center"/>
          </w:tcPr>
          <w:p>
            <w:pPr>
              <w:spacing w:after="0" w:line="240"/>
            </w:pPr>
            <w:r>
              <w:rPr>
                <w:b w:val="false"/>
                <w:bCs w:val="false"/>
                <w:color w:val="17212B"/>
                <w:sz w:val="19"/>
                <w:szCs w:val="19"/>
              </w:rPr>
              <w:t xml:space="preserve">Cross-border share</w:t>
            </w:r>
          </w:p>
        </w:tc>
        <w:tc>
          <w:tcPr>
            <w:tcW w:type="dxa" w:w="2300"/>
            <w:vAlign w:val="center"/>
          </w:tcPr>
          <w:p>
            <w:pPr>
              <w:spacing w:after="0" w:line="240"/>
            </w:pPr>
            <w:r>
              <w:rPr>
                <w:b w:val="false"/>
                <w:bCs w:val="false"/>
                <w:color w:val="17212B"/>
                <w:sz w:val="19"/>
                <w:szCs w:val="19"/>
              </w:rPr>
              <w:t xml:space="preserve">4% of legitimate spend</w:t>
            </w:r>
          </w:p>
        </w:tc>
        <w:tc>
          <w:tcPr>
            <w:tcW w:type="dxa" w:w="4620"/>
            <w:vAlign w:val="center"/>
          </w:tcPr>
          <w:p>
            <w:pPr>
              <w:spacing w:after="0" w:line="240"/>
            </w:pPr>
            <w:r>
              <w:rPr>
                <w:b w:val="false"/>
                <w:bCs w:val="false"/>
                <w:color w:val="17212B"/>
                <w:sz w:val="19"/>
                <w:szCs w:val="19"/>
              </w:rPr>
              <w:t xml:space="preserve">Rate assumed; the asymmetry is sourced (EBA/ECB 2024 payment-fraud report: card fraud is disproportionately cross-border, ~30% of card-fraud value outside the EEA)</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Fraud prevalence</w:t>
            </w:r>
          </w:p>
        </w:tc>
        <w:tc>
          <w:tcPr>
            <w:tcW w:type="dxa" w:w="2300"/>
            <w:shd w:fill="F2F4F7" w:color="auto" w:val="clear"/>
            <w:vAlign w:val="center"/>
          </w:tcPr>
          <w:p>
            <w:pPr>
              <w:spacing w:after="0" w:line="240"/>
            </w:pPr>
            <w:r>
              <w:rPr>
                <w:b w:val="false"/>
                <w:bCs w:val="false"/>
                <w:color w:val="17212B"/>
                <w:sz w:val="19"/>
                <w:szCs w:val="19"/>
              </w:rPr>
              <w:t xml:space="preserve">0.27% by transaction COUNT</w:t>
            </w:r>
          </w:p>
        </w:tc>
        <w:tc>
          <w:tcPr>
            <w:tcW w:type="dxa" w:w="4620"/>
            <w:shd w:fill="F2F4F7" w:color="auto" w:val="clear"/>
            <w:vAlign w:val="center"/>
          </w:tcPr>
          <w:p>
            <w:pPr>
              <w:spacing w:after="0" w:line="240"/>
            </w:pPr>
            <w:r>
              <w:rPr>
                <w:b w:val="false"/>
                <w:bCs w:val="false"/>
                <w:color w:val="17212B"/>
                <w:sz w:val="19"/>
                <w:szCs w:val="19"/>
              </w:rPr>
              <w:t xml:space="preserve">Deliberately above reality. Nilson 2024: $33.41bn losses on $51.92tn volume, about 6.4 basis points BY VALUE. Held richer so 81 and 90 fraud rows exist to measure; consequence is that precision reads optimistic</w:t>
            </w:r>
          </w:p>
        </w:tc>
      </w:tr>
      <w:tr>
        <w:trPr>
          <w:cantSplit/>
          <w:tblHeader w:val="false"/>
        </w:trPr>
        <w:tc>
          <w:tcPr>
            <w:tcW w:type="dxa" w:w="2200"/>
            <w:vAlign w:val="center"/>
          </w:tcPr>
          <w:p>
            <w:pPr>
              <w:spacing w:after="0" w:line="240"/>
            </w:pPr>
            <w:r>
              <w:rPr>
                <w:b w:val="false"/>
                <w:bCs w:val="false"/>
                <w:color w:val="17212B"/>
                <w:sz w:val="19"/>
                <w:szCs w:val="19"/>
              </w:rPr>
              <w:t xml:space="preserve">Operating point</w:t>
            </w:r>
          </w:p>
        </w:tc>
        <w:tc>
          <w:tcPr>
            <w:tcW w:type="dxa" w:w="2300"/>
            <w:vAlign w:val="center"/>
          </w:tcPr>
          <w:p>
            <w:pPr>
              <w:spacing w:after="0" w:line="240"/>
            </w:pPr>
            <w:r>
              <w:rPr>
                <w:b w:val="false"/>
                <w:bCs w:val="false"/>
                <w:color w:val="17212B"/>
                <w:sz w:val="19"/>
                <w:szCs w:val="19"/>
              </w:rPr>
              <w:t xml:space="preserve">0.3% prevalence</w:t>
            </w:r>
          </w:p>
        </w:tc>
        <w:tc>
          <w:tcPr>
            <w:tcW w:type="dxa" w:w="4620"/>
            <w:vAlign w:val="center"/>
          </w:tcPr>
          <w:p>
            <w:pPr>
              <w:spacing w:after="0" w:line="240"/>
            </w:pPr>
            <w:r>
              <w:rPr>
                <w:b w:val="false"/>
                <w:bCs w:val="false"/>
                <w:color w:val="17212B"/>
                <w:sz w:val="19"/>
                <w:szCs w:val="19"/>
              </w:rPr>
              <w:t xml:space="preserve">Matched to the evaluation pools, not the fraud-dense training pool</w:t>
            </w:r>
          </w:p>
        </w:tc>
      </w:tr>
      <w:tr>
        <w:trPr>
          <w:cantSplit/>
          <w:tblHeader w:val="false"/>
        </w:trPr>
        <w:tc>
          <w:tcPr>
            <w:tcW w:type="dxa" w:w="2200"/>
            <w:shd w:fill="F2F4F7" w:color="auto" w:val="clear"/>
            <w:vAlign w:val="center"/>
          </w:tcPr>
          <w:p>
            <w:pPr>
              <w:spacing w:after="0" w:line="240"/>
            </w:pPr>
            <w:r>
              <w:rPr>
                <w:b w:val="false"/>
                <w:bCs w:val="false"/>
                <w:color w:val="17212B"/>
                <w:sz w:val="19"/>
                <w:szCs w:val="19"/>
              </w:rPr>
              <w:t xml:space="preserve">Decline / review split</w:t>
            </w:r>
          </w:p>
        </w:tc>
        <w:tc>
          <w:tcPr>
            <w:tcW w:type="dxa" w:w="2300"/>
            <w:shd w:fill="F2F4F7" w:color="auto" w:val="clear"/>
            <w:vAlign w:val="center"/>
          </w:tcPr>
          <w:p>
            <w:pPr>
              <w:spacing w:after="0" w:line="240"/>
            </w:pPr>
            <w:r>
              <w:rPr>
                <w:b w:val="false"/>
                <w:bCs w:val="false"/>
                <w:color w:val="17212B"/>
                <w:sz w:val="19"/>
                <w:szCs w:val="19"/>
              </w:rPr>
              <w:t xml:space="preserve">0.895 / 0.5674</w:t>
            </w:r>
          </w:p>
        </w:tc>
        <w:tc>
          <w:tcPr>
            <w:tcW w:type="dxa" w:w="4620"/>
            <w:shd w:fill="F2F4F7" w:color="auto" w:val="clear"/>
            <w:vAlign w:val="center"/>
          </w:tcPr>
          <w:p>
            <w:pPr>
              <w:spacing w:after="0" w:line="240"/>
            </w:pPr>
            <w:r>
              <w:rPr>
                <w:b w:val="false"/>
                <w:bCs w:val="false"/>
                <w:color w:val="17212B"/>
                <w:sz w:val="19"/>
                <w:szCs w:val="19"/>
              </w:rPr>
              <w:t xml:space="preserve">Derived by sweep, not assumed</w:t>
            </w:r>
          </w:p>
        </w:tc>
      </w:tr>
    </w:tbl>
    <w:p>
      <w:r>
        <w:rPr>
          <w:i/>
          <w:iCs/>
        </w:rPr>
        <w:t xml:space="preserve">What would make this stronger: fitting the amount and cadence distributions to an authorized network extract and re-deriving the operating point against that institution's own fraud rate and cost-of-decline. Neither is possible on public data alone, so both sit in the production roadmap rather than being approximated here.</w:t>
      </w:r>
    </w:p>
    <w:p>
      <w:r>
        <w:br w:type="page"/>
      </w:r>
    </w:p>
    <w:p>
      <w:pPr>
        <w:pStyle w:val="Heading1"/>
      </w:pPr>
      <w:r>
        <w:t xml:space="preserve">10. Measured Results</w:t>
      </w:r>
    </w:p>
    <w:p>
      <w:r>
        <w:t xml:space="preserve">The known-template baseline and the held-out attack set are DIFFERENT evaluation populations, and this document never mixes them. Both use identical legitimate traffic.</w:t>
      </w:r>
    </w:p>
    <w:p>
      <w:pPr>
        <w:pStyle w:val="Heading2"/>
      </w:pPr>
      <w:r>
        <w:t xml:space="preserve">Choosing the operating point</w:t>
      </w:r>
    </w:p>
    <w:p>
      <w:r>
        <w:t xml:space="preserve">A detector produces a score; a threshold turns that score into a decision. Our first calibration set the block threshold at the 98th percentile of legitimate scores. That pins the false-positive rate near 2 percent BY CONSTRUCTION, and precision is bounded by prevalence: precision = pi*TPR / (pi*TPR + (1-pi)*FPR). At a realistic 0.3 percent fraud rate, precision then cannot exceed roughly 7 percent no matter how good the model is.</w:t>
      </w:r>
    </w:p>
    <w:p>
      <w:pPr>
        <w:shd w:fill="EAF3FA" w:color="auto" w:val="clear"/>
        <w:spacing w:after="180" w:before="100"/>
        <w:ind w:left="160" w:right="160"/>
      </w:pPr>
      <w:r>
        <w:rPr>
          <w:b/>
          <w:bCs/>
          <w:color w:val="1A1A1A"/>
        </w:rPr>
        <w:t xml:space="preserve">THE SYMPTOM: </w:t>
      </w:r>
      <w:r>
        <w:t xml:space="preserve">The model's ROC-AUC was 0.99 while its reported F1 was 12.76 percent. The number described the threshold, not the model.</w:t>
      </w:r>
    </w:p>
    <w:p>
      <w:r>
        <w:t xml:space="preserve">The threshold is now swept for maximum F1 at 0.30% deployment prevalence under a hard false-positive ceiling. Because TPR and FPR are prevalence-independent, they are estimated on the full validation slice and converted to precision analytically, rather than discarding positives to subsample down to the deployment rate and leaving a noisy sweep.</w:t>
      </w:r>
    </w:p>
    <w:p>
      <w:pPr>
        <w:pStyle w:val="Heading2"/>
      </w:pPr>
      <w:r>
        <w:t xml:space="preserve">Baseline on known attack templates</w:t>
      </w:r>
    </w:p>
    <w:p>
      <w:r>
        <w:t xml:space="preserve">81 fraud transactions against 29,948 legitimate ones.</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5120"/>
        <w:gridCol w:w="4000"/>
      </w:tblGrid>
      <w:tr>
        <w:trPr>
          <w:cantSplit/>
          <w:tblHeader/>
        </w:trPr>
        <w:tc>
          <w:tcPr>
            <w:tcW w:type="dxa" w:w="5120"/>
            <w:shd w:fill="1A1A1A" w:color="auto" w:val="clear"/>
            <w:vAlign w:val="center"/>
          </w:tcPr>
          <w:p>
            <w:pPr>
              <w:spacing w:after="0" w:line="240"/>
            </w:pPr>
            <w:r>
              <w:rPr>
                <w:b/>
                <w:bCs/>
                <w:color w:val="FFFFFF"/>
                <w:sz w:val="19"/>
                <w:szCs w:val="19"/>
              </w:rPr>
              <w:t xml:space="preserve">Metric</w:t>
            </w:r>
          </w:p>
        </w:tc>
        <w:tc>
          <w:tcPr>
            <w:tcW w:type="dxa" w:w="4000"/>
            <w:shd w:fill="1A1A1A" w:color="auto" w:val="clear"/>
            <w:vAlign w:val="center"/>
          </w:tcPr>
          <w:p>
            <w:pPr>
              <w:spacing w:after="0" w:line="240"/>
            </w:pPr>
            <w:r>
              <w:rPr>
                <w:b/>
                <w:bCs/>
                <w:color w:val="FFFFFF"/>
                <w:sz w:val="19"/>
                <w:szCs w:val="19"/>
              </w:rPr>
              <w:t xml:space="preserve">Value</w:t>
            </w:r>
          </w:p>
        </w:tc>
      </w:tr>
      <w:tr>
        <w:trPr>
          <w:cantSplit/>
          <w:tblHeader w:val="false"/>
        </w:trPr>
        <w:tc>
          <w:tcPr>
            <w:tcW w:type="dxa" w:w="5120"/>
            <w:vAlign w:val="center"/>
          </w:tcPr>
          <w:p>
            <w:pPr>
              <w:spacing w:after="0" w:line="240"/>
            </w:pPr>
            <w:r>
              <w:rPr>
                <w:b w:val="false"/>
                <w:bCs w:val="false"/>
                <w:color w:val="17212B"/>
                <w:sz w:val="19"/>
                <w:szCs w:val="19"/>
              </w:rPr>
              <w:t xml:space="preserve">ROC-AUC</w:t>
            </w:r>
          </w:p>
        </w:tc>
        <w:tc>
          <w:tcPr>
            <w:tcW w:type="dxa" w:w="4000"/>
            <w:vAlign w:val="center"/>
          </w:tcPr>
          <w:p>
            <w:pPr>
              <w:spacing w:after="0" w:line="240"/>
            </w:pPr>
            <w:r>
              <w:rPr>
                <w:b w:val="false"/>
                <w:bCs w:val="false"/>
                <w:color w:val="17212B"/>
                <w:sz w:val="19"/>
                <w:szCs w:val="19"/>
              </w:rPr>
              <w:t xml:space="preserve">98.02%</w:t>
            </w:r>
          </w:p>
        </w:tc>
      </w:tr>
      <w:tr>
        <w:trPr>
          <w:cantSplit/>
          <w:tblHeader w:val="false"/>
        </w:trPr>
        <w:tc>
          <w:tcPr>
            <w:tcW w:type="dxa" w:w="5120"/>
            <w:shd w:fill="F2F4F7" w:color="auto" w:val="clear"/>
            <w:vAlign w:val="center"/>
          </w:tcPr>
          <w:p>
            <w:pPr>
              <w:spacing w:after="0" w:line="240"/>
            </w:pPr>
            <w:r>
              <w:rPr>
                <w:b w:val="false"/>
                <w:bCs w:val="false"/>
                <w:color w:val="17212B"/>
                <w:sz w:val="19"/>
                <w:szCs w:val="19"/>
              </w:rPr>
              <w:t xml:space="preserve">Recall (declined)</w:t>
            </w:r>
          </w:p>
        </w:tc>
        <w:tc>
          <w:tcPr>
            <w:tcW w:type="dxa" w:w="4000"/>
            <w:shd w:fill="F2F4F7" w:color="auto" w:val="clear"/>
            <w:vAlign w:val="center"/>
          </w:tcPr>
          <w:p>
            <w:pPr>
              <w:spacing w:after="0" w:line="240"/>
            </w:pPr>
            <w:r>
              <w:rPr>
                <w:b w:val="false"/>
                <w:bCs w:val="false"/>
                <w:color w:val="17212B"/>
                <w:sz w:val="19"/>
                <w:szCs w:val="19"/>
              </w:rPr>
              <w:t xml:space="preserve">70.37%</w:t>
            </w:r>
          </w:p>
        </w:tc>
      </w:tr>
      <w:tr>
        <w:trPr>
          <w:cantSplit/>
          <w:tblHeader w:val="false"/>
        </w:trPr>
        <w:tc>
          <w:tcPr>
            <w:tcW w:type="dxa" w:w="5120"/>
            <w:vAlign w:val="center"/>
          </w:tcPr>
          <w:p>
            <w:pPr>
              <w:spacing w:after="0" w:line="240"/>
            </w:pPr>
            <w:r>
              <w:rPr>
                <w:b w:val="false"/>
                <w:bCs w:val="false"/>
                <w:color w:val="17212B"/>
                <w:sz w:val="19"/>
                <w:szCs w:val="19"/>
              </w:rPr>
              <w:t xml:space="preserve">Recall (declined or held for review)</w:t>
            </w:r>
          </w:p>
        </w:tc>
        <w:tc>
          <w:tcPr>
            <w:tcW w:type="dxa" w:w="4000"/>
            <w:vAlign w:val="center"/>
          </w:tcPr>
          <w:p>
            <w:pPr>
              <w:spacing w:after="0" w:line="240"/>
            </w:pPr>
            <w:r>
              <w:rPr>
                <w:b w:val="false"/>
                <w:bCs w:val="false"/>
                <w:color w:val="17212B"/>
                <w:sz w:val="19"/>
                <w:szCs w:val="19"/>
              </w:rPr>
              <w:t xml:space="preserve">87.65%</w:t>
            </w:r>
          </w:p>
        </w:tc>
      </w:tr>
      <w:tr>
        <w:trPr>
          <w:cantSplit/>
          <w:tblHeader w:val="false"/>
        </w:trPr>
        <w:tc>
          <w:tcPr>
            <w:tcW w:type="dxa" w:w="5120"/>
            <w:shd w:fill="F2F4F7" w:color="auto" w:val="clear"/>
            <w:vAlign w:val="center"/>
          </w:tcPr>
          <w:p>
            <w:pPr>
              <w:spacing w:after="0" w:line="240"/>
            </w:pPr>
            <w:r>
              <w:rPr>
                <w:b w:val="false"/>
                <w:bCs w:val="false"/>
                <w:color w:val="17212B"/>
                <w:sz w:val="19"/>
                <w:szCs w:val="19"/>
              </w:rPr>
              <w:t xml:space="preserve">Precision (on declines)</w:t>
            </w:r>
          </w:p>
        </w:tc>
        <w:tc>
          <w:tcPr>
            <w:tcW w:type="dxa" w:w="4000"/>
            <w:shd w:fill="F2F4F7" w:color="auto" w:val="clear"/>
            <w:vAlign w:val="center"/>
          </w:tcPr>
          <w:p>
            <w:pPr>
              <w:spacing w:after="0" w:line="240"/>
            </w:pPr>
            <w:r>
              <w:rPr>
                <w:b w:val="false"/>
                <w:bCs w:val="false"/>
                <w:color w:val="17212B"/>
                <w:sz w:val="19"/>
                <w:szCs w:val="19"/>
              </w:rPr>
              <w:t xml:space="preserve">50.00%</w:t>
            </w:r>
          </w:p>
        </w:tc>
      </w:tr>
      <w:tr>
        <w:trPr>
          <w:cantSplit/>
          <w:tblHeader w:val="false"/>
        </w:trPr>
        <w:tc>
          <w:tcPr>
            <w:tcW w:type="dxa" w:w="5120"/>
            <w:vAlign w:val="center"/>
          </w:tcPr>
          <w:p>
            <w:pPr>
              <w:spacing w:after="0" w:line="240"/>
            </w:pPr>
            <w:r>
              <w:rPr>
                <w:b w:val="false"/>
                <w:bCs w:val="false"/>
                <w:color w:val="17212B"/>
                <w:sz w:val="19"/>
                <w:szCs w:val="19"/>
              </w:rPr>
              <w:t xml:space="preserve">F1 (on declines)</w:t>
            </w:r>
          </w:p>
        </w:tc>
        <w:tc>
          <w:tcPr>
            <w:tcW w:type="dxa" w:w="4000"/>
            <w:vAlign w:val="center"/>
          </w:tcPr>
          <w:p>
            <w:pPr>
              <w:spacing w:after="0" w:line="240"/>
            </w:pPr>
            <w:r>
              <w:rPr>
                <w:b w:val="false"/>
                <w:bCs w:val="false"/>
                <w:color w:val="17212B"/>
                <w:sz w:val="19"/>
                <w:szCs w:val="19"/>
              </w:rPr>
              <w:t xml:space="preserve">58.46%</w:t>
            </w:r>
          </w:p>
        </w:tc>
      </w:tr>
      <w:tr>
        <w:trPr>
          <w:cantSplit/>
          <w:tblHeader w:val="false"/>
        </w:trPr>
        <w:tc>
          <w:tcPr>
            <w:tcW w:type="dxa" w:w="5120"/>
            <w:shd w:fill="F2F4F7" w:color="auto" w:val="clear"/>
            <w:vAlign w:val="center"/>
          </w:tcPr>
          <w:p>
            <w:pPr>
              <w:spacing w:after="0" w:line="240"/>
            </w:pPr>
            <w:r>
              <w:rPr>
                <w:b w:val="false"/>
                <w:bCs w:val="false"/>
                <w:color w:val="17212B"/>
                <w:sz w:val="19"/>
                <w:szCs w:val="19"/>
              </w:rPr>
              <w:t xml:space="preserve">Average precision</w:t>
            </w:r>
          </w:p>
        </w:tc>
        <w:tc>
          <w:tcPr>
            <w:tcW w:type="dxa" w:w="4000"/>
            <w:shd w:fill="F2F4F7" w:color="auto" w:val="clear"/>
            <w:vAlign w:val="center"/>
          </w:tcPr>
          <w:p>
            <w:pPr>
              <w:spacing w:after="0" w:line="240"/>
            </w:pPr>
            <w:r>
              <w:rPr>
                <w:b w:val="false"/>
                <w:bCs w:val="false"/>
                <w:color w:val="17212B"/>
                <w:sz w:val="19"/>
                <w:szCs w:val="19"/>
              </w:rPr>
              <w:t xml:space="preserve">59.89%</w:t>
            </w:r>
          </w:p>
        </w:tc>
      </w:tr>
      <w:tr>
        <w:trPr>
          <w:cantSplit/>
          <w:tblHeader w:val="false"/>
        </w:trPr>
        <w:tc>
          <w:tcPr>
            <w:tcW w:type="dxa" w:w="5120"/>
            <w:vAlign w:val="center"/>
          </w:tcPr>
          <w:p>
            <w:pPr>
              <w:spacing w:after="0" w:line="240"/>
            </w:pPr>
            <w:r>
              <w:rPr>
                <w:b w:val="false"/>
                <w:bCs w:val="false"/>
                <w:color w:val="17212B"/>
                <w:sz w:val="19"/>
                <w:szCs w:val="19"/>
              </w:rPr>
              <w:t xml:space="preserve">False-positive rate</w:t>
            </w:r>
          </w:p>
        </w:tc>
        <w:tc>
          <w:tcPr>
            <w:tcW w:type="dxa" w:w="4000"/>
            <w:vAlign w:val="center"/>
          </w:tcPr>
          <w:p>
            <w:pPr>
              <w:spacing w:after="0" w:line="240"/>
            </w:pPr>
            <w:r>
              <w:rPr>
                <w:b w:val="false"/>
                <w:bCs w:val="false"/>
                <w:color w:val="17212B"/>
                <w:sz w:val="19"/>
                <w:szCs w:val="19"/>
              </w:rPr>
              <w:t xml:space="preserve">0.19%</w:t>
            </w:r>
          </w:p>
        </w:tc>
      </w:tr>
      <w:tr>
        <w:trPr>
          <w:cantSplit/>
          <w:tblHeader w:val="false"/>
        </w:trPr>
        <w:tc>
          <w:tcPr>
            <w:tcW w:type="dxa" w:w="5120"/>
            <w:shd w:fill="F2F4F7" w:color="auto" w:val="clear"/>
            <w:vAlign w:val="center"/>
          </w:tcPr>
          <w:p>
            <w:pPr>
              <w:spacing w:after="0" w:line="240"/>
            </w:pPr>
            <w:r>
              <w:rPr>
                <w:b w:val="false"/>
                <w:bCs w:val="false"/>
                <w:color w:val="17212B"/>
                <w:sz w:val="19"/>
                <w:szCs w:val="19"/>
              </w:rPr>
              <w:t xml:space="preserve">Review rate</w:t>
            </w:r>
          </w:p>
        </w:tc>
        <w:tc>
          <w:tcPr>
            <w:tcW w:type="dxa" w:w="4000"/>
            <w:shd w:fill="F2F4F7" w:color="auto" w:val="clear"/>
            <w:vAlign w:val="center"/>
          </w:tcPr>
          <w:p>
            <w:pPr>
              <w:spacing w:after="0" w:line="240"/>
            </w:pPr>
            <w:r>
              <w:rPr>
                <w:b w:val="false"/>
                <w:bCs w:val="false"/>
                <w:color w:val="17212B"/>
                <w:sz w:val="19"/>
                <w:szCs w:val="19"/>
              </w:rPr>
              <w:t xml:space="preserve">1.57%</w:t>
            </w:r>
          </w:p>
        </w:tc>
      </w:tr>
    </w:tbl>
    <w:p>
      <w:pPr>
        <w:shd w:fill="EAF3FA" w:color="auto" w:val="clear"/>
        <w:spacing w:after="180" w:before="100"/>
        <w:ind w:left="160" w:right="160"/>
      </w:pPr>
      <w:r>
        <w:rPr>
          <w:b/>
          <w:bCs/>
          <w:color w:val="1A1A1A"/>
        </w:rPr>
        <w:t xml:space="preserve">TWO RECALL DEFINITIONS: </w:t>
      </w:r>
      <w:r>
        <w:t xml:space="preserve">Recall counting analyst holds is the honest production number. Precision, F1 and FPR are always computed on the STRICT decline definition, so recall can never be bought by pushing traffic into the review queue.</w:t>
      </w:r>
    </w:p>
    <w:p>
      <w:r>
        <w:br w:type="page"/>
      </w:r>
    </w:p>
    <w:p>
      <w:pPr>
        <w:pStyle w:val="Heading2"/>
      </w:pPr>
      <w:r>
        <w:t xml:space="preserve">Held-out evolved attack, before and after the defense</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2520"/>
        <w:gridCol w:w="2200"/>
        <w:gridCol w:w="2200"/>
        <w:gridCol w:w="2200"/>
      </w:tblGrid>
      <w:tr>
        <w:trPr>
          <w:cantSplit/>
          <w:tblHeader/>
        </w:trPr>
        <w:tc>
          <w:tcPr>
            <w:tcW w:type="dxa" w:w="2520"/>
            <w:shd w:fill="1A1A1A" w:color="auto" w:val="clear"/>
            <w:vAlign w:val="center"/>
          </w:tcPr>
          <w:p>
            <w:pPr>
              <w:spacing w:after="0" w:line="240"/>
            </w:pPr>
            <w:r>
              <w:rPr>
                <w:b/>
                <w:bCs/>
                <w:color w:val="FFFFFF"/>
                <w:sz w:val="19"/>
                <w:szCs w:val="19"/>
              </w:rPr>
              <w:t xml:space="preserve">Metric</w:t>
            </w:r>
          </w:p>
        </w:tc>
        <w:tc>
          <w:tcPr>
            <w:tcW w:type="dxa" w:w="2200"/>
            <w:shd w:fill="1A1A1A" w:color="auto" w:val="clear"/>
            <w:vAlign w:val="center"/>
          </w:tcPr>
          <w:p>
            <w:pPr>
              <w:spacing w:after="0" w:line="240"/>
            </w:pPr>
            <w:r>
              <w:rPr>
                <w:b/>
                <w:bCs/>
                <w:color w:val="FFFFFF"/>
                <w:sz w:val="19"/>
                <w:szCs w:val="19"/>
              </w:rPr>
              <w:t xml:space="preserve">Before</w:t>
            </w:r>
          </w:p>
        </w:tc>
        <w:tc>
          <w:tcPr>
            <w:tcW w:type="dxa" w:w="2200"/>
            <w:shd w:fill="1A1A1A" w:color="auto" w:val="clear"/>
            <w:vAlign w:val="center"/>
          </w:tcPr>
          <w:p>
            <w:pPr>
              <w:spacing w:after="0" w:line="240"/>
            </w:pPr>
            <w:r>
              <w:rPr>
                <w:b/>
                <w:bCs/>
                <w:color w:val="FFFFFF"/>
                <w:sz w:val="19"/>
                <w:szCs w:val="19"/>
              </w:rPr>
              <w:t xml:space="preserve">After</w:t>
            </w:r>
          </w:p>
        </w:tc>
        <w:tc>
          <w:tcPr>
            <w:tcW w:type="dxa" w:w="2200"/>
            <w:shd w:fill="1A1A1A" w:color="auto" w:val="clear"/>
            <w:vAlign w:val="center"/>
          </w:tcPr>
          <w:p>
            <w:pPr>
              <w:spacing w:after="0" w:line="240"/>
            </w:pPr>
            <w:r>
              <w:rPr>
                <w:b/>
                <w:bCs/>
                <w:color w:val="FFFFFF"/>
                <w:sz w:val="19"/>
                <w:szCs w:val="19"/>
              </w:rPr>
              <w:t xml:space="preserve">Change</w:t>
            </w:r>
          </w:p>
        </w:tc>
      </w:tr>
      <w:tr>
        <w:trPr>
          <w:cantSplit/>
          <w:tblHeader w:val="false"/>
        </w:trPr>
        <w:tc>
          <w:tcPr>
            <w:tcW w:type="dxa" w:w="2520"/>
            <w:vAlign w:val="center"/>
          </w:tcPr>
          <w:p>
            <w:pPr>
              <w:spacing w:after="0" w:line="240"/>
            </w:pPr>
            <w:r>
              <w:rPr>
                <w:b w:val="false"/>
                <w:bCs w:val="false"/>
                <w:color w:val="17212B"/>
                <w:sz w:val="19"/>
                <w:szCs w:val="19"/>
              </w:rPr>
              <w:t xml:space="preserve">Recall (declined)</w:t>
            </w:r>
          </w:p>
        </w:tc>
        <w:tc>
          <w:tcPr>
            <w:tcW w:type="dxa" w:w="2200"/>
            <w:vAlign w:val="center"/>
          </w:tcPr>
          <w:p>
            <w:pPr>
              <w:spacing w:after="0" w:line="240"/>
            </w:pPr>
            <w:r>
              <w:rPr>
                <w:b w:val="false"/>
                <w:bCs w:val="false"/>
                <w:color w:val="17212B"/>
                <w:sz w:val="19"/>
                <w:szCs w:val="19"/>
              </w:rPr>
              <w:t xml:space="preserve">14.44%</w:t>
            </w:r>
          </w:p>
        </w:tc>
        <w:tc>
          <w:tcPr>
            <w:tcW w:type="dxa" w:w="2200"/>
            <w:vAlign w:val="center"/>
          </w:tcPr>
          <w:p>
            <w:pPr>
              <w:spacing w:after="0" w:line="240"/>
            </w:pPr>
            <w:r>
              <w:rPr>
                <w:b w:val="false"/>
                <w:bCs w:val="false"/>
                <w:color w:val="17212B"/>
                <w:sz w:val="19"/>
                <w:szCs w:val="19"/>
              </w:rPr>
              <w:t xml:space="preserve">27.78%</w:t>
            </w:r>
          </w:p>
        </w:tc>
        <w:tc>
          <w:tcPr>
            <w:tcW w:type="dxa" w:w="2200"/>
            <w:vAlign w:val="center"/>
          </w:tcPr>
          <w:p>
            <w:pPr>
              <w:spacing w:after="0" w:line="240"/>
            </w:pPr>
            <w:r>
              <w:rPr>
                <w:b w:val="false"/>
                <w:bCs w:val="false"/>
                <w:color w:val="17212B"/>
                <w:sz w:val="19"/>
                <w:szCs w:val="19"/>
              </w:rPr>
              <w:t xml:space="preserve">13.33 points</w:t>
            </w:r>
          </w:p>
        </w:tc>
      </w:tr>
      <w:tr>
        <w:trPr>
          <w:cantSplit/>
          <w:tblHeader w:val="false"/>
        </w:trPr>
        <w:tc>
          <w:tcPr>
            <w:tcW w:type="dxa" w:w="2520"/>
            <w:shd w:fill="F2F4F7" w:color="auto" w:val="clear"/>
            <w:vAlign w:val="center"/>
          </w:tcPr>
          <w:p>
            <w:pPr>
              <w:spacing w:after="0" w:line="240"/>
            </w:pPr>
            <w:r>
              <w:rPr>
                <w:b w:val="false"/>
                <w:bCs w:val="false"/>
                <w:color w:val="17212B"/>
                <w:sz w:val="19"/>
                <w:szCs w:val="19"/>
              </w:rPr>
              <w:t xml:space="preserve">Recall (incl. review)</w:t>
            </w:r>
          </w:p>
        </w:tc>
        <w:tc>
          <w:tcPr>
            <w:tcW w:type="dxa" w:w="2200"/>
            <w:shd w:fill="F2F4F7" w:color="auto" w:val="clear"/>
            <w:vAlign w:val="center"/>
          </w:tcPr>
          <w:p>
            <w:pPr>
              <w:spacing w:after="0" w:line="240"/>
            </w:pPr>
            <w:r>
              <w:rPr>
                <w:b w:val="false"/>
                <w:bCs w:val="false"/>
                <w:color w:val="17212B"/>
                <w:sz w:val="19"/>
                <w:szCs w:val="19"/>
              </w:rPr>
              <w:t xml:space="preserve">44.44%</w:t>
            </w:r>
          </w:p>
        </w:tc>
        <w:tc>
          <w:tcPr>
            <w:tcW w:type="dxa" w:w="2200"/>
            <w:shd w:fill="F2F4F7" w:color="auto" w:val="clear"/>
            <w:vAlign w:val="center"/>
          </w:tcPr>
          <w:p>
            <w:pPr>
              <w:spacing w:after="0" w:line="240"/>
            </w:pPr>
            <w:r>
              <w:rPr>
                <w:b w:val="false"/>
                <w:bCs w:val="false"/>
                <w:color w:val="17212B"/>
                <w:sz w:val="19"/>
                <w:szCs w:val="19"/>
              </w:rPr>
              <w:t xml:space="preserve">70.00%</w:t>
            </w:r>
          </w:p>
        </w:tc>
        <w:tc>
          <w:tcPr>
            <w:tcW w:type="dxa" w:w="2200"/>
            <w:shd w:fill="F2F4F7" w:color="auto" w:val="clear"/>
            <w:vAlign w:val="center"/>
          </w:tcPr>
          <w:p>
            <w:pPr>
              <w:spacing w:after="0" w:line="240"/>
            </w:pPr>
            <w:r>
              <w:rPr>
                <w:b w:val="false"/>
                <w:bCs w:val="false"/>
                <w:color w:val="17212B"/>
                <w:sz w:val="19"/>
                <w:szCs w:val="19"/>
              </w:rPr>
              <w:t xml:space="preserve">25.56 points</w:t>
            </w:r>
          </w:p>
        </w:tc>
      </w:tr>
      <w:tr>
        <w:trPr>
          <w:cantSplit/>
          <w:tblHeader w:val="false"/>
        </w:trPr>
        <w:tc>
          <w:tcPr>
            <w:tcW w:type="dxa" w:w="2520"/>
            <w:vAlign w:val="center"/>
          </w:tcPr>
          <w:p>
            <w:pPr>
              <w:spacing w:after="0" w:line="240"/>
            </w:pPr>
            <w:r>
              <w:rPr>
                <w:b w:val="false"/>
                <w:bCs w:val="false"/>
                <w:color w:val="17212B"/>
                <w:sz w:val="19"/>
                <w:szCs w:val="19"/>
              </w:rPr>
              <w:t xml:space="preserve">Precision</w:t>
            </w:r>
          </w:p>
        </w:tc>
        <w:tc>
          <w:tcPr>
            <w:tcW w:type="dxa" w:w="2200"/>
            <w:vAlign w:val="center"/>
          </w:tcPr>
          <w:p>
            <w:pPr>
              <w:spacing w:after="0" w:line="240"/>
            </w:pPr>
            <w:r>
              <w:rPr>
                <w:b w:val="false"/>
                <w:bCs w:val="false"/>
                <w:color w:val="17212B"/>
                <w:sz w:val="19"/>
                <w:szCs w:val="19"/>
              </w:rPr>
              <w:t xml:space="preserve">18.84%</w:t>
            </w:r>
          </w:p>
        </w:tc>
        <w:tc>
          <w:tcPr>
            <w:tcW w:type="dxa" w:w="2200"/>
            <w:vAlign w:val="center"/>
          </w:tcPr>
          <w:p>
            <w:pPr>
              <w:spacing w:after="0" w:line="240"/>
            </w:pPr>
            <w:r>
              <w:rPr>
                <w:b w:val="false"/>
                <w:bCs w:val="false"/>
                <w:color w:val="17212B"/>
                <w:sz w:val="19"/>
                <w:szCs w:val="19"/>
              </w:rPr>
              <w:t xml:space="preserve">26.04%</w:t>
            </w:r>
          </w:p>
        </w:tc>
        <w:tc>
          <w:tcPr>
            <w:tcW w:type="dxa" w:w="2200"/>
            <w:vAlign w:val="center"/>
          </w:tcPr>
          <w:p>
            <w:pPr>
              <w:spacing w:after="0" w:line="240"/>
            </w:pPr>
            <w:r>
              <w:rPr>
                <w:b w:val="false"/>
                <w:bCs w:val="false"/>
                <w:color w:val="17212B"/>
                <w:sz w:val="19"/>
                <w:szCs w:val="19"/>
              </w:rPr>
              <w:t xml:space="preserve">7.20 points</w:t>
            </w:r>
          </w:p>
        </w:tc>
      </w:tr>
      <w:tr>
        <w:trPr>
          <w:cantSplit/>
          <w:tblHeader w:val="false"/>
        </w:trPr>
        <w:tc>
          <w:tcPr>
            <w:tcW w:type="dxa" w:w="2520"/>
            <w:shd w:fill="F2F4F7" w:color="auto" w:val="clear"/>
            <w:vAlign w:val="center"/>
          </w:tcPr>
          <w:p>
            <w:pPr>
              <w:spacing w:after="0" w:line="240"/>
            </w:pPr>
            <w:r>
              <w:rPr>
                <w:b w:val="false"/>
                <w:bCs w:val="false"/>
                <w:color w:val="17212B"/>
                <w:sz w:val="19"/>
                <w:szCs w:val="19"/>
              </w:rPr>
              <w:t xml:space="preserve">F1</w:t>
            </w:r>
          </w:p>
        </w:tc>
        <w:tc>
          <w:tcPr>
            <w:tcW w:type="dxa" w:w="2200"/>
            <w:shd w:fill="F2F4F7" w:color="auto" w:val="clear"/>
            <w:vAlign w:val="center"/>
          </w:tcPr>
          <w:p>
            <w:pPr>
              <w:spacing w:after="0" w:line="240"/>
            </w:pPr>
            <w:r>
              <w:rPr>
                <w:b w:val="false"/>
                <w:bCs w:val="false"/>
                <w:color w:val="17212B"/>
                <w:sz w:val="19"/>
                <w:szCs w:val="19"/>
              </w:rPr>
              <w:t xml:space="preserve">16.35%</w:t>
            </w:r>
          </w:p>
        </w:tc>
        <w:tc>
          <w:tcPr>
            <w:tcW w:type="dxa" w:w="2200"/>
            <w:shd w:fill="F2F4F7" w:color="auto" w:val="clear"/>
            <w:vAlign w:val="center"/>
          </w:tcPr>
          <w:p>
            <w:pPr>
              <w:spacing w:after="0" w:line="240"/>
            </w:pPr>
            <w:r>
              <w:rPr>
                <w:b w:val="false"/>
                <w:bCs w:val="false"/>
                <w:color w:val="17212B"/>
                <w:sz w:val="19"/>
                <w:szCs w:val="19"/>
              </w:rPr>
              <w:t xml:space="preserve">26.88%</w:t>
            </w:r>
          </w:p>
        </w:tc>
        <w:tc>
          <w:tcPr>
            <w:tcW w:type="dxa" w:w="2200"/>
            <w:shd w:fill="F2F4F7" w:color="auto" w:val="clear"/>
            <w:vAlign w:val="center"/>
          </w:tcPr>
          <w:p>
            <w:pPr>
              <w:spacing w:after="0" w:line="240"/>
            </w:pPr>
            <w:r>
              <w:rPr>
                <w:b w:val="false"/>
                <w:bCs w:val="false"/>
                <w:color w:val="17212B"/>
                <w:sz w:val="19"/>
                <w:szCs w:val="19"/>
              </w:rPr>
              <w:t xml:space="preserve">10.53 points</w:t>
            </w:r>
          </w:p>
        </w:tc>
      </w:tr>
      <w:tr>
        <w:trPr>
          <w:cantSplit/>
          <w:tblHeader w:val="false"/>
        </w:trPr>
        <w:tc>
          <w:tcPr>
            <w:tcW w:type="dxa" w:w="2520"/>
            <w:vAlign w:val="center"/>
          </w:tcPr>
          <w:p>
            <w:pPr>
              <w:spacing w:after="0" w:line="240"/>
            </w:pPr>
            <w:r>
              <w:rPr>
                <w:b w:val="false"/>
                <w:bCs w:val="false"/>
                <w:color w:val="17212B"/>
                <w:sz w:val="19"/>
                <w:szCs w:val="19"/>
              </w:rPr>
              <w:t xml:space="preserve">ROC-AUC</w:t>
            </w:r>
          </w:p>
        </w:tc>
        <w:tc>
          <w:tcPr>
            <w:tcW w:type="dxa" w:w="2200"/>
            <w:vAlign w:val="center"/>
          </w:tcPr>
          <w:p>
            <w:pPr>
              <w:spacing w:after="0" w:line="240"/>
            </w:pPr>
            <w:r>
              <w:rPr>
                <w:b w:val="false"/>
                <w:bCs w:val="false"/>
                <w:color w:val="17212B"/>
                <w:sz w:val="19"/>
                <w:szCs w:val="19"/>
              </w:rPr>
              <w:t xml:space="preserve">83.28%</w:t>
            </w:r>
          </w:p>
        </w:tc>
        <w:tc>
          <w:tcPr>
            <w:tcW w:type="dxa" w:w="2200"/>
            <w:vAlign w:val="center"/>
          </w:tcPr>
          <w:p>
            <w:pPr>
              <w:spacing w:after="0" w:line="240"/>
            </w:pPr>
            <w:r>
              <w:rPr>
                <w:b w:val="false"/>
                <w:bCs w:val="false"/>
                <w:color w:val="17212B"/>
                <w:sz w:val="19"/>
                <w:szCs w:val="19"/>
              </w:rPr>
              <w:t xml:space="preserve">87.30%</w:t>
            </w:r>
          </w:p>
        </w:tc>
        <w:tc>
          <w:tcPr>
            <w:tcW w:type="dxa" w:w="2200"/>
            <w:vAlign w:val="center"/>
          </w:tcPr>
          <w:p>
            <w:pPr>
              <w:spacing w:after="0" w:line="240"/>
            </w:pPr>
            <w:r>
              <w:rPr>
                <w:b w:val="false"/>
                <w:bCs w:val="false"/>
                <w:color w:val="17212B"/>
                <w:sz w:val="19"/>
                <w:szCs w:val="19"/>
              </w:rPr>
              <w:t xml:space="preserve">4.02 points</w:t>
            </w:r>
          </w:p>
        </w:tc>
      </w:tr>
      <w:tr>
        <w:trPr>
          <w:cantSplit/>
          <w:tblHeader w:val="false"/>
        </w:trPr>
        <w:tc>
          <w:tcPr>
            <w:tcW w:type="dxa" w:w="2520"/>
            <w:shd w:fill="F2F4F7" w:color="auto" w:val="clear"/>
            <w:vAlign w:val="center"/>
          </w:tcPr>
          <w:p>
            <w:pPr>
              <w:spacing w:after="0" w:line="240"/>
            </w:pPr>
            <w:r>
              <w:rPr>
                <w:b w:val="false"/>
                <w:bCs w:val="false"/>
                <w:color w:val="17212B"/>
                <w:sz w:val="19"/>
                <w:szCs w:val="19"/>
              </w:rPr>
              <w:t xml:space="preserve">Average precision</w:t>
            </w:r>
          </w:p>
        </w:tc>
        <w:tc>
          <w:tcPr>
            <w:tcW w:type="dxa" w:w="2200"/>
            <w:shd w:fill="F2F4F7" w:color="auto" w:val="clear"/>
            <w:vAlign w:val="center"/>
          </w:tcPr>
          <w:p>
            <w:pPr>
              <w:spacing w:after="0" w:line="240"/>
            </w:pPr>
            <w:r>
              <w:rPr>
                <w:b w:val="false"/>
                <w:bCs w:val="false"/>
                <w:color w:val="17212B"/>
                <w:sz w:val="19"/>
                <w:szCs w:val="19"/>
              </w:rPr>
              <w:t xml:space="preserve">10.51%</w:t>
            </w:r>
          </w:p>
        </w:tc>
        <w:tc>
          <w:tcPr>
            <w:tcW w:type="dxa" w:w="2200"/>
            <w:shd w:fill="F2F4F7" w:color="auto" w:val="clear"/>
            <w:vAlign w:val="center"/>
          </w:tcPr>
          <w:p>
            <w:pPr>
              <w:spacing w:after="0" w:line="240"/>
            </w:pPr>
            <w:r>
              <w:rPr>
                <w:b w:val="false"/>
                <w:bCs w:val="false"/>
                <w:color w:val="17212B"/>
                <w:sz w:val="19"/>
                <w:szCs w:val="19"/>
              </w:rPr>
              <w:t xml:space="preserve">15.04%</w:t>
            </w:r>
          </w:p>
        </w:tc>
        <w:tc>
          <w:tcPr>
            <w:tcW w:type="dxa" w:w="2200"/>
            <w:shd w:fill="F2F4F7" w:color="auto" w:val="clear"/>
            <w:vAlign w:val="center"/>
          </w:tcPr>
          <w:p>
            <w:pPr>
              <w:spacing w:after="0" w:line="240"/>
            </w:pPr>
            <w:r>
              <w:rPr>
                <w:b w:val="false"/>
                <w:bCs w:val="false"/>
                <w:color w:val="17212B"/>
                <w:sz w:val="19"/>
                <w:szCs w:val="19"/>
              </w:rPr>
              <w:t xml:space="preserve">4.54 points</w:t>
            </w:r>
          </w:p>
        </w:tc>
      </w:tr>
      <w:tr>
        <w:trPr>
          <w:cantSplit/>
          <w:tblHeader w:val="false"/>
        </w:trPr>
        <w:tc>
          <w:tcPr>
            <w:tcW w:type="dxa" w:w="2520"/>
            <w:vAlign w:val="center"/>
          </w:tcPr>
          <w:p>
            <w:pPr>
              <w:spacing w:after="0" w:line="240"/>
            </w:pPr>
            <w:r>
              <w:rPr>
                <w:b w:val="false"/>
                <w:bCs w:val="false"/>
                <w:color w:val="17212B"/>
                <w:sz w:val="19"/>
                <w:szCs w:val="19"/>
              </w:rPr>
              <w:t xml:space="preserve">False-positive rate</w:t>
            </w:r>
          </w:p>
        </w:tc>
        <w:tc>
          <w:tcPr>
            <w:tcW w:type="dxa" w:w="2200"/>
            <w:vAlign w:val="center"/>
          </w:tcPr>
          <w:p>
            <w:pPr>
              <w:spacing w:after="0" w:line="240"/>
            </w:pPr>
            <w:r>
              <w:rPr>
                <w:b w:val="false"/>
                <w:bCs w:val="false"/>
                <w:color w:val="17212B"/>
                <w:sz w:val="19"/>
                <w:szCs w:val="19"/>
              </w:rPr>
              <w:t xml:space="preserve">0.19%</w:t>
            </w:r>
          </w:p>
        </w:tc>
        <w:tc>
          <w:tcPr>
            <w:tcW w:type="dxa" w:w="2200"/>
            <w:vAlign w:val="center"/>
          </w:tcPr>
          <w:p>
            <w:pPr>
              <w:spacing w:after="0" w:line="240"/>
            </w:pPr>
            <w:r>
              <w:rPr>
                <w:b w:val="false"/>
                <w:bCs w:val="false"/>
                <w:color w:val="17212B"/>
                <w:sz w:val="19"/>
                <w:szCs w:val="19"/>
              </w:rPr>
              <w:t xml:space="preserve">0.24%</w:t>
            </w:r>
          </w:p>
        </w:tc>
        <w:tc>
          <w:tcPr>
            <w:tcW w:type="dxa" w:w="2200"/>
            <w:vAlign w:val="center"/>
          </w:tcPr>
          <w:p>
            <w:pPr>
              <w:spacing w:after="0" w:line="240"/>
            </w:pPr>
            <w:r>
              <w:rPr>
                <w:b w:val="false"/>
                <w:bCs w:val="false"/>
                <w:color w:val="17212B"/>
                <w:sz w:val="19"/>
                <w:szCs w:val="19"/>
              </w:rPr>
              <w:t xml:space="preserve">0.05 points</w:t>
            </w:r>
          </w:p>
        </w:tc>
      </w:tr>
      <w:tr>
        <w:trPr>
          <w:cantSplit/>
          <w:tblHeader w:val="false"/>
        </w:trPr>
        <w:tc>
          <w:tcPr>
            <w:tcW w:type="dxa" w:w="2520"/>
            <w:shd w:fill="F2F4F7" w:color="auto" w:val="clear"/>
            <w:vAlign w:val="center"/>
          </w:tcPr>
          <w:p>
            <w:pPr>
              <w:spacing w:after="0" w:line="240"/>
            </w:pPr>
            <w:r>
              <w:rPr>
                <w:b w:val="false"/>
                <w:bCs w:val="false"/>
                <w:color w:val="17212B"/>
                <w:sz w:val="19"/>
                <w:szCs w:val="19"/>
              </w:rPr>
              <w:t xml:space="preserve">Review rate</w:t>
            </w:r>
          </w:p>
        </w:tc>
        <w:tc>
          <w:tcPr>
            <w:tcW w:type="dxa" w:w="2200"/>
            <w:shd w:fill="F2F4F7" w:color="auto" w:val="clear"/>
            <w:vAlign w:val="center"/>
          </w:tcPr>
          <w:p>
            <w:pPr>
              <w:spacing w:after="0" w:line="240"/>
            </w:pPr>
            <w:r>
              <w:rPr>
                <w:b w:val="false"/>
                <w:bCs w:val="false"/>
                <w:color w:val="17212B"/>
                <w:sz w:val="19"/>
                <w:szCs w:val="19"/>
              </w:rPr>
              <w:t xml:space="preserve">1.57%</w:t>
            </w:r>
          </w:p>
        </w:tc>
        <w:tc>
          <w:tcPr>
            <w:tcW w:type="dxa" w:w="2200"/>
            <w:shd w:fill="F2F4F7" w:color="auto" w:val="clear"/>
            <w:vAlign w:val="center"/>
          </w:tcPr>
          <w:p>
            <w:pPr>
              <w:spacing w:after="0" w:line="240"/>
            </w:pPr>
            <w:r>
              <w:rPr>
                <w:b w:val="false"/>
                <w:bCs w:val="false"/>
                <w:color w:val="17212B"/>
                <w:sz w:val="19"/>
                <w:szCs w:val="19"/>
              </w:rPr>
              <w:t xml:space="preserve">1.83%</w:t>
            </w:r>
          </w:p>
        </w:tc>
        <w:tc>
          <w:tcPr>
            <w:tcW w:type="dxa" w:w="2200"/>
            <w:shd w:fill="F2F4F7" w:color="auto" w:val="clear"/>
            <w:vAlign w:val="center"/>
          </w:tcPr>
          <w:p>
            <w:pPr>
              <w:spacing w:after="0" w:line="240"/>
            </w:pPr>
            <w:r>
              <w:rPr>
                <w:b w:val="false"/>
                <w:bCs w:val="false"/>
                <w:color w:val="17212B"/>
                <w:sz w:val="19"/>
                <w:szCs w:val="19"/>
              </w:rPr>
              <w:t xml:space="preserve">0.26 points</w:t>
            </w:r>
          </w:p>
        </w:tc>
      </w:tr>
    </w:tbl>
    <w:p>
      <w:pPr>
        <w:pStyle w:val="Heading2"/>
      </w:pPr>
      <w:r>
        <w:t xml:space="preserve">Why this is a new signal and not a lower threshold</w:t>
      </w:r>
    </w:p>
    <w:p>
      <w:r>
        <w:t xml:space="preserve">This is the most important table in the submission. It is the operating curve of the UNCHANGED detector across the WHOLE score range on the discovered attack.</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1620"/>
        <w:gridCol w:w="1875"/>
        <w:gridCol w:w="1875"/>
        <w:gridCol w:w="1875"/>
        <w:gridCol w:w="1875"/>
      </w:tblGrid>
      <w:tr>
        <w:trPr>
          <w:cantSplit/>
          <w:tblHeader/>
        </w:trPr>
        <w:tc>
          <w:tcPr>
            <w:tcW w:type="dxa" w:w="1620"/>
            <w:shd w:fill="1A1A1A" w:color="auto" w:val="clear"/>
            <w:vAlign w:val="center"/>
          </w:tcPr>
          <w:p>
            <w:pPr>
              <w:spacing w:after="0" w:line="240"/>
            </w:pPr>
            <w:r>
              <w:rPr>
                <w:b/>
                <w:bCs/>
                <w:color w:val="FFFFFF"/>
                <w:sz w:val="19"/>
                <w:szCs w:val="19"/>
              </w:rPr>
              <w:t xml:space="preserve">Threshold</w:t>
            </w:r>
          </w:p>
        </w:tc>
        <w:tc>
          <w:tcPr>
            <w:tcW w:type="dxa" w:w="1875"/>
            <w:shd w:fill="1A1A1A" w:color="auto" w:val="clear"/>
            <w:vAlign w:val="center"/>
          </w:tcPr>
          <w:p>
            <w:pPr>
              <w:spacing w:after="0" w:line="240"/>
            </w:pPr>
            <w:r>
              <w:rPr>
                <w:b/>
                <w:bCs/>
                <w:color w:val="FFFFFF"/>
                <w:sz w:val="19"/>
                <w:szCs w:val="19"/>
              </w:rPr>
              <w:t xml:space="preserve">Precision</w:t>
            </w:r>
          </w:p>
        </w:tc>
        <w:tc>
          <w:tcPr>
            <w:tcW w:type="dxa" w:w="1875"/>
            <w:shd w:fill="1A1A1A" w:color="auto" w:val="clear"/>
            <w:vAlign w:val="center"/>
          </w:tcPr>
          <w:p>
            <w:pPr>
              <w:spacing w:after="0" w:line="240"/>
            </w:pPr>
            <w:r>
              <w:rPr>
                <w:b/>
                <w:bCs/>
                <w:color w:val="FFFFFF"/>
                <w:sz w:val="19"/>
                <w:szCs w:val="19"/>
              </w:rPr>
              <w:t xml:space="preserve">Recall</w:t>
            </w:r>
          </w:p>
        </w:tc>
        <w:tc>
          <w:tcPr>
            <w:tcW w:type="dxa" w:w="1875"/>
            <w:shd w:fill="1A1A1A" w:color="auto" w:val="clear"/>
            <w:vAlign w:val="center"/>
          </w:tcPr>
          <w:p>
            <w:pPr>
              <w:spacing w:after="0" w:line="240"/>
            </w:pPr>
            <w:r>
              <w:rPr>
                <w:b/>
                <w:bCs/>
                <w:color w:val="FFFFFF"/>
                <w:sz w:val="19"/>
                <w:szCs w:val="19"/>
              </w:rPr>
              <w:t xml:space="preserve">F1</w:t>
            </w:r>
          </w:p>
        </w:tc>
        <w:tc>
          <w:tcPr>
            <w:tcW w:type="dxa" w:w="1875"/>
            <w:shd w:fill="1A1A1A" w:color="auto" w:val="clear"/>
            <w:vAlign w:val="center"/>
          </w:tcPr>
          <w:p>
            <w:pPr>
              <w:spacing w:after="0" w:line="240"/>
            </w:pPr>
            <w:r>
              <w:rPr>
                <w:b/>
                <w:bCs/>
                <w:color w:val="FFFFFF"/>
                <w:sz w:val="19"/>
                <w:szCs w:val="19"/>
              </w:rPr>
              <w:t xml:space="preserve">False positives</w:t>
            </w:r>
          </w:p>
        </w:tc>
      </w:tr>
      <w:tr>
        <w:trPr>
          <w:cantSplit/>
          <w:tblHeader w:val="false"/>
        </w:trPr>
        <w:tc>
          <w:tcPr>
            <w:tcW w:type="dxa" w:w="1620"/>
            <w:vAlign w:val="center"/>
          </w:tcPr>
          <w:p>
            <w:pPr>
              <w:spacing w:after="0" w:line="240"/>
            </w:pPr>
            <w:r>
              <w:rPr>
                <w:b w:val="false"/>
                <w:bCs w:val="false"/>
                <w:color w:val="17212B"/>
                <w:sz w:val="19"/>
                <w:szCs w:val="19"/>
              </w:rPr>
              <w:t xml:space="preserve">0.30</w:t>
            </w:r>
          </w:p>
        </w:tc>
        <w:tc>
          <w:tcPr>
            <w:tcW w:type="dxa" w:w="1875"/>
            <w:vAlign w:val="center"/>
          </w:tcPr>
          <w:p>
            <w:pPr>
              <w:spacing w:after="0" w:line="240"/>
            </w:pPr>
            <w:r>
              <w:rPr>
                <w:b w:val="false"/>
                <w:bCs w:val="false"/>
                <w:color w:val="17212B"/>
                <w:sz w:val="19"/>
                <w:szCs w:val="19"/>
              </w:rPr>
              <w:t xml:space="preserve">4.40%</w:t>
            </w:r>
          </w:p>
        </w:tc>
        <w:tc>
          <w:tcPr>
            <w:tcW w:type="dxa" w:w="1875"/>
            <w:vAlign w:val="center"/>
          </w:tcPr>
          <w:p>
            <w:pPr>
              <w:spacing w:after="0" w:line="240"/>
            </w:pPr>
            <w:r>
              <w:rPr>
                <w:b w:val="false"/>
                <w:bCs w:val="false"/>
                <w:color w:val="17212B"/>
                <w:sz w:val="19"/>
                <w:szCs w:val="19"/>
              </w:rPr>
              <w:t xml:space="preserve">62.22%</w:t>
            </w:r>
          </w:p>
        </w:tc>
        <w:tc>
          <w:tcPr>
            <w:tcW w:type="dxa" w:w="1875"/>
            <w:vAlign w:val="center"/>
          </w:tcPr>
          <w:p>
            <w:pPr>
              <w:spacing w:after="0" w:line="240"/>
            </w:pPr>
            <w:r>
              <w:rPr>
                <w:b w:val="false"/>
                <w:bCs w:val="false"/>
                <w:color w:val="17212B"/>
                <w:sz w:val="19"/>
                <w:szCs w:val="19"/>
              </w:rPr>
              <w:t xml:space="preserve">8.21%</w:t>
            </w:r>
          </w:p>
        </w:tc>
        <w:tc>
          <w:tcPr>
            <w:tcW w:type="dxa" w:w="1875"/>
            <w:vAlign w:val="center"/>
          </w:tcPr>
          <w:p>
            <w:pPr>
              <w:spacing w:after="0" w:line="240"/>
            </w:pPr>
            <w:r>
              <w:rPr>
                <w:b w:val="false"/>
                <w:bCs w:val="false"/>
                <w:color w:val="17212B"/>
                <w:sz w:val="19"/>
                <w:szCs w:val="19"/>
              </w:rPr>
              <w:t xml:space="preserve">1,218</w:t>
            </w:r>
          </w:p>
        </w:tc>
      </w:tr>
      <w:tr>
        <w:trPr>
          <w:cantSplit/>
          <w:tblHeader w:val="false"/>
        </w:trPr>
        <w:tc>
          <w:tcPr>
            <w:tcW w:type="dxa" w:w="1620"/>
            <w:shd w:fill="F2F4F7" w:color="auto" w:val="clear"/>
            <w:vAlign w:val="center"/>
          </w:tcPr>
          <w:p>
            <w:pPr>
              <w:spacing w:after="0" w:line="240"/>
            </w:pPr>
            <w:r>
              <w:rPr>
                <w:b w:val="false"/>
                <w:bCs w:val="false"/>
                <w:color w:val="17212B"/>
                <w:sz w:val="19"/>
                <w:szCs w:val="19"/>
              </w:rPr>
              <w:t xml:space="preserve">0.40</w:t>
            </w:r>
          </w:p>
        </w:tc>
        <w:tc>
          <w:tcPr>
            <w:tcW w:type="dxa" w:w="1875"/>
            <w:shd w:fill="F2F4F7" w:color="auto" w:val="clear"/>
            <w:vAlign w:val="center"/>
          </w:tcPr>
          <w:p>
            <w:pPr>
              <w:spacing w:after="0" w:line="240"/>
            </w:pPr>
            <w:r>
              <w:rPr>
                <w:b w:val="false"/>
                <w:bCs w:val="false"/>
                <w:color w:val="17212B"/>
                <w:sz w:val="19"/>
                <w:szCs w:val="19"/>
              </w:rPr>
              <w:t xml:space="preserve">5.81%</w:t>
            </w:r>
          </w:p>
        </w:tc>
        <w:tc>
          <w:tcPr>
            <w:tcW w:type="dxa" w:w="1875"/>
            <w:shd w:fill="F2F4F7" w:color="auto" w:val="clear"/>
            <w:vAlign w:val="center"/>
          </w:tcPr>
          <w:p>
            <w:pPr>
              <w:spacing w:after="0" w:line="240"/>
            </w:pPr>
            <w:r>
              <w:rPr>
                <w:b w:val="false"/>
                <w:bCs w:val="false"/>
                <w:color w:val="17212B"/>
                <w:sz w:val="19"/>
                <w:szCs w:val="19"/>
              </w:rPr>
              <w:t xml:space="preserve">60.00%</w:t>
            </w:r>
          </w:p>
        </w:tc>
        <w:tc>
          <w:tcPr>
            <w:tcW w:type="dxa" w:w="1875"/>
            <w:shd w:fill="F2F4F7" w:color="auto" w:val="clear"/>
            <w:vAlign w:val="center"/>
          </w:tcPr>
          <w:p>
            <w:pPr>
              <w:spacing w:after="0" w:line="240"/>
            </w:pPr>
            <w:r>
              <w:rPr>
                <w:b w:val="false"/>
                <w:bCs w:val="false"/>
                <w:color w:val="17212B"/>
                <w:sz w:val="19"/>
                <w:szCs w:val="19"/>
              </w:rPr>
              <w:t xml:space="preserve">10.60%</w:t>
            </w:r>
          </w:p>
        </w:tc>
        <w:tc>
          <w:tcPr>
            <w:tcW w:type="dxa" w:w="1875"/>
            <w:shd w:fill="F2F4F7" w:color="auto" w:val="clear"/>
            <w:vAlign w:val="center"/>
          </w:tcPr>
          <w:p>
            <w:pPr>
              <w:spacing w:after="0" w:line="240"/>
            </w:pPr>
            <w:r>
              <w:rPr>
                <w:b w:val="false"/>
                <w:bCs w:val="false"/>
                <w:color w:val="17212B"/>
                <w:sz w:val="19"/>
                <w:szCs w:val="19"/>
              </w:rPr>
              <w:t xml:space="preserve">875</w:t>
            </w:r>
          </w:p>
        </w:tc>
      </w:tr>
      <w:tr>
        <w:trPr>
          <w:cantSplit/>
          <w:tblHeader w:val="false"/>
        </w:trPr>
        <w:tc>
          <w:tcPr>
            <w:tcW w:type="dxa" w:w="1620"/>
            <w:vAlign w:val="center"/>
          </w:tcPr>
          <w:p>
            <w:pPr>
              <w:spacing w:after="0" w:line="240"/>
            </w:pPr>
            <w:r>
              <w:rPr>
                <w:b w:val="false"/>
                <w:bCs w:val="false"/>
                <w:color w:val="17212B"/>
                <w:sz w:val="19"/>
                <w:szCs w:val="19"/>
              </w:rPr>
              <w:t xml:space="preserve">0.50</w:t>
            </w:r>
          </w:p>
        </w:tc>
        <w:tc>
          <w:tcPr>
            <w:tcW w:type="dxa" w:w="1875"/>
            <w:vAlign w:val="center"/>
          </w:tcPr>
          <w:p>
            <w:pPr>
              <w:spacing w:after="0" w:line="240"/>
            </w:pPr>
            <w:r>
              <w:rPr>
                <w:b w:val="false"/>
                <w:bCs w:val="false"/>
                <w:color w:val="17212B"/>
                <w:sz w:val="19"/>
                <w:szCs w:val="19"/>
              </w:rPr>
              <w:t xml:space="preserve">6.53%</w:t>
            </w:r>
          </w:p>
        </w:tc>
        <w:tc>
          <w:tcPr>
            <w:tcW w:type="dxa" w:w="1875"/>
            <w:vAlign w:val="center"/>
          </w:tcPr>
          <w:p>
            <w:pPr>
              <w:spacing w:after="0" w:line="240"/>
            </w:pPr>
            <w:r>
              <w:rPr>
                <w:b w:val="false"/>
                <w:bCs w:val="false"/>
                <w:color w:val="17212B"/>
                <w:sz w:val="19"/>
                <w:szCs w:val="19"/>
              </w:rPr>
              <w:t xml:space="preserve">50.00%</w:t>
            </w:r>
          </w:p>
        </w:tc>
        <w:tc>
          <w:tcPr>
            <w:tcW w:type="dxa" w:w="1875"/>
            <w:vAlign w:val="center"/>
          </w:tcPr>
          <w:p>
            <w:pPr>
              <w:spacing w:after="0" w:line="240"/>
            </w:pPr>
            <w:r>
              <w:rPr>
                <w:b w:val="false"/>
                <w:bCs w:val="false"/>
                <w:color w:val="17212B"/>
                <w:sz w:val="19"/>
                <w:szCs w:val="19"/>
              </w:rPr>
              <w:t xml:space="preserve">11.55%</w:t>
            </w:r>
          </w:p>
        </w:tc>
        <w:tc>
          <w:tcPr>
            <w:tcW w:type="dxa" w:w="1875"/>
            <w:vAlign w:val="center"/>
          </w:tcPr>
          <w:p>
            <w:pPr>
              <w:spacing w:after="0" w:line="240"/>
            </w:pPr>
            <w:r>
              <w:rPr>
                <w:b w:val="false"/>
                <w:bCs w:val="false"/>
                <w:color w:val="17212B"/>
                <w:sz w:val="19"/>
                <w:szCs w:val="19"/>
              </w:rPr>
              <w:t xml:space="preserve">644</w:t>
            </w:r>
          </w:p>
        </w:tc>
      </w:tr>
      <w:tr>
        <w:trPr>
          <w:cantSplit/>
          <w:tblHeader w:val="false"/>
        </w:trPr>
        <w:tc>
          <w:tcPr>
            <w:tcW w:type="dxa" w:w="1620"/>
            <w:shd w:fill="F2F4F7" w:color="auto" w:val="clear"/>
            <w:vAlign w:val="center"/>
          </w:tcPr>
          <w:p>
            <w:pPr>
              <w:spacing w:after="0" w:line="240"/>
            </w:pPr>
            <w:r>
              <w:rPr>
                <w:b w:val="false"/>
                <w:bCs w:val="false"/>
                <w:color w:val="17212B"/>
                <w:sz w:val="19"/>
                <w:szCs w:val="19"/>
              </w:rPr>
              <w:t xml:space="preserve">0.60</w:t>
            </w:r>
          </w:p>
        </w:tc>
        <w:tc>
          <w:tcPr>
            <w:tcW w:type="dxa" w:w="1875"/>
            <w:shd w:fill="F2F4F7" w:color="auto" w:val="clear"/>
            <w:vAlign w:val="center"/>
          </w:tcPr>
          <w:p>
            <w:pPr>
              <w:spacing w:after="0" w:line="240"/>
            </w:pPr>
            <w:r>
              <w:rPr>
                <w:b w:val="false"/>
                <w:bCs w:val="false"/>
                <w:color w:val="17212B"/>
                <w:sz w:val="19"/>
                <w:szCs w:val="19"/>
              </w:rPr>
              <w:t xml:space="preserve">6.90%</w:t>
            </w:r>
          </w:p>
        </w:tc>
        <w:tc>
          <w:tcPr>
            <w:tcW w:type="dxa" w:w="1875"/>
            <w:shd w:fill="F2F4F7" w:color="auto" w:val="clear"/>
            <w:vAlign w:val="center"/>
          </w:tcPr>
          <w:p>
            <w:pPr>
              <w:spacing w:after="0" w:line="240"/>
            </w:pPr>
            <w:r>
              <w:rPr>
                <w:b w:val="false"/>
                <w:bCs w:val="false"/>
                <w:color w:val="17212B"/>
                <w:sz w:val="19"/>
                <w:szCs w:val="19"/>
              </w:rPr>
              <w:t xml:space="preserve">38.89%</w:t>
            </w:r>
          </w:p>
        </w:tc>
        <w:tc>
          <w:tcPr>
            <w:tcW w:type="dxa" w:w="1875"/>
            <w:shd w:fill="F2F4F7" w:color="auto" w:val="clear"/>
            <w:vAlign w:val="center"/>
          </w:tcPr>
          <w:p>
            <w:pPr>
              <w:spacing w:after="0" w:line="240"/>
            </w:pPr>
            <w:r>
              <w:rPr>
                <w:b w:val="false"/>
                <w:bCs w:val="false"/>
                <w:color w:val="17212B"/>
                <w:sz w:val="19"/>
                <w:szCs w:val="19"/>
              </w:rPr>
              <w:t xml:space="preserve">11.73%</w:t>
            </w:r>
          </w:p>
        </w:tc>
        <w:tc>
          <w:tcPr>
            <w:tcW w:type="dxa" w:w="1875"/>
            <w:shd w:fill="F2F4F7" w:color="auto" w:val="clear"/>
            <w:vAlign w:val="center"/>
          </w:tcPr>
          <w:p>
            <w:pPr>
              <w:spacing w:after="0" w:line="240"/>
            </w:pPr>
            <w:r>
              <w:rPr>
                <w:b w:val="false"/>
                <w:bCs w:val="false"/>
                <w:color w:val="17212B"/>
                <w:sz w:val="19"/>
                <w:szCs w:val="19"/>
              </w:rPr>
              <w:t xml:space="preserve">472</w:t>
            </w:r>
          </w:p>
        </w:tc>
      </w:tr>
      <w:tr>
        <w:trPr>
          <w:cantSplit/>
          <w:tblHeader w:val="false"/>
        </w:trPr>
        <w:tc>
          <w:tcPr>
            <w:tcW w:type="dxa" w:w="1620"/>
            <w:vAlign w:val="center"/>
          </w:tcPr>
          <w:p>
            <w:pPr>
              <w:spacing w:after="0" w:line="240"/>
            </w:pPr>
            <w:r>
              <w:rPr>
                <w:b w:val="false"/>
                <w:bCs w:val="false"/>
                <w:color w:val="17212B"/>
                <w:sz w:val="19"/>
                <w:szCs w:val="19"/>
              </w:rPr>
              <w:t xml:space="preserve">0.70</w:t>
            </w:r>
          </w:p>
        </w:tc>
        <w:tc>
          <w:tcPr>
            <w:tcW w:type="dxa" w:w="1875"/>
            <w:vAlign w:val="center"/>
          </w:tcPr>
          <w:p>
            <w:pPr>
              <w:spacing w:after="0" w:line="240"/>
            </w:pPr>
            <w:r>
              <w:rPr>
                <w:b w:val="false"/>
                <w:bCs w:val="false"/>
                <w:color w:val="17212B"/>
                <w:sz w:val="19"/>
                <w:szCs w:val="19"/>
              </w:rPr>
              <w:t xml:space="preserve">8.43%</w:t>
            </w:r>
          </w:p>
        </w:tc>
        <w:tc>
          <w:tcPr>
            <w:tcW w:type="dxa" w:w="1875"/>
            <w:vAlign w:val="center"/>
          </w:tcPr>
          <w:p>
            <w:pPr>
              <w:spacing w:after="0" w:line="240"/>
            </w:pPr>
            <w:r>
              <w:rPr>
                <w:b w:val="false"/>
                <w:bCs w:val="false"/>
                <w:color w:val="17212B"/>
                <w:sz w:val="19"/>
                <w:szCs w:val="19"/>
              </w:rPr>
              <w:t xml:space="preserve">33.33%</w:t>
            </w:r>
          </w:p>
        </w:tc>
        <w:tc>
          <w:tcPr>
            <w:tcW w:type="dxa" w:w="1875"/>
            <w:vAlign w:val="center"/>
          </w:tcPr>
          <w:p>
            <w:pPr>
              <w:spacing w:after="0" w:line="240"/>
            </w:pPr>
            <w:r>
              <w:rPr>
                <w:b w:val="false"/>
                <w:bCs w:val="false"/>
                <w:color w:val="17212B"/>
                <w:sz w:val="19"/>
                <w:szCs w:val="19"/>
              </w:rPr>
              <w:t xml:space="preserve">13.45%</w:t>
            </w:r>
          </w:p>
        </w:tc>
        <w:tc>
          <w:tcPr>
            <w:tcW w:type="dxa" w:w="1875"/>
            <w:vAlign w:val="center"/>
          </w:tcPr>
          <w:p>
            <w:pPr>
              <w:spacing w:after="0" w:line="240"/>
            </w:pPr>
            <w:r>
              <w:rPr>
                <w:b w:val="false"/>
                <w:bCs w:val="false"/>
                <w:color w:val="17212B"/>
                <w:sz w:val="19"/>
                <w:szCs w:val="19"/>
              </w:rPr>
              <w:t xml:space="preserve">326</w:t>
            </w:r>
          </w:p>
        </w:tc>
      </w:tr>
      <w:tr>
        <w:trPr>
          <w:cantSplit/>
          <w:tblHeader w:val="false"/>
        </w:trPr>
        <w:tc>
          <w:tcPr>
            <w:tcW w:type="dxa" w:w="1620"/>
            <w:shd w:fill="F2F4F7" w:color="auto" w:val="clear"/>
            <w:vAlign w:val="center"/>
          </w:tcPr>
          <w:p>
            <w:pPr>
              <w:spacing w:after="0" w:line="240"/>
            </w:pPr>
            <w:r>
              <w:rPr>
                <w:b w:val="false"/>
                <w:bCs w:val="false"/>
                <w:color w:val="17212B"/>
                <w:sz w:val="19"/>
                <w:szCs w:val="19"/>
              </w:rPr>
              <w:t xml:space="preserve">0.80</w:t>
            </w:r>
          </w:p>
        </w:tc>
        <w:tc>
          <w:tcPr>
            <w:tcW w:type="dxa" w:w="1875"/>
            <w:shd w:fill="F2F4F7" w:color="auto" w:val="clear"/>
            <w:vAlign w:val="center"/>
          </w:tcPr>
          <w:p>
            <w:pPr>
              <w:spacing w:after="0" w:line="240"/>
            </w:pPr>
            <w:r>
              <w:rPr>
                <w:b w:val="false"/>
                <w:bCs w:val="false"/>
                <w:color w:val="17212B"/>
                <w:sz w:val="19"/>
                <w:szCs w:val="19"/>
              </w:rPr>
              <w:t xml:space="preserve">9.95%</w:t>
            </w:r>
          </w:p>
        </w:tc>
        <w:tc>
          <w:tcPr>
            <w:tcW w:type="dxa" w:w="1875"/>
            <w:shd w:fill="F2F4F7" w:color="auto" w:val="clear"/>
            <w:vAlign w:val="center"/>
          </w:tcPr>
          <w:p>
            <w:pPr>
              <w:spacing w:after="0" w:line="240"/>
            </w:pPr>
            <w:r>
              <w:rPr>
                <w:b w:val="false"/>
                <w:bCs w:val="false"/>
                <w:color w:val="17212B"/>
                <w:sz w:val="19"/>
                <w:szCs w:val="19"/>
              </w:rPr>
              <w:t xml:space="preserve">24.44%</w:t>
            </w:r>
          </w:p>
        </w:tc>
        <w:tc>
          <w:tcPr>
            <w:tcW w:type="dxa" w:w="1875"/>
            <w:shd w:fill="F2F4F7" w:color="auto" w:val="clear"/>
            <w:vAlign w:val="center"/>
          </w:tcPr>
          <w:p>
            <w:pPr>
              <w:spacing w:after="0" w:line="240"/>
            </w:pPr>
            <w:r>
              <w:rPr>
                <w:b w:val="false"/>
                <w:bCs w:val="false"/>
                <w:color w:val="17212B"/>
                <w:sz w:val="19"/>
                <w:szCs w:val="19"/>
              </w:rPr>
              <w:t xml:space="preserve">14.15%</w:t>
            </w:r>
          </w:p>
        </w:tc>
        <w:tc>
          <w:tcPr>
            <w:tcW w:type="dxa" w:w="1875"/>
            <w:shd w:fill="F2F4F7" w:color="auto" w:val="clear"/>
            <w:vAlign w:val="center"/>
          </w:tcPr>
          <w:p>
            <w:pPr>
              <w:spacing w:after="0" w:line="240"/>
            </w:pPr>
            <w:r>
              <w:rPr>
                <w:b w:val="false"/>
                <w:bCs w:val="false"/>
                <w:color w:val="17212B"/>
                <w:sz w:val="19"/>
                <w:szCs w:val="19"/>
              </w:rPr>
              <w:t xml:space="preserve">199</w:t>
            </w:r>
          </w:p>
        </w:tc>
      </w:tr>
      <w:tr>
        <w:trPr>
          <w:cantSplit/>
          <w:tblHeader w:val="false"/>
        </w:trPr>
        <w:tc>
          <w:tcPr>
            <w:tcW w:type="dxa" w:w="1620"/>
            <w:vAlign w:val="center"/>
          </w:tcPr>
          <w:p>
            <w:pPr>
              <w:spacing w:after="0" w:line="240"/>
            </w:pPr>
            <w:r>
              <w:rPr>
                <w:b w:val="false"/>
                <w:bCs w:val="false"/>
                <w:color w:val="17212B"/>
                <w:sz w:val="19"/>
                <w:szCs w:val="19"/>
              </w:rPr>
              <w:t xml:space="preserve">0.90</w:t>
            </w:r>
          </w:p>
        </w:tc>
        <w:tc>
          <w:tcPr>
            <w:tcW w:type="dxa" w:w="1875"/>
            <w:vAlign w:val="center"/>
          </w:tcPr>
          <w:p>
            <w:pPr>
              <w:spacing w:after="0" w:line="240"/>
            </w:pPr>
            <w:r>
              <w:rPr>
                <w:b w:val="false"/>
                <w:bCs w:val="false"/>
                <w:color w:val="17212B"/>
                <w:sz w:val="19"/>
                <w:szCs w:val="19"/>
              </w:rPr>
              <w:t xml:space="preserve">11.11%</w:t>
            </w:r>
          </w:p>
        </w:tc>
        <w:tc>
          <w:tcPr>
            <w:tcW w:type="dxa" w:w="1875"/>
            <w:vAlign w:val="center"/>
          </w:tcPr>
          <w:p>
            <w:pPr>
              <w:spacing w:after="0" w:line="240"/>
            </w:pPr>
            <w:r>
              <w:rPr>
                <w:b w:val="false"/>
                <w:bCs w:val="false"/>
                <w:color w:val="17212B"/>
                <w:sz w:val="19"/>
                <w:szCs w:val="19"/>
              </w:rPr>
              <w:t xml:space="preserve">13.33%</w:t>
            </w:r>
          </w:p>
        </w:tc>
        <w:tc>
          <w:tcPr>
            <w:tcW w:type="dxa" w:w="1875"/>
            <w:vAlign w:val="center"/>
          </w:tcPr>
          <w:p>
            <w:pPr>
              <w:spacing w:after="0" w:line="240"/>
            </w:pPr>
            <w:r>
              <w:rPr>
                <w:b w:val="false"/>
                <w:bCs w:val="false"/>
                <w:color w:val="17212B"/>
                <w:sz w:val="19"/>
                <w:szCs w:val="19"/>
              </w:rPr>
              <w:t xml:space="preserve">12.12%</w:t>
            </w:r>
          </w:p>
        </w:tc>
        <w:tc>
          <w:tcPr>
            <w:tcW w:type="dxa" w:w="1875"/>
            <w:vAlign w:val="center"/>
          </w:tcPr>
          <w:p>
            <w:pPr>
              <w:spacing w:after="0" w:line="240"/>
            </w:pPr>
            <w:r>
              <w:rPr>
                <w:b w:val="false"/>
                <w:bCs w:val="false"/>
                <w:color w:val="17212B"/>
                <w:sz w:val="19"/>
                <w:szCs w:val="19"/>
              </w:rPr>
              <w:t xml:space="preserve">96</w:t>
            </w:r>
          </w:p>
        </w:tc>
      </w:tr>
    </w:tbl>
    <w:p>
      <w:pPr>
        <w:shd w:fill="FCECEA" w:color="auto" w:val="clear"/>
        <w:spacing w:after="180" w:before="100"/>
        <w:ind w:left="160" w:right="160"/>
      </w:pPr>
      <w:r>
        <w:rPr>
          <w:b/>
          <w:bCs/>
          <w:color w:val="EB001B"/>
        </w:rPr>
        <w:t xml:space="preserve">THE RESULT: </w:t>
      </w:r>
      <w:r>
        <w:t xml:space="preserve">There is no operating point that rescues this attack. Lowering the threshold buys false positives, not recall. A novel attack is not a calibration problem you can threshold your way out of; it is a missing-feature problem, and you only learn WHICH feature is missing by generating the attack first.</w:t>
      </w:r>
    </w:p>
    <w:p>
      <w:pPr>
        <w:pStyle w:val="Heading2"/>
      </w:pPr>
      <w:r>
        <w:t xml:space="preserve">Statistical significance</w:t>
      </w:r>
    </w:p>
    <w:p>
      <w:r>
        <w:t xml:space="preserve">Before and after scored the SAME transactions — identical scenarios, identical seeds, identical legitimate pool. The comparison is therefore paired, and McNemar's test is the correct statistic; an unpaired two-proportion test would understate the evidence.</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5120"/>
        <w:gridCol w:w="4000"/>
      </w:tblGrid>
      <w:tr>
        <w:trPr>
          <w:cantSplit/>
          <w:tblHeader/>
        </w:trPr>
        <w:tc>
          <w:tcPr>
            <w:tcW w:type="dxa" w:w="5120"/>
            <w:shd w:fill="1A1A1A" w:color="auto" w:val="clear"/>
            <w:vAlign w:val="center"/>
          </w:tcPr>
          <w:p>
            <w:pPr>
              <w:spacing w:after="0" w:line="240"/>
            </w:pPr>
            <w:r>
              <w:rPr>
                <w:b/>
                <w:bCs/>
                <w:color w:val="FFFFFF"/>
                <w:sz w:val="19"/>
                <w:szCs w:val="19"/>
              </w:rPr>
              <w:t xml:space="preserve">Quantity</w:t>
            </w:r>
          </w:p>
        </w:tc>
        <w:tc>
          <w:tcPr>
            <w:tcW w:type="dxa" w:w="4000"/>
            <w:shd w:fill="1A1A1A" w:color="auto" w:val="clear"/>
            <w:vAlign w:val="center"/>
          </w:tcPr>
          <w:p>
            <w:pPr>
              <w:spacing w:after="0" w:line="240"/>
            </w:pPr>
            <w:r>
              <w:rPr>
                <w:b/>
                <w:bCs/>
                <w:color w:val="FFFFFF"/>
                <w:sz w:val="19"/>
                <w:szCs w:val="19"/>
              </w:rPr>
              <w:t xml:space="preserve">Value</w:t>
            </w:r>
          </w:p>
        </w:tc>
      </w:tr>
      <w:tr>
        <w:trPr>
          <w:cantSplit/>
          <w:tblHeader w:val="false"/>
        </w:trPr>
        <w:tc>
          <w:tcPr>
            <w:tcW w:type="dxa" w:w="5120"/>
            <w:vAlign w:val="center"/>
          </w:tcPr>
          <w:p>
            <w:pPr>
              <w:spacing w:after="0" w:line="240"/>
            </w:pPr>
            <w:r>
              <w:rPr>
                <w:b w:val="false"/>
                <w:bCs w:val="false"/>
                <w:color w:val="17212B"/>
                <w:sz w:val="19"/>
                <w:szCs w:val="19"/>
              </w:rPr>
              <w:t xml:space="preserve">Newly caught</w:t>
            </w:r>
          </w:p>
        </w:tc>
        <w:tc>
          <w:tcPr>
            <w:tcW w:type="dxa" w:w="4000"/>
            <w:vAlign w:val="center"/>
          </w:tcPr>
          <w:p>
            <w:pPr>
              <w:spacing w:after="0" w:line="240"/>
            </w:pPr>
            <w:r>
              <w:rPr>
                <w:b w:val="false"/>
                <w:bCs w:val="false"/>
                <w:color w:val="17212B"/>
                <w:sz w:val="19"/>
                <w:szCs w:val="19"/>
              </w:rPr>
              <w:t xml:space="preserve">23</w:t>
            </w:r>
          </w:p>
        </w:tc>
      </w:tr>
      <w:tr>
        <w:trPr>
          <w:cantSplit/>
          <w:tblHeader w:val="false"/>
        </w:trPr>
        <w:tc>
          <w:tcPr>
            <w:tcW w:type="dxa" w:w="5120"/>
            <w:shd w:fill="F2F4F7" w:color="auto" w:val="clear"/>
            <w:vAlign w:val="center"/>
          </w:tcPr>
          <w:p>
            <w:pPr>
              <w:spacing w:after="0" w:line="240"/>
            </w:pPr>
            <w:r>
              <w:rPr>
                <w:b w:val="false"/>
                <w:bCs w:val="false"/>
                <w:color w:val="17212B"/>
                <w:sz w:val="19"/>
                <w:szCs w:val="19"/>
              </w:rPr>
              <w:t xml:space="preserve">Newly missed</w:t>
            </w:r>
          </w:p>
        </w:tc>
        <w:tc>
          <w:tcPr>
            <w:tcW w:type="dxa" w:w="4000"/>
            <w:shd w:fill="F2F4F7" w:color="auto" w:val="clear"/>
            <w:vAlign w:val="center"/>
          </w:tcPr>
          <w:p>
            <w:pPr>
              <w:spacing w:after="0" w:line="240"/>
            </w:pPr>
            <w:r>
              <w:rPr>
                <w:b w:val="false"/>
                <w:bCs w:val="false"/>
                <w:color w:val="17212B"/>
                <w:sz w:val="19"/>
                <w:szCs w:val="19"/>
              </w:rPr>
              <w:t xml:space="preserve">0</w:t>
            </w:r>
          </w:p>
        </w:tc>
      </w:tr>
      <w:tr>
        <w:trPr>
          <w:cantSplit/>
          <w:tblHeader w:val="false"/>
        </w:trPr>
        <w:tc>
          <w:tcPr>
            <w:tcW w:type="dxa" w:w="5120"/>
            <w:vAlign w:val="center"/>
          </w:tcPr>
          <w:p>
            <w:pPr>
              <w:spacing w:after="0" w:line="240"/>
            </w:pPr>
            <w:r>
              <w:rPr>
                <w:b w:val="false"/>
                <w:bCs w:val="false"/>
                <w:color w:val="17212B"/>
                <w:sz w:val="19"/>
                <w:szCs w:val="19"/>
              </w:rPr>
              <w:t xml:space="preserve">McNemar p-value</w:t>
            </w:r>
          </w:p>
        </w:tc>
        <w:tc>
          <w:tcPr>
            <w:tcW w:type="dxa" w:w="4000"/>
            <w:vAlign w:val="center"/>
          </w:tcPr>
          <w:p>
            <w:pPr>
              <w:spacing w:after="0" w:line="240"/>
            </w:pPr>
            <w:r>
              <w:rPr>
                <w:b w:val="false"/>
                <w:bCs w:val="false"/>
                <w:color w:val="17212B"/>
                <w:sz w:val="19"/>
                <w:szCs w:val="19"/>
              </w:rPr>
              <w:t xml:space="preserve">&lt; 0.001</w:t>
            </w:r>
          </w:p>
        </w:tc>
      </w:tr>
      <w:tr>
        <w:trPr>
          <w:cantSplit/>
          <w:tblHeader w:val="false"/>
        </w:trPr>
        <w:tc>
          <w:tcPr>
            <w:tcW w:type="dxa" w:w="5120"/>
            <w:shd w:fill="F2F4F7" w:color="auto" w:val="clear"/>
            <w:vAlign w:val="center"/>
          </w:tcPr>
          <w:p>
            <w:pPr>
              <w:spacing w:after="0" w:line="240"/>
            </w:pPr>
            <w:r>
              <w:rPr>
                <w:b w:val="false"/>
                <w:bCs w:val="false"/>
                <w:color w:val="17212B"/>
                <w:sz w:val="19"/>
                <w:szCs w:val="19"/>
              </w:rPr>
              <w:t xml:space="preserve">Decline recall, 95% Wilson interval, before</w:t>
            </w:r>
          </w:p>
        </w:tc>
        <w:tc>
          <w:tcPr>
            <w:tcW w:type="dxa" w:w="4000"/>
            <w:shd w:fill="F2F4F7" w:color="auto" w:val="clear"/>
            <w:vAlign w:val="center"/>
          </w:tcPr>
          <w:p>
            <w:pPr>
              <w:spacing w:after="0" w:line="240"/>
            </w:pPr>
            <w:r>
              <w:rPr>
                <w:b w:val="false"/>
                <w:bCs w:val="false"/>
                <w:color w:val="17212B"/>
                <w:sz w:val="19"/>
                <w:szCs w:val="19"/>
              </w:rPr>
              <w:t xml:space="preserve">8.64% to 23.16%</w:t>
            </w:r>
          </w:p>
        </w:tc>
      </w:tr>
      <w:tr>
        <w:trPr>
          <w:cantSplit/>
          <w:tblHeader w:val="false"/>
        </w:trPr>
        <w:tc>
          <w:tcPr>
            <w:tcW w:type="dxa" w:w="5120"/>
            <w:vAlign w:val="center"/>
          </w:tcPr>
          <w:p>
            <w:pPr>
              <w:spacing w:after="0" w:line="240"/>
            </w:pPr>
            <w:r>
              <w:rPr>
                <w:b w:val="false"/>
                <w:bCs w:val="false"/>
                <w:color w:val="17212B"/>
                <w:sz w:val="19"/>
                <w:szCs w:val="19"/>
              </w:rPr>
              <w:t xml:space="preserve">Decline recall, 95% Wilson interval, after</w:t>
            </w:r>
          </w:p>
        </w:tc>
        <w:tc>
          <w:tcPr>
            <w:tcW w:type="dxa" w:w="4000"/>
            <w:vAlign w:val="center"/>
          </w:tcPr>
          <w:p>
            <w:pPr>
              <w:spacing w:after="0" w:line="240"/>
            </w:pPr>
            <w:r>
              <w:rPr>
                <w:b w:val="false"/>
                <w:bCs w:val="false"/>
                <w:color w:val="17212B"/>
                <w:sz w:val="19"/>
                <w:szCs w:val="19"/>
              </w:rPr>
              <w:t xml:space="preserve">19.58% to 37.80%</w:t>
            </w:r>
          </w:p>
        </w:tc>
      </w:tr>
      <w:tr>
        <w:trPr>
          <w:cantSplit/>
          <w:tblHeader w:val="false"/>
        </w:trPr>
        <w:tc>
          <w:tcPr>
            <w:tcW w:type="dxa" w:w="5120"/>
            <w:shd w:fill="F2F4F7" w:color="auto" w:val="clear"/>
            <w:vAlign w:val="center"/>
          </w:tcPr>
          <w:p>
            <w:pPr>
              <w:spacing w:after="0" w:line="240"/>
            </w:pPr>
            <w:r>
              <w:rPr>
                <w:b w:val="false"/>
                <w:bCs w:val="false"/>
                <w:color w:val="17212B"/>
                <w:sz w:val="19"/>
                <w:szCs w:val="19"/>
              </w:rPr>
              <w:t xml:space="preserve">Held-out fraud transactions</w:t>
            </w:r>
          </w:p>
        </w:tc>
        <w:tc>
          <w:tcPr>
            <w:tcW w:type="dxa" w:w="4000"/>
            <w:shd w:fill="F2F4F7" w:color="auto" w:val="clear"/>
            <w:vAlign w:val="center"/>
          </w:tcPr>
          <w:p>
            <w:pPr>
              <w:spacing w:after="0" w:line="240"/>
            </w:pPr>
            <w:r>
              <w:rPr>
                <w:b w:val="false"/>
                <w:bCs w:val="false"/>
                <w:color w:val="17212B"/>
                <w:sz w:val="19"/>
                <w:szCs w:val="19"/>
              </w:rPr>
              <w:t xml:space="preserve">90</w:t>
            </w:r>
          </w:p>
        </w:tc>
      </w:tr>
    </w:tbl>
    <w:p>
      <w:r>
        <w:rPr>
          <w:i/>
          <w:iCs/>
        </w:rPr>
        <w:t xml:space="preserve">The fraud sample is small, which is precisely why every headline delta ships with an interval and a paired test rather than as a bare point estimate.</w:t>
      </w:r>
    </w:p>
    <w:p>
      <w:r>
        <w:br w:type="page"/>
      </w:r>
    </w:p>
    <w:p>
      <w:pPr>
        <w:pStyle w:val="Heading2"/>
      </w:pPr>
      <w:r>
        <w:t xml:space="preserve">Blind spot</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3500"/>
        <w:gridCol w:w="5620"/>
      </w:tblGrid>
      <w:tr>
        <w:trPr>
          <w:cantSplit/>
          <w:tblHeader/>
        </w:trPr>
        <w:tc>
          <w:tcPr>
            <w:tcW w:type="dxa" w:w="3500"/>
            <w:shd w:fill="1A1A1A" w:color="auto" w:val="clear"/>
            <w:vAlign w:val="center"/>
          </w:tcPr>
          <w:p>
            <w:pPr>
              <w:spacing w:after="0" w:line="240"/>
            </w:pPr>
            <w:r>
              <w:rPr>
                <w:b/>
                <w:bCs/>
                <w:color w:val="FFFFFF"/>
                <w:sz w:val="19"/>
                <w:szCs w:val="19"/>
              </w:rPr>
              <w:t xml:space="preserve">Field</w:t>
            </w:r>
          </w:p>
        </w:tc>
        <w:tc>
          <w:tcPr>
            <w:tcW w:type="dxa" w:w="5620"/>
            <w:shd w:fill="1A1A1A" w:color="auto" w:val="clear"/>
            <w:vAlign w:val="center"/>
          </w:tcPr>
          <w:p>
            <w:pPr>
              <w:spacing w:after="0" w:line="240"/>
            </w:pPr>
            <w:r>
              <w:rPr>
                <w:b/>
                <w:bCs/>
                <w:color w:val="FFFFFF"/>
                <w:sz w:val="19"/>
                <w:szCs w:val="19"/>
              </w:rPr>
              <w:t xml:space="preserve">Measured value</w:t>
            </w:r>
          </w:p>
        </w:tc>
      </w:tr>
      <w:tr>
        <w:trPr>
          <w:cantSplit/>
          <w:tblHeader w:val="false"/>
        </w:trPr>
        <w:tc>
          <w:tcPr>
            <w:tcW w:type="dxa" w:w="3500"/>
            <w:vAlign w:val="center"/>
          </w:tcPr>
          <w:p>
            <w:pPr>
              <w:spacing w:after="0" w:line="240"/>
            </w:pPr>
            <w:r>
              <w:rPr>
                <w:b w:val="false"/>
                <w:bCs w:val="false"/>
                <w:color w:val="17212B"/>
                <w:sz w:val="19"/>
                <w:szCs w:val="19"/>
              </w:rPr>
              <w:t xml:space="preserve">Scenario</w:t>
            </w:r>
          </w:p>
        </w:tc>
        <w:tc>
          <w:tcPr>
            <w:tcW w:type="dxa" w:w="5620"/>
            <w:vAlign w:val="center"/>
          </w:tcPr>
          <w:p>
            <w:pPr>
              <w:spacing w:after="0" w:line="240"/>
            </w:pPr>
            <w:r>
              <w:rPr>
                <w:b w:val="false"/>
                <w:bCs w:val="false"/>
                <w:color w:val="17212B"/>
                <w:sz w:val="19"/>
                <w:szCs w:val="19"/>
              </w:rPr>
              <w:t xml:space="preserve">AF-1013</w:t>
            </w:r>
          </w:p>
        </w:tc>
      </w:tr>
      <w:tr>
        <w:trPr>
          <w:cantSplit/>
          <w:tblHeader w:val="false"/>
        </w:trPr>
        <w:tc>
          <w:tcPr>
            <w:tcW w:type="dxa" w:w="3500"/>
            <w:shd w:fill="F2F4F7" w:color="auto" w:val="clear"/>
            <w:vAlign w:val="center"/>
          </w:tcPr>
          <w:p>
            <w:pPr>
              <w:spacing w:after="0" w:line="240"/>
            </w:pPr>
            <w:r>
              <w:rPr>
                <w:b w:val="false"/>
                <w:bCs w:val="false"/>
                <w:color w:val="17212B"/>
                <w:sz w:val="19"/>
                <w:szCs w:val="19"/>
              </w:rPr>
              <w:t xml:space="preserve">Parent</w:t>
            </w:r>
          </w:p>
        </w:tc>
        <w:tc>
          <w:tcPr>
            <w:tcW w:type="dxa" w:w="5620"/>
            <w:shd w:fill="F2F4F7" w:color="auto" w:val="clear"/>
            <w:vAlign w:val="center"/>
          </w:tcPr>
          <w:p>
            <w:pPr>
              <w:spacing w:after="0" w:line="240"/>
            </w:pPr>
            <w:r>
              <w:rPr>
                <w:b w:val="false"/>
                <w:bCs w:val="false"/>
                <w:color w:val="17212B"/>
                <w:sz w:val="19"/>
                <w:szCs w:val="19"/>
              </w:rPr>
              <w:t xml:space="preserve">AF-1008</w:t>
            </w:r>
          </w:p>
        </w:tc>
      </w:tr>
      <w:tr>
        <w:trPr>
          <w:cantSplit/>
          <w:tblHeader w:val="false"/>
        </w:trPr>
        <w:tc>
          <w:tcPr>
            <w:tcW w:type="dxa" w:w="3500"/>
            <w:vAlign w:val="center"/>
          </w:tcPr>
          <w:p>
            <w:pPr>
              <w:spacing w:after="0" w:line="240"/>
            </w:pPr>
            <w:r>
              <w:rPr>
                <w:b w:val="false"/>
                <w:bCs w:val="false"/>
                <w:color w:val="17212B"/>
                <w:sz w:val="19"/>
                <w:szCs w:val="19"/>
              </w:rPr>
              <w:t xml:space="preserve">Generation</w:t>
            </w:r>
          </w:p>
        </w:tc>
        <w:tc>
          <w:tcPr>
            <w:tcW w:type="dxa" w:w="5620"/>
            <w:vAlign w:val="center"/>
          </w:tcPr>
          <w:p>
            <w:pPr>
              <w:spacing w:after="0" w:line="240"/>
            </w:pPr>
            <w:r>
              <w:rPr>
                <w:b w:val="false"/>
                <w:bCs w:val="false"/>
                <w:color w:val="17212B"/>
                <w:sz w:val="19"/>
                <w:szCs w:val="19"/>
              </w:rPr>
              <w:t xml:space="preserve">2</w:t>
            </w:r>
          </w:p>
        </w:tc>
      </w:tr>
      <w:tr>
        <w:trPr>
          <w:cantSplit/>
          <w:tblHeader w:val="false"/>
        </w:trPr>
        <w:tc>
          <w:tcPr>
            <w:tcW w:type="dxa" w:w="3500"/>
            <w:shd w:fill="F2F4F7" w:color="auto" w:val="clear"/>
            <w:vAlign w:val="center"/>
          </w:tcPr>
          <w:p>
            <w:pPr>
              <w:spacing w:after="0" w:line="240"/>
            </w:pPr>
            <w:r>
              <w:rPr>
                <w:b w:val="false"/>
                <w:bCs w:val="false"/>
                <w:color w:val="17212B"/>
                <w:sz w:val="19"/>
                <w:szCs w:val="19"/>
              </w:rPr>
              <w:t xml:space="preserve">Family</w:t>
            </w:r>
          </w:p>
        </w:tc>
        <w:tc>
          <w:tcPr>
            <w:tcW w:type="dxa" w:w="5620"/>
            <w:shd w:fill="F2F4F7" w:color="auto" w:val="clear"/>
            <w:vAlign w:val="center"/>
          </w:tcPr>
          <w:p>
            <w:pPr>
              <w:spacing w:after="0" w:line="240"/>
            </w:pPr>
            <w:r>
              <w:rPr>
                <w:b w:val="false"/>
                <w:bCs w:val="false"/>
                <w:color w:val="17212B"/>
                <w:sz w:val="19"/>
                <w:szCs w:val="19"/>
              </w:rPr>
              <w:t xml:space="preserve">mule_fanout</w:t>
            </w:r>
          </w:p>
        </w:tc>
      </w:tr>
      <w:tr>
        <w:trPr>
          <w:cantSplit/>
          <w:tblHeader w:val="false"/>
        </w:trPr>
        <w:tc>
          <w:tcPr>
            <w:tcW w:type="dxa" w:w="3500"/>
            <w:vAlign w:val="center"/>
          </w:tcPr>
          <w:p>
            <w:pPr>
              <w:spacing w:after="0" w:line="240"/>
            </w:pPr>
            <w:r>
              <w:rPr>
                <w:b w:val="false"/>
                <w:bCs w:val="false"/>
                <w:color w:val="17212B"/>
                <w:sz w:val="19"/>
                <w:szCs w:val="19"/>
              </w:rPr>
              <w:t xml:space="preserve">Seed</w:t>
            </w:r>
          </w:p>
        </w:tc>
        <w:tc>
          <w:tcPr>
            <w:tcW w:type="dxa" w:w="5620"/>
            <w:vAlign w:val="center"/>
          </w:tcPr>
          <w:p>
            <w:pPr>
              <w:spacing w:after="0" w:line="240"/>
            </w:pPr>
            <w:r>
              <w:rPr>
                <w:b w:val="false"/>
                <w:bCs w:val="false"/>
                <w:color w:val="17212B"/>
                <w:sz w:val="19"/>
                <w:szCs w:val="19"/>
              </w:rPr>
              <w:t xml:space="preserve">38058</w:t>
            </w:r>
          </w:p>
        </w:tc>
      </w:tr>
      <w:tr>
        <w:trPr>
          <w:cantSplit/>
          <w:tblHeader w:val="false"/>
        </w:trPr>
        <w:tc>
          <w:tcPr>
            <w:tcW w:type="dxa" w:w="3500"/>
            <w:shd w:fill="F2F4F7" w:color="auto" w:val="clear"/>
            <w:vAlign w:val="center"/>
          </w:tcPr>
          <w:p>
            <w:pPr>
              <w:spacing w:after="0" w:line="240"/>
            </w:pPr>
            <w:r>
              <w:rPr>
                <w:b w:val="false"/>
                <w:bCs w:val="false"/>
                <w:color w:val="17212B"/>
                <w:sz w:val="19"/>
                <w:szCs w:val="19"/>
              </w:rPr>
              <w:t xml:space="preserve">Discovery attack success</w:t>
            </w:r>
          </w:p>
        </w:tc>
        <w:tc>
          <w:tcPr>
            <w:tcW w:type="dxa" w:w="5620"/>
            <w:shd w:fill="F2F4F7" w:color="auto" w:val="clear"/>
            <w:vAlign w:val="center"/>
          </w:tcPr>
          <w:p>
            <w:pPr>
              <w:spacing w:after="0" w:line="240"/>
            </w:pPr>
            <w:r>
              <w:rPr>
                <w:b w:val="false"/>
                <w:bCs w:val="false"/>
                <w:color w:val="17212B"/>
                <w:sz w:val="19"/>
                <w:szCs w:val="19"/>
              </w:rPr>
              <w:t xml:space="preserve">75.00%</w:t>
            </w:r>
          </w:p>
        </w:tc>
      </w:tr>
      <w:tr>
        <w:trPr>
          <w:cantSplit/>
          <w:tblHeader w:val="false"/>
        </w:trPr>
        <w:tc>
          <w:tcPr>
            <w:tcW w:type="dxa" w:w="3500"/>
            <w:vAlign w:val="center"/>
          </w:tcPr>
          <w:p>
            <w:pPr>
              <w:spacing w:after="0" w:line="240"/>
            </w:pPr>
            <w:r>
              <w:rPr>
                <w:b w:val="false"/>
                <w:bCs w:val="false"/>
                <w:color w:val="17212B"/>
                <w:sz w:val="19"/>
                <w:szCs w:val="19"/>
              </w:rPr>
              <w:t xml:space="preserve">Gate verdict</w:t>
            </w:r>
          </w:p>
        </w:tc>
        <w:tc>
          <w:tcPr>
            <w:tcW w:type="dxa" w:w="5620"/>
            <w:vAlign w:val="center"/>
          </w:tcPr>
          <w:p>
            <w:pPr>
              <w:spacing w:after="0" w:line="240"/>
            </w:pPr>
            <w:r>
              <w:rPr>
                <w:b w:val="false"/>
                <w:bCs w:val="false"/>
                <w:color w:val="17212B"/>
                <w:sz w:val="19"/>
                <w:szCs w:val="19"/>
              </w:rPr>
              <w:t xml:space="preserve">ACCEPTED</w:t>
            </w:r>
          </w:p>
        </w:tc>
      </w:tr>
    </w:tbl>
    <w:p>
      <w:pPr>
        <w:pStyle w:val="Heading2"/>
      </w:pPr>
      <w:r>
        <w:t xml:space="preserve">Acceptance budgets</w:t>
      </w:r>
    </w:p>
    <w:p>
      <w:r>
        <w:t xml:space="preserve">The Referee accepts or rejects. Neither AI votes. A flat one-point false-positive allowance was sized for a detector running near 2.8 percent FPR; at 0.19 percent it would wave through a five-fold increase, so both an absolute and a relative ceiling apply, plus a budget on the review queue itself.</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3000"/>
        <w:gridCol w:w="2200"/>
        <w:gridCol w:w="2200"/>
        <w:gridCol w:w="1720"/>
      </w:tblGrid>
      <w:tr>
        <w:trPr>
          <w:cantSplit/>
          <w:tblHeader/>
        </w:trPr>
        <w:tc>
          <w:tcPr>
            <w:tcW w:type="dxa" w:w="3000"/>
            <w:shd w:fill="1A1A1A" w:color="auto" w:val="clear"/>
            <w:vAlign w:val="center"/>
          </w:tcPr>
          <w:p>
            <w:pPr>
              <w:spacing w:after="0" w:line="240"/>
            </w:pPr>
            <w:r>
              <w:rPr>
                <w:b/>
                <w:bCs/>
                <w:color w:val="FFFFFF"/>
                <w:sz w:val="19"/>
                <w:szCs w:val="19"/>
              </w:rPr>
              <w:t xml:space="preserve">Check</w:t>
            </w:r>
          </w:p>
        </w:tc>
        <w:tc>
          <w:tcPr>
            <w:tcW w:type="dxa" w:w="2200"/>
            <w:shd w:fill="1A1A1A" w:color="auto" w:val="clear"/>
            <w:vAlign w:val="center"/>
          </w:tcPr>
          <w:p>
            <w:pPr>
              <w:spacing w:after="0" w:line="240"/>
            </w:pPr>
            <w:r>
              <w:rPr>
                <w:b/>
                <w:bCs/>
                <w:color w:val="FFFFFF"/>
                <w:sz w:val="19"/>
                <w:szCs w:val="19"/>
              </w:rPr>
              <w:t xml:space="preserve">Measured</w:t>
            </w:r>
          </w:p>
        </w:tc>
        <w:tc>
          <w:tcPr>
            <w:tcW w:type="dxa" w:w="2200"/>
            <w:shd w:fill="1A1A1A" w:color="auto" w:val="clear"/>
            <w:vAlign w:val="center"/>
          </w:tcPr>
          <w:p>
            <w:pPr>
              <w:spacing w:after="0" w:line="240"/>
            </w:pPr>
            <w:r>
              <w:rPr>
                <w:b/>
                <w:bCs/>
                <w:color w:val="FFFFFF"/>
                <w:sz w:val="19"/>
                <w:szCs w:val="19"/>
              </w:rPr>
              <w:t xml:space="preserve">Budget</w:t>
            </w:r>
          </w:p>
        </w:tc>
        <w:tc>
          <w:tcPr>
            <w:tcW w:type="dxa" w:w="1720"/>
            <w:shd w:fill="1A1A1A" w:color="auto" w:val="clear"/>
            <w:vAlign w:val="center"/>
          </w:tcPr>
          <w:p>
            <w:pPr>
              <w:spacing w:after="0" w:line="240"/>
            </w:pPr>
            <w:r>
              <w:rPr>
                <w:b/>
                <w:bCs/>
                <w:color w:val="FFFFFF"/>
                <w:sz w:val="19"/>
                <w:szCs w:val="19"/>
              </w:rPr>
              <w:t xml:space="preserve">Result</w:t>
            </w:r>
          </w:p>
        </w:tc>
      </w:tr>
      <w:tr>
        <w:trPr>
          <w:cantSplit/>
          <w:tblHeader w:val="false"/>
        </w:trPr>
        <w:tc>
          <w:tcPr>
            <w:tcW w:type="dxa" w:w="3000"/>
            <w:vAlign w:val="center"/>
          </w:tcPr>
          <w:p>
            <w:pPr>
              <w:spacing w:after="0" w:line="240"/>
            </w:pPr>
            <w:r>
              <w:rPr>
                <w:b w:val="false"/>
                <w:bCs w:val="false"/>
                <w:color w:val="17212B"/>
                <w:sz w:val="19"/>
                <w:szCs w:val="19"/>
              </w:rPr>
              <w:t xml:space="preserve">Threat recall gain</w:t>
            </w:r>
          </w:p>
        </w:tc>
        <w:tc>
          <w:tcPr>
            <w:tcW w:type="dxa" w:w="2200"/>
            <w:vAlign w:val="center"/>
          </w:tcPr>
          <w:p>
            <w:pPr>
              <w:spacing w:after="0" w:line="240"/>
            </w:pPr>
            <w:r>
              <w:rPr>
                <w:b w:val="false"/>
                <w:bCs w:val="false"/>
                <w:color w:val="17212B"/>
                <w:sz w:val="19"/>
                <w:szCs w:val="19"/>
              </w:rPr>
              <w:t xml:space="preserve">25.56 points</w:t>
            </w:r>
          </w:p>
        </w:tc>
        <w:tc>
          <w:tcPr>
            <w:tcW w:type="dxa" w:w="2200"/>
            <w:vAlign w:val="center"/>
          </w:tcPr>
          <w:p>
            <w:pPr>
              <w:spacing w:after="0" w:line="240"/>
            </w:pPr>
            <w:r>
              <w:rPr>
                <w:b w:val="false"/>
                <w:bCs w:val="false"/>
                <w:color w:val="17212B"/>
                <w:sz w:val="19"/>
                <w:szCs w:val="19"/>
              </w:rPr>
              <w:t xml:space="preserve">&gt;= 5 points</w:t>
            </w:r>
          </w:p>
        </w:tc>
        <w:tc>
          <w:tcPr>
            <w:tcW w:type="dxa" w:w="1720"/>
            <w:vAlign w:val="center"/>
          </w:tcPr>
          <w:p>
            <w:pPr>
              <w:spacing w:after="0" w:line="240"/>
            </w:pPr>
            <w:r>
              <w:rPr>
                <w:b w:val="false"/>
                <w:bCs w:val="false"/>
                <w:color w:val="17212B"/>
                <w:sz w:val="19"/>
                <w:szCs w:val="19"/>
              </w:rPr>
              <w:t xml:space="preserve">PASS</w:t>
            </w:r>
          </w:p>
        </w:tc>
      </w:tr>
      <w:tr>
        <w:trPr>
          <w:cantSplit/>
          <w:tblHeader w:val="false"/>
        </w:trPr>
        <w:tc>
          <w:tcPr>
            <w:tcW w:type="dxa" w:w="3000"/>
            <w:shd w:fill="F2F4F7" w:color="auto" w:val="clear"/>
            <w:vAlign w:val="center"/>
          </w:tcPr>
          <w:p>
            <w:pPr>
              <w:spacing w:after="0" w:line="240"/>
            </w:pPr>
            <w:r>
              <w:rPr>
                <w:b w:val="false"/>
                <w:bCs w:val="false"/>
                <w:color w:val="17212B"/>
                <w:sz w:val="19"/>
                <w:szCs w:val="19"/>
              </w:rPr>
              <w:t xml:space="preserve">False-positive increase (absolute)</w:t>
            </w:r>
          </w:p>
        </w:tc>
        <w:tc>
          <w:tcPr>
            <w:tcW w:type="dxa" w:w="2200"/>
            <w:shd w:fill="F2F4F7" w:color="auto" w:val="clear"/>
            <w:vAlign w:val="center"/>
          </w:tcPr>
          <w:p>
            <w:pPr>
              <w:spacing w:after="0" w:line="240"/>
            </w:pPr>
            <w:r>
              <w:rPr>
                <w:b w:val="false"/>
                <w:bCs w:val="false"/>
                <w:color w:val="17212B"/>
                <w:sz w:val="19"/>
                <w:szCs w:val="19"/>
              </w:rPr>
              <w:t xml:space="preserve">0.05 points</w:t>
            </w:r>
          </w:p>
        </w:tc>
        <w:tc>
          <w:tcPr>
            <w:tcW w:type="dxa" w:w="2200"/>
            <w:shd w:fill="F2F4F7" w:color="auto" w:val="clear"/>
            <w:vAlign w:val="center"/>
          </w:tcPr>
          <w:p>
            <w:pPr>
              <w:spacing w:after="0" w:line="240"/>
            </w:pPr>
            <w:r>
              <w:rPr>
                <w:b w:val="false"/>
                <w:bCs w:val="false"/>
                <w:color w:val="17212B"/>
                <w:sz w:val="19"/>
                <w:szCs w:val="19"/>
              </w:rPr>
              <w:t xml:space="preserve">&lt;= 0.25 points</w:t>
            </w:r>
          </w:p>
        </w:tc>
        <w:tc>
          <w:tcPr>
            <w:tcW w:type="dxa" w:w="1720"/>
            <w:shd w:fill="F2F4F7" w:color="auto" w:val="clear"/>
            <w:vAlign w:val="center"/>
          </w:tcPr>
          <w:p>
            <w:pPr>
              <w:spacing w:after="0" w:line="240"/>
            </w:pPr>
            <w:r>
              <w:rPr>
                <w:b w:val="false"/>
                <w:bCs w:val="false"/>
                <w:color w:val="17212B"/>
                <w:sz w:val="19"/>
                <w:szCs w:val="19"/>
              </w:rPr>
              <w:t xml:space="preserve">PASS</w:t>
            </w:r>
          </w:p>
        </w:tc>
      </w:tr>
      <w:tr>
        <w:trPr>
          <w:cantSplit/>
          <w:tblHeader w:val="false"/>
        </w:trPr>
        <w:tc>
          <w:tcPr>
            <w:tcW w:type="dxa" w:w="3000"/>
            <w:vAlign w:val="center"/>
          </w:tcPr>
          <w:p>
            <w:pPr>
              <w:spacing w:after="0" w:line="240"/>
            </w:pPr>
            <w:r>
              <w:rPr>
                <w:b w:val="false"/>
                <w:bCs w:val="false"/>
                <w:color w:val="17212B"/>
                <w:sz w:val="19"/>
                <w:szCs w:val="19"/>
              </w:rPr>
              <w:t xml:space="preserve">False-positive increase (relative)</w:t>
            </w:r>
          </w:p>
        </w:tc>
        <w:tc>
          <w:tcPr>
            <w:tcW w:type="dxa" w:w="2200"/>
            <w:vAlign w:val="center"/>
          </w:tcPr>
          <w:p>
            <w:pPr>
              <w:spacing w:after="0" w:line="240"/>
            </w:pPr>
            <w:r>
              <w:rPr>
                <w:b w:val="false"/>
                <w:bCs w:val="false"/>
                <w:color w:val="17212B"/>
                <w:sz w:val="19"/>
                <w:szCs w:val="19"/>
              </w:rPr>
              <w:t xml:space="preserve">27%</w:t>
            </w:r>
          </w:p>
        </w:tc>
        <w:tc>
          <w:tcPr>
            <w:tcW w:type="dxa" w:w="2200"/>
            <w:vAlign w:val="center"/>
          </w:tcPr>
          <w:p>
            <w:pPr>
              <w:spacing w:after="0" w:line="240"/>
            </w:pPr>
            <w:r>
              <w:rPr>
                <w:b w:val="false"/>
                <w:bCs w:val="false"/>
                <w:color w:val="17212B"/>
                <w:sz w:val="19"/>
                <w:szCs w:val="19"/>
              </w:rPr>
              <w:t xml:space="preserve">&lt;= 100%</w:t>
            </w:r>
          </w:p>
        </w:tc>
        <w:tc>
          <w:tcPr>
            <w:tcW w:type="dxa" w:w="1720"/>
            <w:vAlign w:val="center"/>
          </w:tcPr>
          <w:p>
            <w:pPr>
              <w:spacing w:after="0" w:line="240"/>
            </w:pPr>
            <w:r>
              <w:rPr>
                <w:b w:val="false"/>
                <w:bCs w:val="false"/>
                <w:color w:val="17212B"/>
                <w:sz w:val="19"/>
                <w:szCs w:val="19"/>
              </w:rPr>
              <w:t xml:space="preserve">PASS</w:t>
            </w:r>
          </w:p>
        </w:tc>
      </w:tr>
      <w:tr>
        <w:trPr>
          <w:cantSplit/>
          <w:tblHeader w:val="false"/>
        </w:trPr>
        <w:tc>
          <w:tcPr>
            <w:tcW w:type="dxa" w:w="3000"/>
            <w:shd w:fill="F2F4F7" w:color="auto" w:val="clear"/>
            <w:vAlign w:val="center"/>
          </w:tcPr>
          <w:p>
            <w:pPr>
              <w:spacing w:after="0" w:line="240"/>
            </w:pPr>
            <w:r>
              <w:rPr>
                <w:b w:val="false"/>
                <w:bCs w:val="false"/>
                <w:color w:val="17212B"/>
                <w:sz w:val="19"/>
                <w:szCs w:val="19"/>
              </w:rPr>
              <w:t xml:space="preserve">Extra review-queue load</w:t>
            </w:r>
          </w:p>
        </w:tc>
        <w:tc>
          <w:tcPr>
            <w:tcW w:type="dxa" w:w="2200"/>
            <w:shd w:fill="F2F4F7" w:color="auto" w:val="clear"/>
            <w:vAlign w:val="center"/>
          </w:tcPr>
          <w:p>
            <w:pPr>
              <w:spacing w:after="0" w:line="240"/>
            </w:pPr>
            <w:r>
              <w:rPr>
                <w:b w:val="false"/>
                <w:bCs w:val="false"/>
                <w:color w:val="17212B"/>
                <w:sz w:val="19"/>
                <w:szCs w:val="19"/>
              </w:rPr>
              <w:t xml:space="preserve">0.26 points</w:t>
            </w:r>
          </w:p>
        </w:tc>
        <w:tc>
          <w:tcPr>
            <w:tcW w:type="dxa" w:w="2200"/>
            <w:shd w:fill="F2F4F7" w:color="auto" w:val="clear"/>
            <w:vAlign w:val="center"/>
          </w:tcPr>
          <w:p>
            <w:pPr>
              <w:spacing w:after="0" w:line="240"/>
            </w:pPr>
            <w:r>
              <w:rPr>
                <w:b w:val="false"/>
                <w:bCs w:val="false"/>
                <w:color w:val="17212B"/>
                <w:sz w:val="19"/>
                <w:szCs w:val="19"/>
              </w:rPr>
              <w:t xml:space="preserve">&lt;= 0.50 points</w:t>
            </w:r>
          </w:p>
        </w:tc>
        <w:tc>
          <w:tcPr>
            <w:tcW w:type="dxa" w:w="1720"/>
            <w:shd w:fill="F2F4F7" w:color="auto" w:val="clear"/>
            <w:vAlign w:val="center"/>
          </w:tcPr>
          <w:p>
            <w:pPr>
              <w:spacing w:after="0" w:line="240"/>
            </w:pPr>
            <w:r>
              <w:rPr>
                <w:b w:val="false"/>
                <w:bCs w:val="false"/>
                <w:color w:val="17212B"/>
                <w:sz w:val="19"/>
                <w:szCs w:val="19"/>
              </w:rPr>
              <w:t xml:space="preserve">PASS</w:t>
            </w:r>
          </w:p>
        </w:tc>
      </w:tr>
      <w:tr>
        <w:trPr>
          <w:cantSplit/>
          <w:tblHeader w:val="false"/>
        </w:trPr>
        <w:tc>
          <w:tcPr>
            <w:tcW w:type="dxa" w:w="3000"/>
            <w:vAlign w:val="center"/>
          </w:tcPr>
          <w:p>
            <w:pPr>
              <w:spacing w:after="0" w:line="240"/>
            </w:pPr>
            <w:r>
              <w:rPr>
                <w:b w:val="false"/>
                <w:bCs w:val="false"/>
                <w:color w:val="17212B"/>
                <w:sz w:val="19"/>
                <w:szCs w:val="19"/>
              </w:rPr>
              <w:t xml:space="preserve">Fresh descendants improved</w:t>
            </w:r>
          </w:p>
        </w:tc>
        <w:tc>
          <w:tcPr>
            <w:tcW w:type="dxa" w:w="2200"/>
            <w:vAlign w:val="center"/>
          </w:tcPr>
          <w:p>
            <w:pPr>
              <w:spacing w:after="0" w:line="240"/>
            </w:pPr>
            <w:r>
              <w:rPr>
                <w:b w:val="false"/>
                <w:bCs w:val="false"/>
                <w:color w:val="17212B"/>
                <w:sz w:val="19"/>
                <w:szCs w:val="19"/>
              </w:rPr>
              <w:t xml:space="preserve">5 of 5</w:t>
            </w:r>
          </w:p>
        </w:tc>
        <w:tc>
          <w:tcPr>
            <w:tcW w:type="dxa" w:w="2200"/>
            <w:vAlign w:val="center"/>
          </w:tcPr>
          <w:p>
            <w:pPr>
              <w:spacing w:after="0" w:line="240"/>
            </w:pPr>
            <w:r>
              <w:rPr>
                <w:b w:val="false"/>
                <w:bCs w:val="false"/>
                <w:color w:val="17212B"/>
                <w:sz w:val="19"/>
                <w:szCs w:val="19"/>
              </w:rPr>
              <w:t xml:space="preserve">&gt;= 80%</w:t>
            </w:r>
          </w:p>
        </w:tc>
        <w:tc>
          <w:tcPr>
            <w:tcW w:type="dxa" w:w="1720"/>
            <w:vAlign w:val="center"/>
          </w:tcPr>
          <w:p>
            <w:pPr>
              <w:spacing w:after="0" w:line="240"/>
            </w:pPr>
            <w:r>
              <w:rPr>
                <w:b w:val="false"/>
                <w:bCs w:val="false"/>
                <w:color w:val="17212B"/>
                <w:sz w:val="19"/>
                <w:szCs w:val="19"/>
              </w:rPr>
              <w:t xml:space="preserve">PASS</w:t>
            </w:r>
          </w:p>
        </w:tc>
      </w:tr>
    </w:tbl>
    <w:p>
      <w:pPr>
        <w:pStyle w:val="Heading2"/>
      </w:pPr>
      <w:r>
        <w:t xml:space="preserve">Exact replay</w:t>
      </w:r>
    </w:p>
    <w:p>
      <w:r>
        <w:t xml:space="preserve">Two replays are produced, and they are NOT interchangeable. Conflating them lets a diff made entirely of fresh-seed rows be presented as evidence about the stored scenario. An earlier version of this system did exactly that, and the stored scenario had in fact changed zero decisions.</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3100"/>
        <w:gridCol w:w="3820"/>
        <w:gridCol w:w="2200"/>
      </w:tblGrid>
      <w:tr>
        <w:trPr>
          <w:cantSplit/>
          <w:tblHeader/>
        </w:trPr>
        <w:tc>
          <w:tcPr>
            <w:tcW w:type="dxa" w:w="3100"/>
            <w:shd w:fill="1A1A1A" w:color="auto" w:val="clear"/>
            <w:vAlign w:val="center"/>
          </w:tcPr>
          <w:p>
            <w:pPr>
              <w:spacing w:after="0" w:line="240"/>
            </w:pPr>
            <w:r>
              <w:rPr>
                <w:b/>
                <w:bCs/>
                <w:color w:val="FFFFFF"/>
                <w:sz w:val="19"/>
                <w:szCs w:val="19"/>
              </w:rPr>
              <w:t xml:space="preserve">Replay</w:t>
            </w:r>
          </w:p>
        </w:tc>
        <w:tc>
          <w:tcPr>
            <w:tcW w:type="dxa" w:w="3820"/>
            <w:shd w:fill="1A1A1A" w:color="auto" w:val="clear"/>
            <w:vAlign w:val="center"/>
          </w:tcPr>
          <w:p>
            <w:pPr>
              <w:spacing w:after="0" w:line="240"/>
            </w:pPr>
            <w:r>
              <w:rPr>
                <w:b/>
                <w:bCs/>
                <w:color w:val="FFFFFF"/>
                <w:sz w:val="19"/>
                <w:szCs w:val="19"/>
              </w:rPr>
              <w:t xml:space="preserve">What it proves</w:t>
            </w:r>
          </w:p>
        </w:tc>
        <w:tc>
          <w:tcPr>
            <w:tcW w:type="dxa" w:w="2200"/>
            <w:shd w:fill="1A1A1A" w:color="auto" w:val="clear"/>
            <w:vAlign w:val="center"/>
          </w:tcPr>
          <w:p>
            <w:pPr>
              <w:spacing w:after="0" w:line="240"/>
            </w:pPr>
            <w:r>
              <w:rPr>
                <w:b/>
                <w:bCs/>
                <w:color w:val="FFFFFF"/>
                <w:sz w:val="19"/>
                <w:szCs w:val="19"/>
              </w:rPr>
              <w:t xml:space="preserve">Decisions changed</w:t>
            </w:r>
          </w:p>
        </w:tc>
      </w:tr>
      <w:tr>
        <w:trPr>
          <w:cantSplit/>
          <w:tblHeader w:val="false"/>
        </w:trPr>
        <w:tc>
          <w:tcPr>
            <w:tcW w:type="dxa" w:w="3100"/>
            <w:vAlign w:val="center"/>
          </w:tcPr>
          <w:p>
            <w:pPr>
              <w:spacing w:after="0" w:line="240"/>
            </w:pPr>
            <w:r>
              <w:rPr>
                <w:b w:val="false"/>
                <w:bCs w:val="false"/>
                <w:color w:val="17212B"/>
                <w:sz w:val="19"/>
                <w:szCs w:val="19"/>
              </w:rPr>
              <w:t xml:space="preserve">Discovery scenario AF-1013, seed 38058</w:t>
            </w:r>
          </w:p>
        </w:tc>
        <w:tc>
          <w:tcPr>
            <w:tcW w:type="dxa" w:w="3820"/>
            <w:vAlign w:val="center"/>
          </w:tcPr>
          <w:p>
            <w:pPr>
              <w:spacing w:after="0" w:line="240"/>
            </w:pPr>
            <w:r>
              <w:rPr>
                <w:b w:val="false"/>
                <w:bCs w:val="false"/>
                <w:color w:val="17212B"/>
                <w:sz w:val="19"/>
                <w:szCs w:val="19"/>
              </w:rPr>
              <w:t xml:space="preserve">Causal claim about the very attack that was found</w:t>
            </w:r>
          </w:p>
        </w:tc>
        <w:tc>
          <w:tcPr>
            <w:tcW w:type="dxa" w:w="2200"/>
            <w:vAlign w:val="center"/>
          </w:tcPr>
          <w:p>
            <w:pPr>
              <w:spacing w:after="0" w:line="240"/>
            </w:pPr>
            <w:r>
              <w:rPr>
                <w:b w:val="false"/>
                <w:bCs w:val="false"/>
                <w:color w:val="17212B"/>
                <w:sz w:val="19"/>
                <w:szCs w:val="19"/>
              </w:rPr>
              <w:t xml:space="preserve">5</w:t>
            </w:r>
          </w:p>
        </w:tc>
      </w:tr>
      <w:tr>
        <w:trPr>
          <w:cantSplit/>
          <w:tblHeader w:val="false"/>
        </w:trPr>
        <w:tc>
          <w:tcPr>
            <w:tcW w:type="dxa" w:w="3100"/>
            <w:shd w:fill="F2F4F7" w:color="auto" w:val="clear"/>
            <w:vAlign w:val="center"/>
          </w:tcPr>
          <w:p>
            <w:pPr>
              <w:spacing w:after="0" w:line="240"/>
            </w:pPr>
            <w:r>
              <w:rPr>
                <w:b w:val="false"/>
                <w:bCs w:val="false"/>
                <w:color w:val="17212B"/>
                <w:sz w:val="19"/>
                <w:szCs w:val="19"/>
              </w:rPr>
              <w:t xml:space="preserve">Fresh-seed recompiles (5)</w:t>
            </w:r>
          </w:p>
        </w:tc>
        <w:tc>
          <w:tcPr>
            <w:tcW w:type="dxa" w:w="3820"/>
            <w:shd w:fill="F2F4F7" w:color="auto" w:val="clear"/>
            <w:vAlign w:val="center"/>
          </w:tcPr>
          <w:p>
            <w:pPr>
              <w:spacing w:after="0" w:line="240"/>
            </w:pPr>
            <w:r>
              <w:rPr>
                <w:b w:val="false"/>
                <w:bCs w:val="false"/>
                <w:color w:val="17212B"/>
                <w:sz w:val="19"/>
                <w:szCs w:val="19"/>
              </w:rPr>
              <w:t xml:space="preserve">Generalisation to seed variation of the same genome</w:t>
            </w:r>
          </w:p>
        </w:tc>
        <w:tc>
          <w:tcPr>
            <w:tcW w:type="dxa" w:w="2200"/>
            <w:shd w:fill="F2F4F7" w:color="auto" w:val="clear"/>
            <w:vAlign w:val="center"/>
          </w:tcPr>
          <w:p>
            <w:pPr>
              <w:spacing w:after="0" w:line="240"/>
            </w:pPr>
            <w:r>
              <w:rPr>
                <w:b w:val="false"/>
                <w:bCs w:val="false"/>
                <w:color w:val="17212B"/>
                <w:sz w:val="19"/>
                <w:szCs w:val="19"/>
              </w:rPr>
              <w:t xml:space="preserve">28</w:t>
            </w:r>
          </w:p>
        </w:tc>
      </w:tr>
    </w:tbl>
    <w:p>
      <w:r>
        <w:br w:type="page"/>
      </w:r>
    </w:p>
    <w:p>
      <w:pPr>
        <w:pStyle w:val="Heading1"/>
      </w:pPr>
      <w:r>
        <w:t xml:space="preserve">11. What the Model Actually Contributes</w:t>
      </w:r>
    </w:p>
    <w:p>
      <w:r>
        <w:t xml:space="preserve">The reasoning layer is swappable: a deterministic expert policy in demo mode, a live model in live mode. That raises the fair question of whether the model earns its place. This section answers it with a recorded run rather than an assertion.</w:t>
      </w:r>
    </w:p>
    <w:p>
      <w:r>
        <w:t xml:space="preserve">For every attack family the model and the deterministic policy are handed the SAME parent genome and scored by the SAME Referee. The model proposes; code measures. No number in this table is self-reported.</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3620"/>
        <w:gridCol w:w="2750"/>
        <w:gridCol w:w="2750"/>
      </w:tblGrid>
      <w:tr>
        <w:trPr>
          <w:cantSplit/>
          <w:tblHeader/>
        </w:trPr>
        <w:tc>
          <w:tcPr>
            <w:tcW w:type="dxa" w:w="3620"/>
            <w:shd w:fill="1A1A1A" w:color="auto" w:val="clear"/>
            <w:vAlign w:val="center"/>
          </w:tcPr>
          <w:p>
            <w:pPr>
              <w:spacing w:after="0" w:line="240"/>
            </w:pPr>
            <w:r>
              <w:rPr>
                <w:b/>
                <w:bCs/>
                <w:color w:val="FFFFFF"/>
                <w:sz w:val="19"/>
                <w:szCs w:val="19"/>
              </w:rPr>
              <w:t xml:space="preserve">Metric</w:t>
            </w:r>
          </w:p>
        </w:tc>
        <w:tc>
          <w:tcPr>
            <w:tcW w:type="dxa" w:w="2750"/>
            <w:shd w:fill="1A1A1A" w:color="auto" w:val="clear"/>
            <w:vAlign w:val="center"/>
          </w:tcPr>
          <w:p>
            <w:pPr>
              <w:spacing w:after="0" w:line="240"/>
            </w:pPr>
            <w:r>
              <w:rPr>
                <w:b/>
                <w:bCs/>
                <w:color w:val="FFFFFF"/>
                <w:sz w:val="19"/>
                <w:szCs w:val="19"/>
              </w:rPr>
              <w:t xml:space="preserve">Model</w:t>
            </w:r>
          </w:p>
        </w:tc>
        <w:tc>
          <w:tcPr>
            <w:tcW w:type="dxa" w:w="2750"/>
            <w:shd w:fill="1A1A1A" w:color="auto" w:val="clear"/>
            <w:vAlign w:val="center"/>
          </w:tcPr>
          <w:p>
            <w:pPr>
              <w:spacing w:after="0" w:line="240"/>
            </w:pPr>
            <w:r>
              <w:rPr>
                <w:b/>
                <w:bCs/>
                <w:color w:val="FFFFFF"/>
                <w:sz w:val="19"/>
                <w:szCs w:val="19"/>
              </w:rPr>
              <w:t xml:space="preserve">Deterministic policy</w:t>
            </w:r>
          </w:p>
        </w:tc>
      </w:tr>
      <w:tr>
        <w:trPr>
          <w:cantSplit/>
          <w:tblHeader w:val="false"/>
        </w:trPr>
        <w:tc>
          <w:tcPr>
            <w:tcW w:type="dxa" w:w="3620"/>
            <w:vAlign w:val="center"/>
          </w:tcPr>
          <w:p>
            <w:pPr>
              <w:spacing w:after="0" w:line="240"/>
            </w:pPr>
            <w:r>
              <w:rPr>
                <w:b w:val="false"/>
                <w:bCs w:val="false"/>
                <w:color w:val="17212B"/>
                <w:sz w:val="19"/>
                <w:szCs w:val="19"/>
              </w:rPr>
              <w:t xml:space="preserve">Proposals returned</w:t>
            </w:r>
          </w:p>
        </w:tc>
        <w:tc>
          <w:tcPr>
            <w:tcW w:type="dxa" w:w="2750"/>
            <w:vAlign w:val="center"/>
          </w:tcPr>
          <w:p>
            <w:pPr>
              <w:spacing w:after="0" w:line="240"/>
            </w:pPr>
            <w:r>
              <w:rPr>
                <w:b w:val="false"/>
                <w:bCs w:val="false"/>
                <w:color w:val="17212B"/>
                <w:sz w:val="19"/>
                <w:szCs w:val="19"/>
              </w:rPr>
              <w:t xml:space="preserve">10</w:t>
            </w:r>
          </w:p>
        </w:tc>
        <w:tc>
          <w:tcPr>
            <w:tcW w:type="dxa" w:w="2750"/>
            <w:vAlign w:val="center"/>
          </w:tcPr>
          <w:p>
            <w:pPr>
              <w:spacing w:after="0" w:line="240"/>
            </w:pPr>
            <w:r>
              <w:rPr>
                <w:b w:val="false"/>
                <w:bCs w:val="false"/>
                <w:color w:val="17212B"/>
                <w:sz w:val="19"/>
                <w:szCs w:val="19"/>
              </w:rPr>
              <w:t xml:space="preserve">5</w:t>
            </w:r>
          </w:p>
        </w:tc>
      </w:tr>
      <w:tr>
        <w:trPr>
          <w:cantSplit/>
          <w:tblHeader w:val="false"/>
        </w:trPr>
        <w:tc>
          <w:tcPr>
            <w:tcW w:type="dxa" w:w="3620"/>
            <w:shd w:fill="F2F4F7" w:color="auto" w:val="clear"/>
            <w:vAlign w:val="center"/>
          </w:tcPr>
          <w:p>
            <w:pPr>
              <w:spacing w:after="0" w:line="240"/>
            </w:pPr>
            <w:r>
              <w:rPr>
                <w:b w:val="false"/>
                <w:bCs w:val="false"/>
                <w:color w:val="17212B"/>
                <w:sz w:val="19"/>
                <w:szCs w:val="19"/>
              </w:rPr>
              <w:t xml:space="preserve">Schema-valid</w:t>
            </w:r>
          </w:p>
        </w:tc>
        <w:tc>
          <w:tcPr>
            <w:tcW w:type="dxa" w:w="2750"/>
            <w:shd w:fill="F2F4F7" w:color="auto" w:val="clear"/>
            <w:vAlign w:val="center"/>
          </w:tcPr>
          <w:p>
            <w:pPr>
              <w:spacing w:after="0" w:line="240"/>
            </w:pPr>
            <w:r>
              <w:rPr>
                <w:b w:val="false"/>
                <w:bCs w:val="false"/>
                <w:color w:val="17212B"/>
                <w:sz w:val="19"/>
                <w:szCs w:val="19"/>
              </w:rPr>
              <w:t xml:space="preserve">10 of 10</w:t>
            </w:r>
          </w:p>
        </w:tc>
        <w:tc>
          <w:tcPr>
            <w:tcW w:type="dxa" w:w="2750"/>
            <w:shd w:fill="F2F4F7" w:color="auto" w:val="clear"/>
            <w:vAlign w:val="center"/>
          </w:tcPr>
          <w:p>
            <w:pPr>
              <w:spacing w:after="0" w:line="240"/>
            </w:pPr>
            <w:r>
              <w:rPr>
                <w:b w:val="false"/>
                <w:bCs w:val="false"/>
                <w:color w:val="17212B"/>
                <w:sz w:val="19"/>
                <w:szCs w:val="19"/>
              </w:rPr>
              <w:t xml:space="preserve">n/a</w:t>
            </w:r>
          </w:p>
        </w:tc>
      </w:tr>
      <w:tr>
        <w:trPr>
          <w:cantSplit/>
          <w:tblHeader w:val="false"/>
        </w:trPr>
        <w:tc>
          <w:tcPr>
            <w:tcW w:type="dxa" w:w="3620"/>
            <w:vAlign w:val="center"/>
          </w:tcPr>
          <w:p>
            <w:pPr>
              <w:spacing w:after="0" w:line="240"/>
            </w:pPr>
            <w:r>
              <w:rPr>
                <w:b w:val="false"/>
                <w:bCs w:val="false"/>
                <w:color w:val="17212B"/>
                <w:sz w:val="19"/>
                <w:szCs w:val="19"/>
              </w:rPr>
              <w:t xml:space="preserve">Mean novelty distance</w:t>
            </w:r>
          </w:p>
        </w:tc>
        <w:tc>
          <w:tcPr>
            <w:tcW w:type="dxa" w:w="2750"/>
            <w:vAlign w:val="center"/>
          </w:tcPr>
          <w:p>
            <w:pPr>
              <w:spacing w:after="0" w:line="240"/>
            </w:pPr>
            <w:r>
              <w:rPr>
                <w:b w:val="false"/>
                <w:bCs w:val="false"/>
                <w:color w:val="17212B"/>
                <w:sz w:val="19"/>
                <w:szCs w:val="19"/>
              </w:rPr>
              <w:t xml:space="preserve">4.657</w:t>
            </w:r>
          </w:p>
        </w:tc>
        <w:tc>
          <w:tcPr>
            <w:tcW w:type="dxa" w:w="2750"/>
            <w:vAlign w:val="center"/>
          </w:tcPr>
          <w:p>
            <w:pPr>
              <w:spacing w:after="0" w:line="240"/>
            </w:pPr>
            <w:r>
              <w:rPr>
                <w:b w:val="false"/>
                <w:bCs w:val="false"/>
                <w:color w:val="17212B"/>
                <w:sz w:val="19"/>
                <w:szCs w:val="19"/>
              </w:rPr>
              <w:t xml:space="preserve">1.082</w:t>
            </w:r>
          </w:p>
        </w:tc>
      </w:tr>
      <w:tr>
        <w:trPr>
          <w:cantSplit/>
          <w:tblHeader w:val="false"/>
        </w:trPr>
        <w:tc>
          <w:tcPr>
            <w:tcW w:type="dxa" w:w="3620"/>
            <w:shd w:fill="F2F4F7" w:color="auto" w:val="clear"/>
            <w:vAlign w:val="center"/>
          </w:tcPr>
          <w:p>
            <w:pPr>
              <w:spacing w:after="0" w:line="240"/>
            </w:pPr>
            <w:r>
              <w:rPr>
                <w:b w:val="false"/>
                <w:bCs w:val="false"/>
                <w:color w:val="17212B"/>
                <w:sz w:val="19"/>
                <w:szCs w:val="19"/>
              </w:rPr>
              <w:t xml:space="preserve">Counted novel (tau = 1.2)</w:t>
            </w:r>
          </w:p>
        </w:tc>
        <w:tc>
          <w:tcPr>
            <w:tcW w:type="dxa" w:w="2750"/>
            <w:shd w:fill="F2F4F7" w:color="auto" w:val="clear"/>
            <w:vAlign w:val="center"/>
          </w:tcPr>
          <w:p>
            <w:pPr>
              <w:spacing w:after="0" w:line="240"/>
            </w:pPr>
            <w:r>
              <w:rPr>
                <w:b w:val="false"/>
                <w:bCs w:val="false"/>
                <w:color w:val="17212B"/>
                <w:sz w:val="19"/>
                <w:szCs w:val="19"/>
              </w:rPr>
              <w:t xml:space="preserve">10</w:t>
            </w:r>
          </w:p>
        </w:tc>
        <w:tc>
          <w:tcPr>
            <w:tcW w:type="dxa" w:w="2750"/>
            <w:shd w:fill="F2F4F7" w:color="auto" w:val="clear"/>
            <w:vAlign w:val="center"/>
          </w:tcPr>
          <w:p>
            <w:pPr>
              <w:spacing w:after="0" w:line="240"/>
            </w:pPr>
            <w:r>
              <w:rPr>
                <w:b w:val="false"/>
                <w:bCs w:val="false"/>
                <w:color w:val="17212B"/>
                <w:sz w:val="19"/>
                <w:szCs w:val="19"/>
              </w:rPr>
              <w:t xml:space="preserve">1</w:t>
            </w:r>
          </w:p>
        </w:tc>
      </w:tr>
      <w:tr>
        <w:trPr>
          <w:cantSplit/>
          <w:tblHeader w:val="false"/>
        </w:trPr>
        <w:tc>
          <w:tcPr>
            <w:tcW w:type="dxa" w:w="3620"/>
            <w:vAlign w:val="center"/>
          </w:tcPr>
          <w:p>
            <w:pPr>
              <w:spacing w:after="0" w:line="240"/>
            </w:pPr>
            <w:r>
              <w:rPr>
                <w:b w:val="false"/>
                <w:bCs w:val="false"/>
                <w:color w:val="17212B"/>
                <w:sz w:val="19"/>
                <w:szCs w:val="19"/>
              </w:rPr>
              <w:t xml:space="preserve">Evaded the detector immediately</w:t>
            </w:r>
          </w:p>
        </w:tc>
        <w:tc>
          <w:tcPr>
            <w:tcW w:type="dxa" w:w="2750"/>
            <w:vAlign w:val="center"/>
          </w:tcPr>
          <w:p>
            <w:pPr>
              <w:spacing w:after="0" w:line="240"/>
            </w:pPr>
            <w:r>
              <w:rPr>
                <w:b w:val="false"/>
                <w:bCs w:val="false"/>
                <w:color w:val="17212B"/>
                <w:sz w:val="19"/>
                <w:szCs w:val="19"/>
              </w:rPr>
              <w:t xml:space="preserve">2</w:t>
            </w:r>
          </w:p>
        </w:tc>
        <w:tc>
          <w:tcPr>
            <w:tcW w:type="dxa" w:w="2750"/>
            <w:vAlign w:val="center"/>
          </w:tcPr>
          <w:p>
            <w:pPr>
              <w:spacing w:after="0" w:line="240"/>
            </w:pPr>
            <w:r>
              <w:rPr>
                <w:b w:val="false"/>
                <w:bCs w:val="false"/>
                <w:color w:val="17212B"/>
                <w:sz w:val="19"/>
                <w:szCs w:val="19"/>
              </w:rPr>
              <w:t xml:space="preserve">1</w:t>
            </w:r>
          </w:p>
        </w:tc>
      </w:tr>
    </w:tbl>
    <w:p>
      <w:pPr>
        <w:shd w:fill="EAF3FA" w:color="auto" w:val="clear"/>
        <w:spacing w:after="180" w:before="100"/>
        <w:ind w:left="160" w:right="160"/>
      </w:pPr>
      <w:r>
        <w:rPr>
          <w:b/>
          <w:bCs/>
          <w:color w:val="1A1A1A"/>
        </w:rPr>
        <w:t xml:space="preserve">WHY GENAI IS NECESSARY: </w:t>
      </w:r>
      <w:r>
        <w:t xml:space="preserve">The model explores roughly 4.3 times further from the known templates than the hand-written policy, and every proposal it returned passed the bounded genome schema. The policy encodes what we already thought of; the model reaches regions we did not. Recorded against gpt-5; the full record, including every proposed genome, is in data/evidence/live-run.json.</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3000"/>
        <w:gridCol w:w="2400"/>
        <w:gridCol w:w="2100"/>
        <w:gridCol w:w="1620"/>
      </w:tblGrid>
      <w:tr>
        <w:trPr>
          <w:cantSplit/>
          <w:tblHeader/>
        </w:trPr>
        <w:tc>
          <w:tcPr>
            <w:tcW w:type="dxa" w:w="3000"/>
            <w:shd w:fill="1A1A1A" w:color="auto" w:val="clear"/>
            <w:vAlign w:val="center"/>
          </w:tcPr>
          <w:p>
            <w:pPr>
              <w:spacing w:after="0" w:line="240"/>
            </w:pPr>
            <w:r>
              <w:rPr>
                <w:b/>
                <w:bCs/>
                <w:color w:val="FFFFFF"/>
                <w:sz w:val="19"/>
                <w:szCs w:val="19"/>
              </w:rPr>
              <w:t xml:space="preserve">Family</w:t>
            </w:r>
          </w:p>
        </w:tc>
        <w:tc>
          <w:tcPr>
            <w:tcW w:type="dxa" w:w="2400"/>
            <w:shd w:fill="1A1A1A" w:color="auto" w:val="clear"/>
            <w:vAlign w:val="center"/>
          </w:tcPr>
          <w:p>
            <w:pPr>
              <w:spacing w:after="0" w:line="240"/>
            </w:pPr>
            <w:r>
              <w:rPr>
                <w:b/>
                <w:bCs/>
                <w:color w:val="FFFFFF"/>
                <w:sz w:val="19"/>
                <w:szCs w:val="19"/>
              </w:rPr>
              <w:t xml:space="preserve">Model novelty</w:t>
            </w:r>
          </w:p>
        </w:tc>
        <w:tc>
          <w:tcPr>
            <w:tcW w:type="dxa" w:w="2100"/>
            <w:shd w:fill="1A1A1A" w:color="auto" w:val="clear"/>
            <w:vAlign w:val="center"/>
          </w:tcPr>
          <w:p>
            <w:pPr>
              <w:spacing w:after="0" w:line="240"/>
            </w:pPr>
            <w:r>
              <w:rPr>
                <w:b/>
                <w:bCs/>
                <w:color w:val="FFFFFF"/>
                <w:sz w:val="19"/>
                <w:szCs w:val="19"/>
              </w:rPr>
              <w:t xml:space="preserve">Policy novelty</w:t>
            </w:r>
          </w:p>
        </w:tc>
        <w:tc>
          <w:tcPr>
            <w:tcW w:type="dxa" w:w="1620"/>
            <w:shd w:fill="1A1A1A" w:color="auto" w:val="clear"/>
            <w:vAlign w:val="center"/>
          </w:tcPr>
          <w:p>
            <w:pPr>
              <w:spacing w:after="0" w:line="240"/>
            </w:pPr>
            <w:r>
              <w:rPr>
                <w:b/>
                <w:bCs/>
                <w:color w:val="FFFFFF"/>
                <w:sz w:val="19"/>
                <w:szCs w:val="19"/>
              </w:rPr>
              <w:t xml:space="preserve">Latency</w:t>
            </w:r>
          </w:p>
        </w:tc>
      </w:tr>
      <w:tr>
        <w:trPr>
          <w:cantSplit/>
          <w:tblHeader w:val="false"/>
        </w:trPr>
        <w:tc>
          <w:tcPr>
            <w:tcW w:type="dxa" w:w="3000"/>
            <w:vAlign w:val="center"/>
          </w:tcPr>
          <w:p>
            <w:pPr>
              <w:spacing w:after="0" w:line="240"/>
            </w:pPr>
            <w:r>
              <w:rPr>
                <w:b w:val="false"/>
                <w:bCs w:val="false"/>
                <w:color w:val="17212B"/>
                <w:sz w:val="19"/>
                <w:szCs w:val="19"/>
              </w:rPr>
              <w:t xml:space="preserve">card_testing_drain</w:t>
            </w:r>
          </w:p>
        </w:tc>
        <w:tc>
          <w:tcPr>
            <w:tcW w:type="dxa" w:w="2400"/>
            <w:vAlign w:val="center"/>
          </w:tcPr>
          <w:p>
            <w:pPr>
              <w:spacing w:after="0" w:line="240"/>
            </w:pPr>
            <w:r>
              <w:rPr>
                <w:b w:val="false"/>
                <w:bCs w:val="false"/>
                <w:color w:val="17212B"/>
                <w:sz w:val="19"/>
                <w:szCs w:val="19"/>
              </w:rPr>
              <w:t xml:space="preserve">6.27, 4.48</w:t>
            </w:r>
          </w:p>
        </w:tc>
        <w:tc>
          <w:tcPr>
            <w:tcW w:type="dxa" w:w="2100"/>
            <w:vAlign w:val="center"/>
          </w:tcPr>
          <w:p>
            <w:pPr>
              <w:spacing w:after="0" w:line="240"/>
            </w:pPr>
            <w:r>
              <w:rPr>
                <w:b w:val="false"/>
                <w:bCs w:val="false"/>
                <w:color w:val="17212B"/>
                <w:sz w:val="19"/>
                <w:szCs w:val="19"/>
              </w:rPr>
              <w:t xml:space="preserve">1.18</w:t>
            </w:r>
          </w:p>
        </w:tc>
        <w:tc>
          <w:tcPr>
            <w:tcW w:type="dxa" w:w="1620"/>
            <w:vAlign w:val="center"/>
          </w:tcPr>
          <w:p>
            <w:pPr>
              <w:spacing w:after="0" w:line="240"/>
            </w:pPr>
            <w:r>
              <w:rPr>
                <w:b w:val="false"/>
                <w:bCs w:val="false"/>
                <w:color w:val="17212B"/>
                <w:sz w:val="19"/>
                <w:szCs w:val="19"/>
              </w:rPr>
              <w:t xml:space="preserve">27.3s</w:t>
            </w:r>
          </w:p>
        </w:tc>
      </w:tr>
      <w:tr>
        <w:trPr>
          <w:cantSplit/>
          <w:tblHeader w:val="false"/>
        </w:trPr>
        <w:tc>
          <w:tcPr>
            <w:tcW w:type="dxa" w:w="3000"/>
            <w:shd w:fill="F2F4F7" w:color="auto" w:val="clear"/>
            <w:vAlign w:val="center"/>
          </w:tcPr>
          <w:p>
            <w:pPr>
              <w:spacing w:after="0" w:line="240"/>
            </w:pPr>
            <w:r>
              <w:rPr>
                <w:b w:val="false"/>
                <w:bCs w:val="false"/>
                <w:color w:val="17212B"/>
                <w:sz w:val="19"/>
                <w:szCs w:val="19"/>
              </w:rPr>
              <w:t xml:space="preserve">low_and_slow</w:t>
            </w:r>
          </w:p>
        </w:tc>
        <w:tc>
          <w:tcPr>
            <w:tcW w:type="dxa" w:w="2400"/>
            <w:shd w:fill="F2F4F7" w:color="auto" w:val="clear"/>
            <w:vAlign w:val="center"/>
          </w:tcPr>
          <w:p>
            <w:pPr>
              <w:spacing w:after="0" w:line="240"/>
            </w:pPr>
            <w:r>
              <w:rPr>
                <w:b w:val="false"/>
                <w:bCs w:val="false"/>
                <w:color w:val="17212B"/>
                <w:sz w:val="19"/>
                <w:szCs w:val="19"/>
              </w:rPr>
              <w:t xml:space="preserve">3.02, 2.19</w:t>
            </w:r>
          </w:p>
        </w:tc>
        <w:tc>
          <w:tcPr>
            <w:tcW w:type="dxa" w:w="2100"/>
            <w:shd w:fill="F2F4F7" w:color="auto" w:val="clear"/>
            <w:vAlign w:val="center"/>
          </w:tcPr>
          <w:p>
            <w:pPr>
              <w:spacing w:after="0" w:line="240"/>
            </w:pPr>
            <w:r>
              <w:rPr>
                <w:b w:val="false"/>
                <w:bCs w:val="false"/>
                <w:color w:val="17212B"/>
                <w:sz w:val="19"/>
                <w:szCs w:val="19"/>
              </w:rPr>
              <w:t xml:space="preserve">0.62</w:t>
            </w:r>
          </w:p>
        </w:tc>
        <w:tc>
          <w:tcPr>
            <w:tcW w:type="dxa" w:w="1620"/>
            <w:shd w:fill="F2F4F7" w:color="auto" w:val="clear"/>
            <w:vAlign w:val="center"/>
          </w:tcPr>
          <w:p>
            <w:pPr>
              <w:spacing w:after="0" w:line="240"/>
            </w:pPr>
            <w:r>
              <w:rPr>
                <w:b w:val="false"/>
                <w:bCs w:val="false"/>
                <w:color w:val="17212B"/>
                <w:sz w:val="19"/>
                <w:szCs w:val="19"/>
              </w:rPr>
              <w:t xml:space="preserve">24.3s</w:t>
            </w:r>
          </w:p>
        </w:tc>
      </w:tr>
      <w:tr>
        <w:trPr>
          <w:cantSplit/>
          <w:tblHeader w:val="false"/>
        </w:trPr>
        <w:tc>
          <w:tcPr>
            <w:tcW w:type="dxa" w:w="3000"/>
            <w:vAlign w:val="center"/>
          </w:tcPr>
          <w:p>
            <w:pPr>
              <w:spacing w:after="0" w:line="240"/>
            </w:pPr>
            <w:r>
              <w:rPr>
                <w:b w:val="false"/>
                <w:bCs w:val="false"/>
                <w:color w:val="17212B"/>
                <w:sz w:val="19"/>
                <w:szCs w:val="19"/>
              </w:rPr>
              <w:t xml:space="preserve">mule_fanout</w:t>
            </w:r>
          </w:p>
        </w:tc>
        <w:tc>
          <w:tcPr>
            <w:tcW w:type="dxa" w:w="2400"/>
            <w:vAlign w:val="center"/>
          </w:tcPr>
          <w:p>
            <w:pPr>
              <w:spacing w:after="0" w:line="240"/>
            </w:pPr>
            <w:r>
              <w:rPr>
                <w:b w:val="false"/>
                <w:bCs w:val="false"/>
                <w:color w:val="17212B"/>
                <w:sz w:val="19"/>
                <w:szCs w:val="19"/>
              </w:rPr>
              <w:t xml:space="preserve">3.34, 4.39</w:t>
            </w:r>
          </w:p>
        </w:tc>
        <w:tc>
          <w:tcPr>
            <w:tcW w:type="dxa" w:w="2100"/>
            <w:vAlign w:val="center"/>
          </w:tcPr>
          <w:p>
            <w:pPr>
              <w:spacing w:after="0" w:line="240"/>
            </w:pPr>
            <w:r>
              <w:rPr>
                <w:b w:val="false"/>
                <w:bCs w:val="false"/>
                <w:color w:val="17212B"/>
                <w:sz w:val="19"/>
                <w:szCs w:val="19"/>
              </w:rPr>
              <w:t xml:space="preserve">0.46</w:t>
            </w:r>
          </w:p>
        </w:tc>
        <w:tc>
          <w:tcPr>
            <w:tcW w:type="dxa" w:w="1620"/>
            <w:vAlign w:val="center"/>
          </w:tcPr>
          <w:p>
            <w:pPr>
              <w:spacing w:after="0" w:line="240"/>
            </w:pPr>
            <w:r>
              <w:rPr>
                <w:b w:val="false"/>
                <w:bCs w:val="false"/>
                <w:color w:val="17212B"/>
                <w:sz w:val="19"/>
                <w:szCs w:val="19"/>
              </w:rPr>
              <w:t xml:space="preserve">26.6s</w:t>
            </w:r>
          </w:p>
        </w:tc>
      </w:tr>
      <w:tr>
        <w:trPr>
          <w:cantSplit/>
          <w:tblHeader w:val="false"/>
        </w:trPr>
        <w:tc>
          <w:tcPr>
            <w:tcW w:type="dxa" w:w="3000"/>
            <w:shd w:fill="F2F4F7" w:color="auto" w:val="clear"/>
            <w:vAlign w:val="center"/>
          </w:tcPr>
          <w:p>
            <w:pPr>
              <w:spacing w:after="0" w:line="240"/>
            </w:pPr>
            <w:r>
              <w:rPr>
                <w:b w:val="false"/>
                <w:bCs w:val="false"/>
                <w:color w:val="17212B"/>
                <w:sz w:val="19"/>
                <w:szCs w:val="19"/>
              </w:rPr>
              <w:t xml:space="preserve">account_takeover</w:t>
            </w:r>
          </w:p>
        </w:tc>
        <w:tc>
          <w:tcPr>
            <w:tcW w:type="dxa" w:w="2400"/>
            <w:shd w:fill="F2F4F7" w:color="auto" w:val="clear"/>
            <w:vAlign w:val="center"/>
          </w:tcPr>
          <w:p>
            <w:pPr>
              <w:spacing w:after="0" w:line="240"/>
            </w:pPr>
            <w:r>
              <w:rPr>
                <w:b w:val="false"/>
                <w:bCs w:val="false"/>
                <w:color w:val="17212B"/>
                <w:sz w:val="19"/>
                <w:szCs w:val="19"/>
              </w:rPr>
              <w:t xml:space="preserve">7.51, 4.86</w:t>
            </w:r>
          </w:p>
        </w:tc>
        <w:tc>
          <w:tcPr>
            <w:tcW w:type="dxa" w:w="2100"/>
            <w:shd w:fill="F2F4F7" w:color="auto" w:val="clear"/>
            <w:vAlign w:val="center"/>
          </w:tcPr>
          <w:p>
            <w:pPr>
              <w:spacing w:after="0" w:line="240"/>
            </w:pPr>
            <w:r>
              <w:rPr>
                <w:b w:val="false"/>
                <w:bCs w:val="false"/>
                <w:color w:val="17212B"/>
                <w:sz w:val="19"/>
                <w:szCs w:val="19"/>
              </w:rPr>
              <w:t xml:space="preserve">2.10</w:t>
            </w:r>
          </w:p>
        </w:tc>
        <w:tc>
          <w:tcPr>
            <w:tcW w:type="dxa" w:w="1620"/>
            <w:shd w:fill="F2F4F7" w:color="auto" w:val="clear"/>
            <w:vAlign w:val="center"/>
          </w:tcPr>
          <w:p>
            <w:pPr>
              <w:spacing w:after="0" w:line="240"/>
            </w:pPr>
            <w:r>
              <w:rPr>
                <w:b w:val="false"/>
                <w:bCs w:val="false"/>
                <w:color w:val="17212B"/>
                <w:sz w:val="19"/>
                <w:szCs w:val="19"/>
              </w:rPr>
              <w:t xml:space="preserve">30.4s</w:t>
            </w:r>
          </w:p>
        </w:tc>
      </w:tr>
      <w:tr>
        <w:trPr>
          <w:cantSplit/>
          <w:tblHeader w:val="false"/>
        </w:trPr>
        <w:tc>
          <w:tcPr>
            <w:tcW w:type="dxa" w:w="3000"/>
            <w:vAlign w:val="center"/>
          </w:tcPr>
          <w:p>
            <w:pPr>
              <w:spacing w:after="0" w:line="240"/>
            </w:pPr>
            <w:r>
              <w:rPr>
                <w:b w:val="false"/>
                <w:bCs w:val="false"/>
                <w:color w:val="17212B"/>
                <w:sz w:val="19"/>
                <w:szCs w:val="19"/>
              </w:rPr>
              <w:t xml:space="preserve">transaction_splitting</w:t>
            </w:r>
          </w:p>
        </w:tc>
        <w:tc>
          <w:tcPr>
            <w:tcW w:type="dxa" w:w="2400"/>
            <w:vAlign w:val="center"/>
          </w:tcPr>
          <w:p>
            <w:pPr>
              <w:spacing w:after="0" w:line="240"/>
            </w:pPr>
            <w:r>
              <w:rPr>
                <w:b w:val="false"/>
                <w:bCs w:val="false"/>
                <w:color w:val="17212B"/>
                <w:sz w:val="19"/>
                <w:szCs w:val="19"/>
              </w:rPr>
              <w:t xml:space="preserve">4.96, 5.55</w:t>
            </w:r>
          </w:p>
        </w:tc>
        <w:tc>
          <w:tcPr>
            <w:tcW w:type="dxa" w:w="2100"/>
            <w:vAlign w:val="center"/>
          </w:tcPr>
          <w:p>
            <w:pPr>
              <w:spacing w:after="0" w:line="240"/>
            </w:pPr>
            <w:r>
              <w:rPr>
                <w:b w:val="false"/>
                <w:bCs w:val="false"/>
                <w:color w:val="17212B"/>
                <w:sz w:val="19"/>
                <w:szCs w:val="19"/>
              </w:rPr>
              <w:t xml:space="preserve">1.05</w:t>
            </w:r>
          </w:p>
        </w:tc>
        <w:tc>
          <w:tcPr>
            <w:tcW w:type="dxa" w:w="1620"/>
            <w:vAlign w:val="center"/>
          </w:tcPr>
          <w:p>
            <w:pPr>
              <w:spacing w:after="0" w:line="240"/>
            </w:pPr>
            <w:r>
              <w:rPr>
                <w:b w:val="false"/>
                <w:bCs w:val="false"/>
                <w:color w:val="17212B"/>
                <w:sz w:val="19"/>
                <w:szCs w:val="19"/>
              </w:rPr>
              <w:t xml:space="preserve">32.8s</w:t>
            </w:r>
          </w:p>
        </w:tc>
      </w:tr>
    </w:tbl>
    <w:p>
      <w:r>
        <w:rPr>
          <w:i/>
          <w:iCs/>
        </w:rPr>
        <w:t xml:space="preserve">The failure that produced this section is worth stating. The strategist prompt originally told the model to stay inside the documented bounds without ever listing them, so it guessed, its proposals were rejected by the schema, and the arena silently fell back to the policy. Two of five families returned nothing usable. Spelling the bounds out took every family to a full set of schema-valid proposals.</w:t>
      </w:r>
    </w:p>
    <w:p>
      <w:r>
        <w:br w:type="page"/>
      </w:r>
    </w:p>
    <w:p>
      <w:pPr>
        <w:pStyle w:val="Heading1"/>
      </w:pPr>
      <w:r>
        <w:t xml:space="preserve">12. Adversarial Robustness</w:t>
      </w:r>
    </w:p>
    <w:p>
      <w:r>
        <w:t xml:space="preserve">The Referee created five fresh descendants after the Blue proposal. Red never used these seeds during search, and Blue never saw them.</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2350"/>
        <w:gridCol w:w="2300"/>
        <w:gridCol w:w="2300"/>
        <w:gridCol w:w="2170"/>
      </w:tblGrid>
      <w:tr>
        <w:trPr>
          <w:cantSplit/>
          <w:tblHeader/>
        </w:trPr>
        <w:tc>
          <w:tcPr>
            <w:tcW w:type="dxa" w:w="2350"/>
            <w:shd w:fill="1A1A1A" w:color="auto" w:val="clear"/>
            <w:vAlign w:val="center"/>
          </w:tcPr>
          <w:p>
            <w:pPr>
              <w:spacing w:after="0" w:line="240"/>
            </w:pPr>
            <w:r>
              <w:rPr>
                <w:b/>
                <w:bCs/>
                <w:color w:val="FFFFFF"/>
                <w:sz w:val="19"/>
                <w:szCs w:val="19"/>
              </w:rPr>
              <w:t xml:space="preserve">Descendant</w:t>
            </w:r>
          </w:p>
        </w:tc>
        <w:tc>
          <w:tcPr>
            <w:tcW w:type="dxa" w:w="2300"/>
            <w:shd w:fill="1A1A1A" w:color="auto" w:val="clear"/>
            <w:vAlign w:val="center"/>
          </w:tcPr>
          <w:p>
            <w:pPr>
              <w:spacing w:after="0" w:line="240"/>
            </w:pPr>
            <w:r>
              <w:rPr>
                <w:b/>
                <w:bCs/>
                <w:color w:val="FFFFFF"/>
                <w:sz w:val="19"/>
                <w:szCs w:val="19"/>
              </w:rPr>
              <w:t xml:space="preserve">Attack success before</w:t>
            </w:r>
          </w:p>
        </w:tc>
        <w:tc>
          <w:tcPr>
            <w:tcW w:type="dxa" w:w="2300"/>
            <w:shd w:fill="1A1A1A" w:color="auto" w:val="clear"/>
            <w:vAlign w:val="center"/>
          </w:tcPr>
          <w:p>
            <w:pPr>
              <w:spacing w:after="0" w:line="240"/>
            </w:pPr>
            <w:r>
              <w:rPr>
                <w:b/>
                <w:bCs/>
                <w:color w:val="FFFFFF"/>
                <w:sz w:val="19"/>
                <w:szCs w:val="19"/>
              </w:rPr>
              <w:t xml:space="preserve">Attack success after</w:t>
            </w:r>
          </w:p>
        </w:tc>
        <w:tc>
          <w:tcPr>
            <w:tcW w:type="dxa" w:w="2170"/>
            <w:shd w:fill="1A1A1A" w:color="auto" w:val="clear"/>
            <w:vAlign w:val="center"/>
          </w:tcPr>
          <w:p>
            <w:pPr>
              <w:spacing w:after="0" w:line="240"/>
            </w:pPr>
            <w:r>
              <w:rPr>
                <w:b/>
                <w:bCs/>
                <w:color w:val="FFFFFF"/>
                <w:sz w:val="19"/>
                <w:szCs w:val="19"/>
              </w:rPr>
              <w:t xml:space="preserve">Result</w:t>
            </w:r>
          </w:p>
        </w:tc>
      </w:tr>
      <w:tr>
        <w:trPr>
          <w:cantSplit/>
          <w:tblHeader w:val="false"/>
        </w:trPr>
        <w:tc>
          <w:tcPr>
            <w:tcW w:type="dxa" w:w="2350"/>
            <w:vAlign w:val="center"/>
          </w:tcPr>
          <w:p>
            <w:pPr>
              <w:spacing w:after="0" w:line="240"/>
            </w:pPr>
            <w:r>
              <w:rPr>
                <w:b w:val="false"/>
                <w:bCs w:val="false"/>
                <w:color w:val="17212B"/>
                <w:sz w:val="19"/>
                <w:szCs w:val="19"/>
              </w:rPr>
              <w:t xml:space="preserve">AF-1013-H0</w:t>
            </w:r>
          </w:p>
        </w:tc>
        <w:tc>
          <w:tcPr>
            <w:tcW w:type="dxa" w:w="2300"/>
            <w:vAlign w:val="center"/>
          </w:tcPr>
          <w:p>
            <w:pPr>
              <w:spacing w:after="0" w:line="240"/>
            </w:pPr>
            <w:r>
              <w:rPr>
                <w:b w:val="false"/>
                <w:bCs w:val="false"/>
                <w:color w:val="17212B"/>
                <w:sz w:val="19"/>
                <w:szCs w:val="19"/>
              </w:rPr>
              <w:t xml:space="preserve">83.33%</w:t>
            </w:r>
          </w:p>
        </w:tc>
        <w:tc>
          <w:tcPr>
            <w:tcW w:type="dxa" w:w="2300"/>
            <w:vAlign w:val="center"/>
          </w:tcPr>
          <w:p>
            <w:pPr>
              <w:spacing w:after="0" w:line="240"/>
            </w:pPr>
            <w:r>
              <w:rPr>
                <w:b w:val="false"/>
                <w:bCs w:val="false"/>
                <w:color w:val="17212B"/>
                <w:sz w:val="19"/>
                <w:szCs w:val="19"/>
              </w:rPr>
              <w:t xml:space="preserve">25.00%</w:t>
            </w:r>
          </w:p>
        </w:tc>
        <w:tc>
          <w:tcPr>
            <w:tcW w:type="dxa" w:w="2170"/>
            <w:vAlign w:val="center"/>
          </w:tcPr>
          <w:p>
            <w:pPr>
              <w:spacing w:after="0" w:line="240"/>
            </w:pPr>
            <w:r>
              <w:rPr>
                <w:b w:val="false"/>
                <w:bCs w:val="false"/>
                <w:color w:val="17212B"/>
                <w:sz w:val="19"/>
                <w:szCs w:val="19"/>
              </w:rPr>
              <w:t xml:space="preserve">Improved</w:t>
            </w:r>
          </w:p>
        </w:tc>
      </w:tr>
      <w:tr>
        <w:trPr>
          <w:cantSplit/>
          <w:tblHeader w:val="false"/>
        </w:trPr>
        <w:tc>
          <w:tcPr>
            <w:tcW w:type="dxa" w:w="2350"/>
            <w:shd w:fill="F2F4F7" w:color="auto" w:val="clear"/>
            <w:vAlign w:val="center"/>
          </w:tcPr>
          <w:p>
            <w:pPr>
              <w:spacing w:after="0" w:line="240"/>
            </w:pPr>
            <w:r>
              <w:rPr>
                <w:b w:val="false"/>
                <w:bCs w:val="false"/>
                <w:color w:val="17212B"/>
                <w:sz w:val="19"/>
                <w:szCs w:val="19"/>
              </w:rPr>
              <w:t xml:space="preserve">AF-1013-H1</w:t>
            </w:r>
          </w:p>
        </w:tc>
        <w:tc>
          <w:tcPr>
            <w:tcW w:type="dxa" w:w="2300"/>
            <w:shd w:fill="F2F4F7" w:color="auto" w:val="clear"/>
            <w:vAlign w:val="center"/>
          </w:tcPr>
          <w:p>
            <w:pPr>
              <w:spacing w:after="0" w:line="240"/>
            </w:pPr>
            <w:r>
              <w:rPr>
                <w:b w:val="false"/>
                <w:bCs w:val="false"/>
                <w:color w:val="17212B"/>
                <w:sz w:val="19"/>
                <w:szCs w:val="19"/>
              </w:rPr>
              <w:t xml:space="preserve">100.00%</w:t>
            </w:r>
          </w:p>
        </w:tc>
        <w:tc>
          <w:tcPr>
            <w:tcW w:type="dxa" w:w="2300"/>
            <w:shd w:fill="F2F4F7" w:color="auto" w:val="clear"/>
            <w:vAlign w:val="center"/>
          </w:tcPr>
          <w:p>
            <w:pPr>
              <w:spacing w:after="0" w:line="240"/>
            </w:pPr>
            <w:r>
              <w:rPr>
                <w:b w:val="false"/>
                <w:bCs w:val="false"/>
                <w:color w:val="17212B"/>
                <w:sz w:val="19"/>
                <w:szCs w:val="19"/>
              </w:rPr>
              <w:t xml:space="preserve">50.00%</w:t>
            </w:r>
          </w:p>
        </w:tc>
        <w:tc>
          <w:tcPr>
            <w:tcW w:type="dxa" w:w="2170"/>
            <w:shd w:fill="F2F4F7" w:color="auto" w:val="clear"/>
            <w:vAlign w:val="center"/>
          </w:tcPr>
          <w:p>
            <w:pPr>
              <w:spacing w:after="0" w:line="240"/>
            </w:pPr>
            <w:r>
              <w:rPr>
                <w:b w:val="false"/>
                <w:bCs w:val="false"/>
                <w:color w:val="17212B"/>
                <w:sz w:val="19"/>
                <w:szCs w:val="19"/>
              </w:rPr>
              <w:t xml:space="preserve">Improved</w:t>
            </w:r>
          </w:p>
        </w:tc>
      </w:tr>
      <w:tr>
        <w:trPr>
          <w:cantSplit/>
          <w:tblHeader w:val="false"/>
        </w:trPr>
        <w:tc>
          <w:tcPr>
            <w:tcW w:type="dxa" w:w="2350"/>
            <w:vAlign w:val="center"/>
          </w:tcPr>
          <w:p>
            <w:pPr>
              <w:spacing w:after="0" w:line="240"/>
            </w:pPr>
            <w:r>
              <w:rPr>
                <w:b w:val="false"/>
                <w:bCs w:val="false"/>
                <w:color w:val="17212B"/>
                <w:sz w:val="19"/>
                <w:szCs w:val="19"/>
              </w:rPr>
              <w:t xml:space="preserve">AF-1013-H2</w:t>
            </w:r>
          </w:p>
        </w:tc>
        <w:tc>
          <w:tcPr>
            <w:tcW w:type="dxa" w:w="2300"/>
            <w:vAlign w:val="center"/>
          </w:tcPr>
          <w:p>
            <w:pPr>
              <w:spacing w:after="0" w:line="240"/>
            </w:pPr>
            <w:r>
              <w:rPr>
                <w:b w:val="false"/>
                <w:bCs w:val="false"/>
                <w:color w:val="17212B"/>
                <w:sz w:val="19"/>
                <w:szCs w:val="19"/>
              </w:rPr>
              <w:t xml:space="preserve">75.00%</w:t>
            </w:r>
          </w:p>
        </w:tc>
        <w:tc>
          <w:tcPr>
            <w:tcW w:type="dxa" w:w="2300"/>
            <w:vAlign w:val="center"/>
          </w:tcPr>
          <w:p>
            <w:pPr>
              <w:spacing w:after="0" w:line="240"/>
            </w:pPr>
            <w:r>
              <w:rPr>
                <w:b w:val="false"/>
                <w:bCs w:val="false"/>
                <w:color w:val="17212B"/>
                <w:sz w:val="19"/>
                <w:szCs w:val="19"/>
              </w:rPr>
              <w:t xml:space="preserve">41.67%</w:t>
            </w:r>
          </w:p>
        </w:tc>
        <w:tc>
          <w:tcPr>
            <w:tcW w:type="dxa" w:w="2170"/>
            <w:vAlign w:val="center"/>
          </w:tcPr>
          <w:p>
            <w:pPr>
              <w:spacing w:after="0" w:line="240"/>
            </w:pPr>
            <w:r>
              <w:rPr>
                <w:b w:val="false"/>
                <w:bCs w:val="false"/>
                <w:color w:val="17212B"/>
                <w:sz w:val="19"/>
                <w:szCs w:val="19"/>
              </w:rPr>
              <w:t xml:space="preserve">Improved</w:t>
            </w:r>
          </w:p>
        </w:tc>
      </w:tr>
      <w:tr>
        <w:trPr>
          <w:cantSplit/>
          <w:tblHeader w:val="false"/>
        </w:trPr>
        <w:tc>
          <w:tcPr>
            <w:tcW w:type="dxa" w:w="2350"/>
            <w:shd w:fill="F2F4F7" w:color="auto" w:val="clear"/>
            <w:vAlign w:val="center"/>
          </w:tcPr>
          <w:p>
            <w:pPr>
              <w:spacing w:after="0" w:line="240"/>
            </w:pPr>
            <w:r>
              <w:rPr>
                <w:b w:val="false"/>
                <w:bCs w:val="false"/>
                <w:color w:val="17212B"/>
                <w:sz w:val="19"/>
                <w:szCs w:val="19"/>
              </w:rPr>
              <w:t xml:space="preserve">AF-1013-H3</w:t>
            </w:r>
          </w:p>
        </w:tc>
        <w:tc>
          <w:tcPr>
            <w:tcW w:type="dxa" w:w="2300"/>
            <w:shd w:fill="F2F4F7" w:color="auto" w:val="clear"/>
            <w:vAlign w:val="center"/>
          </w:tcPr>
          <w:p>
            <w:pPr>
              <w:spacing w:after="0" w:line="240"/>
            </w:pPr>
            <w:r>
              <w:rPr>
                <w:b w:val="false"/>
                <w:bCs w:val="false"/>
                <w:color w:val="17212B"/>
                <w:sz w:val="19"/>
                <w:szCs w:val="19"/>
              </w:rPr>
              <w:t xml:space="preserve">41.67%</w:t>
            </w:r>
          </w:p>
        </w:tc>
        <w:tc>
          <w:tcPr>
            <w:tcW w:type="dxa" w:w="2300"/>
            <w:shd w:fill="F2F4F7" w:color="auto" w:val="clear"/>
            <w:vAlign w:val="center"/>
          </w:tcPr>
          <w:p>
            <w:pPr>
              <w:spacing w:after="0" w:line="240"/>
            </w:pPr>
            <w:r>
              <w:rPr>
                <w:b w:val="false"/>
                <w:bCs w:val="false"/>
                <w:color w:val="17212B"/>
                <w:sz w:val="19"/>
                <w:szCs w:val="19"/>
              </w:rPr>
              <w:t xml:space="preserve">16.67%</w:t>
            </w:r>
          </w:p>
        </w:tc>
        <w:tc>
          <w:tcPr>
            <w:tcW w:type="dxa" w:w="2170"/>
            <w:shd w:fill="F2F4F7" w:color="auto" w:val="clear"/>
            <w:vAlign w:val="center"/>
          </w:tcPr>
          <w:p>
            <w:pPr>
              <w:spacing w:after="0" w:line="240"/>
            </w:pPr>
            <w:r>
              <w:rPr>
                <w:b w:val="false"/>
                <w:bCs w:val="false"/>
                <w:color w:val="17212B"/>
                <w:sz w:val="19"/>
                <w:szCs w:val="19"/>
              </w:rPr>
              <w:t xml:space="preserve">Improved</w:t>
            </w:r>
          </w:p>
        </w:tc>
      </w:tr>
      <w:tr>
        <w:trPr>
          <w:cantSplit/>
          <w:tblHeader w:val="false"/>
        </w:trPr>
        <w:tc>
          <w:tcPr>
            <w:tcW w:type="dxa" w:w="2350"/>
            <w:vAlign w:val="center"/>
          </w:tcPr>
          <w:p>
            <w:pPr>
              <w:spacing w:after="0" w:line="240"/>
            </w:pPr>
            <w:r>
              <w:rPr>
                <w:b w:val="false"/>
                <w:bCs w:val="false"/>
                <w:color w:val="17212B"/>
                <w:sz w:val="19"/>
                <w:szCs w:val="19"/>
              </w:rPr>
              <w:t xml:space="preserve">AF-1013-H4</w:t>
            </w:r>
          </w:p>
        </w:tc>
        <w:tc>
          <w:tcPr>
            <w:tcW w:type="dxa" w:w="2300"/>
            <w:vAlign w:val="center"/>
          </w:tcPr>
          <w:p>
            <w:pPr>
              <w:spacing w:after="0" w:line="240"/>
            </w:pPr>
            <w:r>
              <w:rPr>
                <w:b w:val="false"/>
                <w:bCs w:val="false"/>
                <w:color w:val="17212B"/>
                <w:sz w:val="19"/>
                <w:szCs w:val="19"/>
              </w:rPr>
              <w:t xml:space="preserve">58.33%</w:t>
            </w:r>
          </w:p>
        </w:tc>
        <w:tc>
          <w:tcPr>
            <w:tcW w:type="dxa" w:w="2300"/>
            <w:vAlign w:val="center"/>
          </w:tcPr>
          <w:p>
            <w:pPr>
              <w:spacing w:after="0" w:line="240"/>
            </w:pPr>
            <w:r>
              <w:rPr>
                <w:b w:val="false"/>
                <w:bCs w:val="false"/>
                <w:color w:val="17212B"/>
                <w:sz w:val="19"/>
                <w:szCs w:val="19"/>
              </w:rPr>
              <w:t xml:space="preserve">33.33%</w:t>
            </w:r>
          </w:p>
        </w:tc>
        <w:tc>
          <w:tcPr>
            <w:tcW w:type="dxa" w:w="2170"/>
            <w:vAlign w:val="center"/>
          </w:tcPr>
          <w:p>
            <w:pPr>
              <w:spacing w:after="0" w:line="240"/>
            </w:pPr>
            <w:r>
              <w:rPr>
                <w:b w:val="false"/>
                <w:bCs w:val="false"/>
                <w:color w:val="17212B"/>
                <w:sz w:val="19"/>
                <w:szCs w:val="19"/>
              </w:rPr>
              <w:t xml:space="preserve">Improved</w:t>
            </w:r>
          </w:p>
        </w:tc>
      </w:tr>
    </w:tbl>
    <w:p>
      <w:r>
        <w:t xml:space="preserve">5 of 5 descendants improved, meeting the 80 percent survival gate.</w:t>
      </w:r>
    </w:p>
    <w:p>
      <w:r>
        <w:t xml:space="preserve">This does not prove universal robustness. It proves generalisation beyond the exact attack used to form the defense hypothesis, which is the specific failure mode a single-scenario fix would have.</w:t>
      </w:r>
    </w:p>
    <w:p>
      <w:pPr>
        <w:pStyle w:val="Heading2"/>
      </w:pPr>
      <w:r>
        <w:t xml:space="preserve">Corrections made during development</w:t>
      </w:r>
    </w:p>
    <w:p>
      <w:r>
        <w:t xml:space="preserve">Several of the most consequential changes in this project were corrections. Stating them is part of the evidence.</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3000"/>
        <w:gridCol w:w="3300"/>
        <w:gridCol w:w="2820"/>
      </w:tblGrid>
      <w:tr>
        <w:trPr>
          <w:cantSplit/>
          <w:tblHeader/>
        </w:trPr>
        <w:tc>
          <w:tcPr>
            <w:tcW w:type="dxa" w:w="3000"/>
            <w:shd w:fill="1A1A1A" w:color="auto" w:val="clear"/>
            <w:vAlign w:val="center"/>
          </w:tcPr>
          <w:p>
            <w:pPr>
              <w:spacing w:after="0" w:line="240"/>
            </w:pPr>
            <w:r>
              <w:rPr>
                <w:b/>
                <w:bCs/>
                <w:color w:val="FFFFFF"/>
                <w:sz w:val="19"/>
                <w:szCs w:val="19"/>
              </w:rPr>
              <w:t xml:space="preserve">What was wrong</w:t>
            </w:r>
          </w:p>
        </w:tc>
        <w:tc>
          <w:tcPr>
            <w:tcW w:type="dxa" w:w="3300"/>
            <w:shd w:fill="1A1A1A" w:color="auto" w:val="clear"/>
            <w:vAlign w:val="center"/>
          </w:tcPr>
          <w:p>
            <w:pPr>
              <w:spacing w:after="0" w:line="240"/>
            </w:pPr>
            <w:r>
              <w:rPr>
                <w:b/>
                <w:bCs/>
                <w:color w:val="FFFFFF"/>
                <w:sz w:val="19"/>
                <w:szCs w:val="19"/>
              </w:rPr>
              <w:t xml:space="preserve">Effect</w:t>
            </w:r>
          </w:p>
        </w:tc>
        <w:tc>
          <w:tcPr>
            <w:tcW w:type="dxa" w:w="2820"/>
            <w:shd w:fill="1A1A1A" w:color="auto" w:val="clear"/>
            <w:vAlign w:val="center"/>
          </w:tcPr>
          <w:p>
            <w:pPr>
              <w:spacing w:after="0" w:line="240"/>
            </w:pPr>
            <w:r>
              <w:rPr>
                <w:b/>
                <w:bCs/>
                <w:color w:val="FFFFFF"/>
                <w:sz w:val="19"/>
                <w:szCs w:val="19"/>
              </w:rPr>
              <w:t xml:space="preserve">Fix</w:t>
            </w:r>
          </w:p>
        </w:tc>
      </w:tr>
      <w:tr>
        <w:trPr>
          <w:cantSplit/>
          <w:tblHeader w:val="false"/>
        </w:trPr>
        <w:tc>
          <w:tcPr>
            <w:tcW w:type="dxa" w:w="3000"/>
            <w:vAlign w:val="center"/>
          </w:tcPr>
          <w:p>
            <w:pPr>
              <w:spacing w:after="0" w:line="240"/>
            </w:pPr>
            <w:r>
              <w:rPr>
                <w:b w:val="false"/>
                <w:bCs w:val="false"/>
                <w:color w:val="17212B"/>
                <w:sz w:val="19"/>
                <w:szCs w:val="19"/>
              </w:rPr>
              <w:t xml:space="preserve">Block threshold set at the 98th percentile of legitimate scores</w:t>
            </w:r>
          </w:p>
        </w:tc>
        <w:tc>
          <w:tcPr>
            <w:tcW w:type="dxa" w:w="3300"/>
            <w:vAlign w:val="center"/>
          </w:tcPr>
          <w:p>
            <w:pPr>
              <w:spacing w:after="0" w:line="240"/>
            </w:pPr>
            <w:r>
              <w:rPr>
                <w:b w:val="false"/>
                <w:bCs w:val="false"/>
                <w:color w:val="17212B"/>
                <w:sz w:val="19"/>
                <w:szCs w:val="19"/>
              </w:rPr>
              <w:t xml:space="preserve">Pinned FPR near 2% and capped precision at ~7% regardless of model quality</w:t>
            </w:r>
          </w:p>
        </w:tc>
        <w:tc>
          <w:tcPr>
            <w:tcW w:type="dxa" w:w="2820"/>
            <w:vAlign w:val="center"/>
          </w:tcPr>
          <w:p>
            <w:pPr>
              <w:spacing w:after="0" w:line="240"/>
            </w:pPr>
            <w:r>
              <w:rPr>
                <w:b w:val="false"/>
                <w:bCs w:val="false"/>
                <w:color w:val="17212B"/>
                <w:sz w:val="19"/>
                <w:szCs w:val="19"/>
              </w:rPr>
              <w:t xml:space="preserve">Swept for max F1 at deployment prevalence under an FPR ceiling</w:t>
            </w:r>
          </w:p>
        </w:tc>
      </w:tr>
      <w:tr>
        <w:trPr>
          <w:cantSplit/>
          <w:tblHeader w:val="false"/>
        </w:trPr>
        <w:tc>
          <w:tcPr>
            <w:tcW w:type="dxa" w:w="3000"/>
            <w:shd w:fill="F2F4F7" w:color="auto" w:val="clear"/>
            <w:vAlign w:val="center"/>
          </w:tcPr>
          <w:p>
            <w:pPr>
              <w:spacing w:after="0" w:line="240"/>
            </w:pPr>
            <w:r>
              <w:rPr>
                <w:b w:val="false"/>
                <w:bCs w:val="false"/>
                <w:color w:val="17212B"/>
                <w:sz w:val="19"/>
                <w:szCs w:val="19"/>
              </w:rPr>
              <w:t xml:space="preserve">Replay bundle labelled fresh-seed diffs as discovery evidence</w:t>
            </w:r>
          </w:p>
        </w:tc>
        <w:tc>
          <w:tcPr>
            <w:tcW w:type="dxa" w:w="3300"/>
            <w:shd w:fill="F2F4F7" w:color="auto" w:val="clear"/>
            <w:vAlign w:val="center"/>
          </w:tcPr>
          <w:p>
            <w:pPr>
              <w:spacing w:after="0" w:line="240"/>
            </w:pPr>
            <w:r>
              <w:rPr>
                <w:b w:val="false"/>
                <w:bCs w:val="false"/>
                <w:color w:val="17212B"/>
                <w:sz w:val="19"/>
                <w:szCs w:val="19"/>
              </w:rPr>
              <w:t xml:space="preserve">The stored scenario had changed zero decisions</w:t>
            </w:r>
          </w:p>
        </w:tc>
        <w:tc>
          <w:tcPr>
            <w:tcW w:type="dxa" w:w="2820"/>
            <w:shd w:fill="F2F4F7" w:color="auto" w:val="clear"/>
            <w:vAlign w:val="center"/>
          </w:tcPr>
          <w:p>
            <w:pPr>
              <w:spacing w:after="0" w:line="240"/>
            </w:pPr>
            <w:r>
              <w:rPr>
                <w:b w:val="false"/>
                <w:bCs w:val="false"/>
                <w:color w:val="17212B"/>
                <w:sz w:val="19"/>
                <w:szCs w:val="19"/>
              </w:rPr>
              <w:t xml:space="preserve">The two replays are measured and reported separately</w:t>
            </w:r>
          </w:p>
        </w:tc>
      </w:tr>
      <w:tr>
        <w:trPr>
          <w:cantSplit/>
          <w:tblHeader w:val="false"/>
        </w:trPr>
        <w:tc>
          <w:tcPr>
            <w:tcW w:type="dxa" w:w="3000"/>
            <w:vAlign w:val="center"/>
          </w:tcPr>
          <w:p>
            <w:pPr>
              <w:spacing w:after="0" w:line="240"/>
            </w:pPr>
            <w:r>
              <w:rPr>
                <w:b w:val="false"/>
                <w:bCs w:val="false"/>
                <w:color w:val="17212B"/>
                <w:sz w:val="19"/>
                <w:szCs w:val="19"/>
              </w:rPr>
              <w:t xml:space="preserve">Transaction country taken from the merchant's registered country</w:t>
            </w:r>
          </w:p>
        </w:tc>
        <w:tc>
          <w:tcPr>
            <w:tcW w:type="dxa" w:w="3300"/>
            <w:vAlign w:val="center"/>
          </w:tcPr>
          <w:p>
            <w:pPr>
              <w:spacing w:after="0" w:line="240"/>
            </w:pPr>
            <w:r>
              <w:rPr>
                <w:b w:val="false"/>
                <w:bCs w:val="false"/>
                <w:color w:val="17212B"/>
                <w:sz w:val="19"/>
                <w:szCs w:val="19"/>
              </w:rPr>
              <w:t xml:space="preserve">Cross-border spend became a LEGITIMATE-traffic signal; trained geo weight went negative</w:t>
            </w:r>
          </w:p>
        </w:tc>
        <w:tc>
          <w:tcPr>
            <w:tcW w:type="dxa" w:w="2820"/>
            <w:vAlign w:val="center"/>
          </w:tcPr>
          <w:p>
            <w:pPr>
              <w:spacing w:after="0" w:line="240"/>
            </w:pPr>
            <w:r>
              <w:rPr>
                <w:b w:val="false"/>
                <w:bCs w:val="false"/>
                <w:color w:val="17212B"/>
                <w:sz w:val="19"/>
                <w:szCs w:val="19"/>
              </w:rPr>
              <w:t xml:space="preserve">Cardholders have a home country; cross-border is the exception</w:t>
            </w:r>
          </w:p>
        </w:tc>
      </w:tr>
      <w:tr>
        <w:trPr>
          <w:cantSplit/>
          <w:tblHeader w:val="false"/>
        </w:trPr>
        <w:tc>
          <w:tcPr>
            <w:tcW w:type="dxa" w:w="3000"/>
            <w:shd w:fill="F2F4F7" w:color="auto" w:val="clear"/>
            <w:vAlign w:val="center"/>
          </w:tcPr>
          <w:p>
            <w:pPr>
              <w:spacing w:after="0" w:line="240"/>
            </w:pPr>
            <w:r>
              <w:rPr>
                <w:b w:val="false"/>
                <w:bCs w:val="false"/>
                <w:color w:val="17212B"/>
                <w:sz w:val="19"/>
                <w:szCs w:val="19"/>
              </w:rPr>
              <w:t xml:space="preserve">probe_count_24h counted every sub-$10 payment</w:t>
            </w:r>
          </w:p>
        </w:tc>
        <w:tc>
          <w:tcPr>
            <w:tcW w:type="dxa" w:w="3300"/>
            <w:shd w:fill="F2F4F7" w:color="auto" w:val="clear"/>
            <w:vAlign w:val="center"/>
          </w:tcPr>
          <w:p>
            <w:pPr>
              <w:spacing w:after="0" w:line="240"/>
            </w:pPr>
            <w:r>
              <w:rPr>
                <w:b w:val="false"/>
                <w:bCs w:val="false"/>
                <w:color w:val="17212B"/>
                <w:sz w:val="19"/>
                <w:szCs w:val="19"/>
              </w:rPr>
              <w:t xml:space="preserve">Collinear with raw volume; trained weight collapsed to 0.004</w:t>
            </w:r>
          </w:p>
        </w:tc>
        <w:tc>
          <w:tcPr>
            <w:tcW w:type="dxa" w:w="2820"/>
            <w:shd w:fill="F2F4F7" w:color="auto" w:val="clear"/>
            <w:vAlign w:val="center"/>
          </w:tcPr>
          <w:p>
            <w:pPr>
              <w:spacing w:after="0" w:line="240"/>
            </w:pPr>
            <w:r>
              <w:rPr>
                <w:b w:val="false"/>
                <w:bCs w:val="false"/>
                <w:color w:val="17212B"/>
                <w:sz w:val="19"/>
                <w:szCs w:val="19"/>
              </w:rPr>
              <w:t xml:space="preserve">Requires the same merchant; weight is now 1.33</w:t>
            </w:r>
          </w:p>
        </w:tc>
      </w:tr>
      <w:tr>
        <w:trPr>
          <w:cantSplit/>
          <w:tblHeader w:val="false"/>
        </w:trPr>
        <w:tc>
          <w:tcPr>
            <w:tcW w:type="dxa" w:w="3000"/>
            <w:vAlign w:val="center"/>
          </w:tcPr>
          <w:p>
            <w:pPr>
              <w:spacing w:after="0" w:line="240"/>
            </w:pPr>
            <w:r>
              <w:rPr>
                <w:b w:val="false"/>
                <w:bCs w:val="false"/>
                <w:color w:val="17212B"/>
                <w:sz w:val="19"/>
                <w:szCs w:val="19"/>
              </w:rPr>
              <w:t xml:space="preserve">Per-transaction latency measured with performance.now()</w:t>
            </w:r>
          </w:p>
        </w:tc>
        <w:tc>
          <w:tcPr>
            <w:tcW w:type="dxa" w:w="3300"/>
            <w:vAlign w:val="center"/>
          </w:tcPr>
          <w:p>
            <w:pPr>
              <w:spacing w:after="0" w:line="240"/>
            </w:pPr>
            <w:r>
              <w:rPr>
                <w:b w:val="false"/>
                <w:bCs w:val="false"/>
                <w:color w:val="17212B"/>
                <w:sz w:val="19"/>
                <w:szCs w:val="19"/>
              </w:rPr>
              <w:t xml:space="preserve">Resolution coarser than one scoring pass; every percentile reported as zero</w:t>
            </w:r>
          </w:p>
        </w:tc>
        <w:tc>
          <w:tcPr>
            <w:tcW w:type="dxa" w:w="2820"/>
            <w:vAlign w:val="center"/>
          </w:tcPr>
          <w:p>
            <w:pPr>
              <w:spacing w:after="0" w:line="240"/>
            </w:pPr>
            <w:r>
              <w:rPr>
                <w:b w:val="false"/>
                <w:bCs w:val="false"/>
                <w:color w:val="17212B"/>
                <w:sz w:val="19"/>
                <w:szCs w:val="19"/>
              </w:rPr>
              <w:t xml:space="preserve">Measured in hrtime nanoseconds</w:t>
            </w:r>
          </w:p>
        </w:tc>
      </w:tr>
    </w:tbl>
    <w:p>
      <w:r>
        <w:br w:type="page"/>
      </w:r>
    </w:p>
    <w:p>
      <w:pPr>
        <w:pStyle w:val="Heading1"/>
      </w:pPr>
      <w:r>
        <w:t xml:space="preserve">13. Security and Responsible AI</w:t>
      </w:r>
    </w:p>
    <w:p>
      <w:r>
        <w:t xml:space="preserve">All entities, credentials, merchants, devices, and payment events are synthetic. The Arena never connects to a production payment system.</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1950"/>
        <w:gridCol w:w="4700"/>
        <w:gridCol w:w="2470"/>
      </w:tblGrid>
      <w:tr>
        <w:trPr>
          <w:cantSplit/>
          <w:tblHeader/>
        </w:trPr>
        <w:tc>
          <w:tcPr>
            <w:tcW w:type="dxa" w:w="1950"/>
            <w:shd w:fill="1A1A1A" w:color="auto" w:val="clear"/>
            <w:vAlign w:val="center"/>
          </w:tcPr>
          <w:p>
            <w:pPr>
              <w:spacing w:after="0" w:line="240"/>
            </w:pPr>
            <w:r>
              <w:rPr>
                <w:b/>
                <w:bCs/>
                <w:color w:val="FFFFFF"/>
                <w:sz w:val="19"/>
                <w:szCs w:val="19"/>
              </w:rPr>
              <w:t xml:space="preserve">Abuse scenario</w:t>
            </w:r>
          </w:p>
        </w:tc>
        <w:tc>
          <w:tcPr>
            <w:tcW w:type="dxa" w:w="4700"/>
            <w:shd w:fill="1A1A1A" w:color="auto" w:val="clear"/>
            <w:vAlign w:val="center"/>
          </w:tcPr>
          <w:p>
            <w:pPr>
              <w:spacing w:after="0" w:line="240"/>
            </w:pPr>
            <w:r>
              <w:rPr>
                <w:b/>
                <w:bCs/>
                <w:color w:val="FFFFFF"/>
                <w:sz w:val="19"/>
                <w:szCs w:val="19"/>
              </w:rPr>
              <w:t xml:space="preserve">Mitigation</w:t>
            </w:r>
          </w:p>
        </w:tc>
        <w:tc>
          <w:tcPr>
            <w:tcW w:type="dxa" w:w="2470"/>
            <w:shd w:fill="1A1A1A" w:color="auto" w:val="clear"/>
            <w:vAlign w:val="center"/>
          </w:tcPr>
          <w:p>
            <w:pPr>
              <w:spacing w:after="0" w:line="240"/>
            </w:pPr>
            <w:r>
              <w:rPr>
                <w:b/>
                <w:bCs/>
                <w:color w:val="FFFFFF"/>
                <w:sz w:val="19"/>
                <w:szCs w:val="19"/>
              </w:rPr>
              <w:t xml:space="preserve">Evidence</w:t>
            </w:r>
          </w:p>
        </w:tc>
      </w:tr>
      <w:tr>
        <w:trPr>
          <w:cantSplit/>
          <w:tblHeader w:val="false"/>
        </w:trPr>
        <w:tc>
          <w:tcPr>
            <w:tcW w:type="dxa" w:w="1950"/>
            <w:vAlign w:val="center"/>
          </w:tcPr>
          <w:p>
            <w:pPr>
              <w:spacing w:after="0" w:line="240"/>
            </w:pPr>
            <w:r>
              <w:rPr>
                <w:b w:val="false"/>
                <w:bCs w:val="false"/>
                <w:color w:val="17212B"/>
                <w:sz w:val="19"/>
                <w:szCs w:val="19"/>
              </w:rPr>
              <w:t xml:space="preserve">Prompt injection</w:t>
            </w:r>
          </w:p>
        </w:tc>
        <w:tc>
          <w:tcPr>
            <w:tcW w:type="dxa" w:w="4700"/>
            <w:vAlign w:val="center"/>
          </w:tcPr>
          <w:p>
            <w:pPr>
              <w:spacing w:after="0" w:line="240"/>
            </w:pPr>
            <w:r>
              <w:rPr>
                <w:b w:val="false"/>
                <w:bCs w:val="false"/>
                <w:color w:val="17212B"/>
                <w:sz w:val="19"/>
                <w:szCs w:val="19"/>
              </w:rPr>
              <w:t xml:space="preserve">Scrub untrusted text and isolate data tags</w:t>
            </w:r>
          </w:p>
        </w:tc>
        <w:tc>
          <w:tcPr>
            <w:tcW w:type="dxa" w:w="2470"/>
            <w:vAlign w:val="center"/>
          </w:tcPr>
          <w:p>
            <w:pPr>
              <w:spacing w:after="0" w:line="240"/>
            </w:pPr>
            <w:r>
              <w:rPr>
                <w:b w:val="false"/>
                <w:bCs w:val="false"/>
                <w:color w:val="17212B"/>
                <w:sz w:val="19"/>
                <w:szCs w:val="19"/>
              </w:rPr>
              <w:t xml:space="preserve">Injection tests</w:t>
            </w:r>
          </w:p>
        </w:tc>
      </w:tr>
      <w:tr>
        <w:trPr>
          <w:cantSplit/>
          <w:tblHeader w:val="false"/>
        </w:trPr>
        <w:tc>
          <w:tcPr>
            <w:tcW w:type="dxa" w:w="1950"/>
            <w:shd w:fill="F2F4F7" w:color="auto" w:val="clear"/>
            <w:vAlign w:val="center"/>
          </w:tcPr>
          <w:p>
            <w:pPr>
              <w:spacing w:after="0" w:line="240"/>
            </w:pPr>
            <w:r>
              <w:rPr>
                <w:b w:val="false"/>
                <w:bCs w:val="false"/>
                <w:color w:val="17212B"/>
                <w:sz w:val="19"/>
                <w:szCs w:val="19"/>
              </w:rPr>
              <w:t xml:space="preserve">Schema bypass</w:t>
            </w:r>
          </w:p>
        </w:tc>
        <w:tc>
          <w:tcPr>
            <w:tcW w:type="dxa" w:w="4700"/>
            <w:shd w:fill="F2F4F7" w:color="auto" w:val="clear"/>
            <w:vAlign w:val="center"/>
          </w:tcPr>
          <w:p>
            <w:pPr>
              <w:spacing w:after="0" w:line="240"/>
            </w:pPr>
            <w:r>
              <w:rPr>
                <w:b w:val="false"/>
                <w:bCs w:val="false"/>
                <w:color w:val="17212B"/>
                <w:sz w:val="19"/>
                <w:szCs w:val="19"/>
              </w:rPr>
              <w:t xml:space="preserve">Strict Zod contracts and allowlisted families</w:t>
            </w:r>
          </w:p>
        </w:tc>
        <w:tc>
          <w:tcPr>
            <w:tcW w:type="dxa" w:w="2470"/>
            <w:shd w:fill="F2F4F7" w:color="auto" w:val="clear"/>
            <w:vAlign w:val="center"/>
          </w:tcPr>
          <w:p>
            <w:pPr>
              <w:spacing w:after="0" w:line="240"/>
            </w:pPr>
            <w:r>
              <w:rPr>
                <w:b w:val="false"/>
                <w:bCs w:val="false"/>
                <w:color w:val="17212B"/>
                <w:sz w:val="19"/>
                <w:szCs w:val="19"/>
              </w:rPr>
              <w:t xml:space="preserve">Genome tests</w:t>
            </w:r>
          </w:p>
        </w:tc>
      </w:tr>
      <w:tr>
        <w:trPr>
          <w:cantSplit/>
          <w:tblHeader w:val="false"/>
        </w:trPr>
        <w:tc>
          <w:tcPr>
            <w:tcW w:type="dxa" w:w="1950"/>
            <w:vAlign w:val="center"/>
          </w:tcPr>
          <w:p>
            <w:pPr>
              <w:spacing w:after="0" w:line="240"/>
            </w:pPr>
            <w:r>
              <w:rPr>
                <w:b w:val="false"/>
                <w:bCs w:val="false"/>
                <w:color w:val="17212B"/>
                <w:sz w:val="19"/>
                <w:szCs w:val="19"/>
              </w:rPr>
              <w:t xml:space="preserve">Real credentials</w:t>
            </w:r>
          </w:p>
        </w:tc>
        <w:tc>
          <w:tcPr>
            <w:tcW w:type="dxa" w:w="4700"/>
            <w:vAlign w:val="center"/>
          </w:tcPr>
          <w:p>
            <w:pPr>
              <w:spacing w:after="0" w:line="240"/>
            </w:pPr>
            <w:r>
              <w:rPr>
                <w:b w:val="false"/>
                <w:bCs w:val="false"/>
                <w:color w:val="17212B"/>
                <w:sz w:val="19"/>
                <w:szCs w:val="19"/>
              </w:rPr>
              <w:t xml:space="preserve">Reject PAN, CVV, OTP, and IBAN patterns</w:t>
            </w:r>
          </w:p>
        </w:tc>
        <w:tc>
          <w:tcPr>
            <w:tcW w:type="dxa" w:w="2470"/>
            <w:vAlign w:val="center"/>
          </w:tcPr>
          <w:p>
            <w:pPr>
              <w:spacing w:after="0" w:line="240"/>
            </w:pPr>
            <w:r>
              <w:rPr>
                <w:b w:val="false"/>
                <w:bCs w:val="false"/>
                <w:color w:val="17212B"/>
                <w:sz w:val="19"/>
                <w:szCs w:val="19"/>
              </w:rPr>
              <w:t xml:space="preserve">Credential tests</w:t>
            </w:r>
          </w:p>
        </w:tc>
      </w:tr>
      <w:tr>
        <w:trPr>
          <w:cantSplit/>
          <w:tblHeader w:val="false"/>
        </w:trPr>
        <w:tc>
          <w:tcPr>
            <w:tcW w:type="dxa" w:w="1950"/>
            <w:shd w:fill="F2F4F7" w:color="auto" w:val="clear"/>
            <w:vAlign w:val="center"/>
          </w:tcPr>
          <w:p>
            <w:pPr>
              <w:spacing w:after="0" w:line="240"/>
            </w:pPr>
            <w:r>
              <w:rPr>
                <w:b w:val="false"/>
                <w:bCs w:val="false"/>
                <w:color w:val="17212B"/>
                <w:sz w:val="19"/>
                <w:szCs w:val="19"/>
              </w:rPr>
              <w:t xml:space="preserve">Fake metrics</w:t>
            </w:r>
          </w:p>
        </w:tc>
        <w:tc>
          <w:tcPr>
            <w:tcW w:type="dxa" w:w="4700"/>
            <w:shd w:fill="F2F4F7" w:color="auto" w:val="clear"/>
            <w:vAlign w:val="center"/>
          </w:tcPr>
          <w:p>
            <w:pPr>
              <w:spacing w:after="0" w:line="240"/>
            </w:pPr>
            <w:r>
              <w:rPr>
                <w:b w:val="false"/>
                <w:bCs w:val="false"/>
                <w:color w:val="17212B"/>
                <w:sz w:val="19"/>
                <w:szCs w:val="19"/>
              </w:rPr>
              <w:t xml:space="preserve">Strip unknown Blue fields; Referee computes truth</w:t>
            </w:r>
          </w:p>
        </w:tc>
        <w:tc>
          <w:tcPr>
            <w:tcW w:type="dxa" w:w="2470"/>
            <w:shd w:fill="F2F4F7" w:color="auto" w:val="clear"/>
            <w:vAlign w:val="center"/>
          </w:tcPr>
          <w:p>
            <w:pPr>
              <w:spacing w:after="0" w:line="240"/>
            </w:pPr>
            <w:r>
              <w:rPr>
                <w:b w:val="false"/>
                <w:bCs w:val="false"/>
                <w:color w:val="17212B"/>
                <w:sz w:val="19"/>
                <w:szCs w:val="19"/>
              </w:rPr>
              <w:t xml:space="preserve">Metric injection test</w:t>
            </w:r>
          </w:p>
        </w:tc>
      </w:tr>
      <w:tr>
        <w:trPr>
          <w:cantSplit/>
          <w:tblHeader w:val="false"/>
        </w:trPr>
        <w:tc>
          <w:tcPr>
            <w:tcW w:type="dxa" w:w="1950"/>
            <w:vAlign w:val="center"/>
          </w:tcPr>
          <w:p>
            <w:pPr>
              <w:spacing w:after="0" w:line="240"/>
            </w:pPr>
            <w:r>
              <w:rPr>
                <w:b w:val="false"/>
                <w:bCs w:val="false"/>
                <w:color w:val="17212B"/>
                <w:sz w:val="19"/>
                <w:szCs w:val="19"/>
              </w:rPr>
              <w:t xml:space="preserve">Provider misuse</w:t>
            </w:r>
          </w:p>
        </w:tc>
        <w:tc>
          <w:tcPr>
            <w:tcW w:type="dxa" w:w="4700"/>
            <w:vAlign w:val="center"/>
          </w:tcPr>
          <w:p>
            <w:pPr>
              <w:spacing w:after="0" w:line="240"/>
            </w:pPr>
            <w:r>
              <w:rPr>
                <w:b w:val="false"/>
                <w:bCs w:val="false"/>
                <w:color w:val="17212B"/>
                <w:sz w:val="19"/>
                <w:szCs w:val="19"/>
              </w:rPr>
              <w:t xml:space="preserve">Allow HTTPS or local development only</w:t>
            </w:r>
          </w:p>
        </w:tc>
        <w:tc>
          <w:tcPr>
            <w:tcW w:type="dxa" w:w="2470"/>
            <w:vAlign w:val="center"/>
          </w:tcPr>
          <w:p>
            <w:pPr>
              <w:spacing w:after="0" w:line="240"/>
            </w:pPr>
            <w:r>
              <w:rPr>
                <w:b w:val="false"/>
                <w:bCs w:val="false"/>
                <w:color w:val="17212B"/>
                <w:sz w:val="19"/>
                <w:szCs w:val="19"/>
              </w:rPr>
              <w:t xml:space="preserve">Provider URL test</w:t>
            </w:r>
          </w:p>
        </w:tc>
      </w:tr>
      <w:tr>
        <w:trPr>
          <w:cantSplit/>
          <w:tblHeader w:val="false"/>
        </w:trPr>
        <w:tc>
          <w:tcPr>
            <w:tcW w:type="dxa" w:w="1950"/>
            <w:shd w:fill="F2F4F7" w:color="auto" w:val="clear"/>
            <w:vAlign w:val="center"/>
          </w:tcPr>
          <w:p>
            <w:pPr>
              <w:spacing w:after="0" w:line="240"/>
            </w:pPr>
            <w:r>
              <w:rPr>
                <w:b w:val="false"/>
                <w:bCs w:val="false"/>
                <w:color w:val="17212B"/>
                <w:sz w:val="19"/>
                <w:szCs w:val="19"/>
              </w:rPr>
              <w:t xml:space="preserve">Provider outage</w:t>
            </w:r>
          </w:p>
        </w:tc>
        <w:tc>
          <w:tcPr>
            <w:tcW w:type="dxa" w:w="4700"/>
            <w:shd w:fill="F2F4F7" w:color="auto" w:val="clear"/>
            <w:vAlign w:val="center"/>
          </w:tcPr>
          <w:p>
            <w:pPr>
              <w:spacing w:after="0" w:line="240"/>
            </w:pPr>
            <w:r>
              <w:rPr>
                <w:b w:val="false"/>
                <w:bCs w:val="false"/>
                <w:color w:val="17212B"/>
                <w:sz w:val="19"/>
                <w:szCs w:val="19"/>
              </w:rPr>
              <w:t xml:space="preserve">Use a deterministic reviewed fallback</w:t>
            </w:r>
          </w:p>
        </w:tc>
        <w:tc>
          <w:tcPr>
            <w:tcW w:type="dxa" w:w="2470"/>
            <w:shd w:fill="F2F4F7" w:color="auto" w:val="clear"/>
            <w:vAlign w:val="center"/>
          </w:tcPr>
          <w:p>
            <w:pPr>
              <w:spacing w:after="0" w:line="240"/>
            </w:pPr>
            <w:r>
              <w:rPr>
                <w:b w:val="false"/>
                <w:bCs w:val="false"/>
                <w:color w:val="17212B"/>
                <w:sz w:val="19"/>
                <w:szCs w:val="19"/>
              </w:rPr>
              <w:t xml:space="preserve">Timeout test</w:t>
            </w:r>
          </w:p>
        </w:tc>
      </w:tr>
      <w:tr>
        <w:trPr>
          <w:cantSplit/>
          <w:tblHeader w:val="false"/>
        </w:trPr>
        <w:tc>
          <w:tcPr>
            <w:tcW w:type="dxa" w:w="1950"/>
            <w:vAlign w:val="center"/>
          </w:tcPr>
          <w:p>
            <w:pPr>
              <w:spacing w:after="0" w:line="240"/>
            </w:pPr>
            <w:r>
              <w:rPr>
                <w:b w:val="false"/>
                <w:bCs w:val="false"/>
                <w:color w:val="17212B"/>
                <w:sz w:val="19"/>
                <w:szCs w:val="19"/>
              </w:rPr>
              <w:t xml:space="preserve">Oversized request</w:t>
            </w:r>
          </w:p>
        </w:tc>
        <w:tc>
          <w:tcPr>
            <w:tcW w:type="dxa" w:w="4700"/>
            <w:vAlign w:val="center"/>
          </w:tcPr>
          <w:p>
            <w:pPr>
              <w:spacing w:after="0" w:line="240"/>
            </w:pPr>
            <w:r>
              <w:rPr>
                <w:b w:val="false"/>
                <w:bCs w:val="false"/>
                <w:color w:val="17212B"/>
                <w:sz w:val="19"/>
                <w:szCs w:val="19"/>
              </w:rPr>
              <w:t xml:space="preserve">Reject requests above the fixed limit</w:t>
            </w:r>
          </w:p>
        </w:tc>
        <w:tc>
          <w:tcPr>
            <w:tcW w:type="dxa" w:w="2470"/>
            <w:vAlign w:val="center"/>
          </w:tcPr>
          <w:p>
            <w:pPr>
              <w:spacing w:after="0" w:line="240"/>
            </w:pPr>
            <w:r>
              <w:rPr>
                <w:b w:val="false"/>
                <w:bCs w:val="false"/>
                <w:color w:val="17212B"/>
                <w:sz w:val="19"/>
                <w:szCs w:val="19"/>
              </w:rPr>
              <w:t xml:space="preserve">Request-size test</w:t>
            </w:r>
          </w:p>
        </w:tc>
      </w:tr>
      <w:tr>
        <w:trPr>
          <w:cantSplit/>
          <w:tblHeader w:val="false"/>
        </w:trPr>
        <w:tc>
          <w:tcPr>
            <w:tcW w:type="dxa" w:w="1950"/>
            <w:shd w:fill="F2F4F7" w:color="auto" w:val="clear"/>
            <w:vAlign w:val="center"/>
          </w:tcPr>
          <w:p>
            <w:pPr>
              <w:spacing w:after="0" w:line="240"/>
            </w:pPr>
            <w:r>
              <w:rPr>
                <w:b w:val="false"/>
                <w:bCs w:val="false"/>
                <w:color w:val="17212B"/>
                <w:sz w:val="19"/>
                <w:szCs w:val="19"/>
              </w:rPr>
              <w:t xml:space="preserve">Operational fraud output</w:t>
            </w:r>
          </w:p>
        </w:tc>
        <w:tc>
          <w:tcPr>
            <w:tcW w:type="dxa" w:w="4700"/>
            <w:shd w:fill="F2F4F7" w:color="auto" w:val="clear"/>
            <w:vAlign w:val="center"/>
          </w:tcPr>
          <w:p>
            <w:pPr>
              <w:spacing w:after="0" w:line="240"/>
            </w:pPr>
            <w:r>
              <w:rPr>
                <w:b w:val="false"/>
                <w:bCs w:val="false"/>
                <w:color w:val="17212B"/>
                <w:sz w:val="19"/>
                <w:szCs w:val="19"/>
              </w:rPr>
              <w:t xml:space="preserve">Expose bounded behavior, not playbooks</w:t>
            </w:r>
          </w:p>
        </w:tc>
        <w:tc>
          <w:tcPr>
            <w:tcW w:type="dxa" w:w="2470"/>
            <w:shd w:fill="F2F4F7" w:color="auto" w:val="clear"/>
            <w:vAlign w:val="center"/>
          </w:tcPr>
          <w:p>
            <w:pPr>
              <w:spacing w:after="0" w:line="240"/>
            </w:pPr>
            <w:r>
              <w:rPr>
                <w:b w:val="false"/>
                <w:bCs w:val="false"/>
                <w:color w:val="17212B"/>
                <w:sz w:val="19"/>
                <w:szCs w:val="19"/>
              </w:rPr>
              <w:t xml:space="preserve">Genome contract</w:t>
            </w:r>
          </w:p>
        </w:tc>
      </w:tr>
    </w:tbl>
    <w:p>
      <w:pPr>
        <w:shd w:fill="EAF3FA" w:color="auto" w:val="clear"/>
        <w:spacing w:after="180" w:before="100"/>
        <w:ind w:left="160" w:right="160"/>
      </w:pPr>
      <w:r>
        <w:rPr>
          <w:b/>
          <w:bCs/>
          <w:color w:val="1A1A1A"/>
        </w:rPr>
        <w:t xml:space="preserve">SAFETY BOUNDARY: </w:t>
      </w:r>
      <w:r>
        <w:t xml:space="preserve">The system builds attacks only inside its own synthetic world.</w:t>
      </w:r>
    </w:p>
    <w:p>
      <w:r>
        <w:br w:type="page"/>
      </w:r>
    </w:p>
    <w:p>
      <w:pPr>
        <w:pStyle w:val="Heading1"/>
      </w:pPr>
      <w:r>
        <w:t xml:space="preserve">14. Scalability</w:t>
      </w:r>
    </w:p>
    <w:p>
      <w:r>
        <w:t xml:space="preserve">The benchmark used five trials per scale on v25.1.0 and darwin-arm64.</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1400"/>
        <w:gridCol w:w="1720"/>
        <w:gridCol w:w="1720"/>
        <w:gridCol w:w="1720"/>
        <w:gridCol w:w="1200"/>
        <w:gridCol w:w="1360"/>
      </w:tblGrid>
      <w:tr>
        <w:trPr>
          <w:cantSplit/>
          <w:tblHeader/>
        </w:trPr>
        <w:tc>
          <w:tcPr>
            <w:tcW w:type="dxa" w:w="1400"/>
            <w:shd w:fill="1A1A1A" w:color="auto" w:val="clear"/>
            <w:vAlign w:val="center"/>
          </w:tcPr>
          <w:p>
            <w:pPr>
              <w:spacing w:after="0" w:line="240"/>
            </w:pPr>
            <w:r>
              <w:rPr>
                <w:b/>
                <w:bCs/>
                <w:color w:val="FFFFFF"/>
                <w:sz w:val="19"/>
                <w:szCs w:val="19"/>
              </w:rPr>
              <w:t xml:space="preserve">Transactions</w:t>
            </w:r>
          </w:p>
        </w:tc>
        <w:tc>
          <w:tcPr>
            <w:tcW w:type="dxa" w:w="1720"/>
            <w:shd w:fill="1A1A1A" w:color="auto" w:val="clear"/>
            <w:vAlign w:val="center"/>
          </w:tcPr>
          <w:p>
            <w:pPr>
              <w:spacing w:after="0" w:line="240"/>
            </w:pPr>
            <w:r>
              <w:rPr>
                <w:b/>
                <w:bCs/>
                <w:color w:val="FFFFFF"/>
                <w:sz w:val="19"/>
                <w:szCs w:val="19"/>
              </w:rPr>
              <w:t xml:space="preserve">Generation</w:t>
            </w:r>
          </w:p>
        </w:tc>
        <w:tc>
          <w:tcPr>
            <w:tcW w:type="dxa" w:w="1720"/>
            <w:shd w:fill="1A1A1A" w:color="auto" w:val="clear"/>
            <w:vAlign w:val="center"/>
          </w:tcPr>
          <w:p>
            <w:pPr>
              <w:spacing w:after="0" w:line="240"/>
            </w:pPr>
            <w:r>
              <w:rPr>
                <w:b/>
                <w:bCs/>
                <w:color w:val="FFFFFF"/>
                <w:sz w:val="19"/>
                <w:szCs w:val="19"/>
              </w:rPr>
              <w:t xml:space="preserve">Feature pass</w:t>
            </w:r>
          </w:p>
        </w:tc>
        <w:tc>
          <w:tcPr>
            <w:tcW w:type="dxa" w:w="1720"/>
            <w:shd w:fill="1A1A1A" w:color="auto" w:val="clear"/>
            <w:vAlign w:val="center"/>
          </w:tcPr>
          <w:p>
            <w:pPr>
              <w:spacing w:after="0" w:line="240"/>
            </w:pPr>
            <w:r>
              <w:rPr>
                <w:b/>
                <w:bCs/>
                <w:color w:val="FFFFFF"/>
                <w:sz w:val="19"/>
                <w:szCs w:val="19"/>
              </w:rPr>
              <w:t xml:space="preserve">Scoring</w:t>
            </w:r>
          </w:p>
        </w:tc>
        <w:tc>
          <w:tcPr>
            <w:tcW w:type="dxa" w:w="1200"/>
            <w:shd w:fill="1A1A1A" w:color="auto" w:val="clear"/>
            <w:vAlign w:val="center"/>
          </w:tcPr>
          <w:p>
            <w:pPr>
              <w:spacing w:after="0" w:line="240"/>
            </w:pPr>
            <w:r>
              <w:rPr>
                <w:b/>
                <w:bCs/>
                <w:color w:val="FFFFFF"/>
                <w:sz w:val="19"/>
                <w:szCs w:val="19"/>
              </w:rPr>
              <w:t xml:space="preserve">RSS</w:t>
            </w:r>
          </w:p>
        </w:tc>
        <w:tc>
          <w:tcPr>
            <w:tcW w:type="dxa" w:w="1360"/>
            <w:shd w:fill="1A1A1A" w:color="auto" w:val="clear"/>
            <w:vAlign w:val="center"/>
          </w:tcPr>
          <w:p>
            <w:pPr>
              <w:spacing w:after="0" w:line="240"/>
            </w:pPr>
            <w:r>
              <w:rPr>
                <w:b/>
                <w:bCs/>
                <w:color w:val="FFFFFF"/>
                <w:sz w:val="19"/>
                <w:szCs w:val="19"/>
              </w:rPr>
              <w:t xml:space="preserve">Duration</w:t>
            </w:r>
          </w:p>
        </w:tc>
      </w:tr>
      <w:tr>
        <w:trPr>
          <w:cantSplit/>
          <w:tblHeader w:val="false"/>
        </w:trPr>
        <w:tc>
          <w:tcPr>
            <w:tcW w:type="dxa" w:w="1400"/>
            <w:vAlign w:val="center"/>
          </w:tcPr>
          <w:p>
            <w:pPr>
              <w:spacing w:after="0" w:line="240"/>
            </w:pPr>
            <w:r>
              <w:rPr>
                <w:b w:val="false"/>
                <w:bCs w:val="false"/>
                <w:color w:val="17212B"/>
                <w:sz w:val="19"/>
                <w:szCs w:val="19"/>
              </w:rPr>
              <w:t xml:space="preserve">1,053</w:t>
            </w:r>
          </w:p>
        </w:tc>
        <w:tc>
          <w:tcPr>
            <w:tcW w:type="dxa" w:w="1720"/>
            <w:vAlign w:val="center"/>
          </w:tcPr>
          <w:p>
            <w:pPr>
              <w:spacing w:after="0" w:line="240"/>
            </w:pPr>
            <w:r>
              <w:rPr>
                <w:b w:val="false"/>
                <w:bCs w:val="false"/>
                <w:color w:val="17212B"/>
                <w:sz w:val="19"/>
                <w:szCs w:val="19"/>
              </w:rPr>
              <w:t xml:space="preserve">2,117,115 tx/s</w:t>
            </w:r>
          </w:p>
        </w:tc>
        <w:tc>
          <w:tcPr>
            <w:tcW w:type="dxa" w:w="1720"/>
            <w:vAlign w:val="center"/>
          </w:tcPr>
          <w:p>
            <w:pPr>
              <w:spacing w:after="0" w:line="240"/>
            </w:pPr>
            <w:r>
              <w:rPr>
                <w:b w:val="false"/>
                <w:bCs w:val="false"/>
                <w:color w:val="17212B"/>
                <w:sz w:val="19"/>
                <w:szCs w:val="19"/>
              </w:rPr>
              <w:t xml:space="preserve">327,002 tx/s</w:t>
            </w:r>
          </w:p>
        </w:tc>
        <w:tc>
          <w:tcPr>
            <w:tcW w:type="dxa" w:w="1720"/>
            <w:vAlign w:val="center"/>
          </w:tcPr>
          <w:p>
            <w:pPr>
              <w:spacing w:after="0" w:line="240"/>
            </w:pPr>
            <w:r>
              <w:rPr>
                <w:b w:val="false"/>
                <w:bCs w:val="false"/>
                <w:color w:val="17212B"/>
                <w:sz w:val="19"/>
                <w:szCs w:val="19"/>
              </w:rPr>
              <w:t xml:space="preserve">1,009,185 tx/s</w:t>
            </w:r>
          </w:p>
        </w:tc>
        <w:tc>
          <w:tcPr>
            <w:tcW w:type="dxa" w:w="1200"/>
            <w:vAlign w:val="center"/>
          </w:tcPr>
          <w:p>
            <w:pPr>
              <w:spacing w:after="0" w:line="240"/>
            </w:pPr>
            <w:r>
              <w:rPr>
                <w:b w:val="false"/>
                <w:bCs w:val="false"/>
                <w:color w:val="17212B"/>
                <w:sz w:val="19"/>
                <w:szCs w:val="19"/>
              </w:rPr>
              <w:t xml:space="preserve">104 MB</w:t>
            </w:r>
          </w:p>
        </w:tc>
        <w:tc>
          <w:tcPr>
            <w:tcW w:type="dxa" w:w="1360"/>
            <w:vAlign w:val="center"/>
          </w:tcPr>
          <w:p>
            <w:pPr>
              <w:spacing w:after="0" w:line="240"/>
            </w:pPr>
            <w:r>
              <w:rPr>
                <w:b w:val="false"/>
                <w:bCs w:val="false"/>
                <w:color w:val="17212B"/>
                <w:sz w:val="19"/>
                <w:szCs w:val="19"/>
              </w:rPr>
              <w:t xml:space="preserve">5 ms</w:t>
            </w:r>
          </w:p>
        </w:tc>
      </w:tr>
      <w:tr>
        <w:trPr>
          <w:cantSplit/>
          <w:tblHeader w:val="false"/>
        </w:trPr>
        <w:tc>
          <w:tcPr>
            <w:tcW w:type="dxa" w:w="1400"/>
            <w:shd w:fill="F2F4F7" w:color="auto" w:val="clear"/>
            <w:vAlign w:val="center"/>
          </w:tcPr>
          <w:p>
            <w:pPr>
              <w:spacing w:after="0" w:line="240"/>
            </w:pPr>
            <w:r>
              <w:rPr>
                <w:b w:val="false"/>
                <w:bCs w:val="false"/>
                <w:color w:val="17212B"/>
                <w:sz w:val="19"/>
                <w:szCs w:val="19"/>
              </w:rPr>
              <w:t xml:space="preserve">10,232</w:t>
            </w:r>
          </w:p>
        </w:tc>
        <w:tc>
          <w:tcPr>
            <w:tcW w:type="dxa" w:w="1720"/>
            <w:shd w:fill="F2F4F7" w:color="auto" w:val="clear"/>
            <w:vAlign w:val="center"/>
          </w:tcPr>
          <w:p>
            <w:pPr>
              <w:spacing w:after="0" w:line="240"/>
            </w:pPr>
            <w:r>
              <w:rPr>
                <w:b w:val="false"/>
                <w:bCs w:val="false"/>
                <w:color w:val="17212B"/>
                <w:sz w:val="19"/>
                <w:szCs w:val="19"/>
              </w:rPr>
              <w:t xml:space="preserve">1,963,178 tx/s</w:t>
            </w:r>
          </w:p>
        </w:tc>
        <w:tc>
          <w:tcPr>
            <w:tcW w:type="dxa" w:w="1720"/>
            <w:shd w:fill="F2F4F7" w:color="auto" w:val="clear"/>
            <w:vAlign w:val="center"/>
          </w:tcPr>
          <w:p>
            <w:pPr>
              <w:spacing w:after="0" w:line="240"/>
            </w:pPr>
            <w:r>
              <w:rPr>
                <w:b w:val="false"/>
                <w:bCs w:val="false"/>
                <w:color w:val="17212B"/>
                <w:sz w:val="19"/>
                <w:szCs w:val="19"/>
              </w:rPr>
              <w:t xml:space="preserve">257,415 tx/s</w:t>
            </w:r>
          </w:p>
        </w:tc>
        <w:tc>
          <w:tcPr>
            <w:tcW w:type="dxa" w:w="1720"/>
            <w:shd w:fill="F2F4F7" w:color="auto" w:val="clear"/>
            <w:vAlign w:val="center"/>
          </w:tcPr>
          <w:p>
            <w:pPr>
              <w:spacing w:after="0" w:line="240"/>
            </w:pPr>
            <w:r>
              <w:rPr>
                <w:b w:val="false"/>
                <w:bCs w:val="false"/>
                <w:color w:val="17212B"/>
                <w:sz w:val="19"/>
                <w:szCs w:val="19"/>
              </w:rPr>
              <w:t xml:space="preserve">1,606,311 tx/s</w:t>
            </w:r>
          </w:p>
        </w:tc>
        <w:tc>
          <w:tcPr>
            <w:tcW w:type="dxa" w:w="1200"/>
            <w:shd w:fill="F2F4F7" w:color="auto" w:val="clear"/>
            <w:vAlign w:val="center"/>
          </w:tcPr>
          <w:p>
            <w:pPr>
              <w:spacing w:after="0" w:line="240"/>
            </w:pPr>
            <w:r>
              <w:rPr>
                <w:b w:val="false"/>
                <w:bCs w:val="false"/>
                <w:color w:val="17212B"/>
                <w:sz w:val="19"/>
                <w:szCs w:val="19"/>
              </w:rPr>
              <w:t xml:space="preserve">218 MB</w:t>
            </w:r>
          </w:p>
        </w:tc>
        <w:tc>
          <w:tcPr>
            <w:tcW w:type="dxa" w:w="1360"/>
            <w:shd w:fill="F2F4F7" w:color="auto" w:val="clear"/>
            <w:vAlign w:val="center"/>
          </w:tcPr>
          <w:p>
            <w:pPr>
              <w:spacing w:after="0" w:line="240"/>
            </w:pPr>
            <w:r>
              <w:rPr>
                <w:b w:val="false"/>
                <w:bCs w:val="false"/>
                <w:color w:val="17212B"/>
                <w:sz w:val="19"/>
                <w:szCs w:val="19"/>
              </w:rPr>
              <w:t xml:space="preserve">54 ms</w:t>
            </w:r>
          </w:p>
        </w:tc>
      </w:tr>
      <w:tr>
        <w:trPr>
          <w:cantSplit/>
          <w:tblHeader w:val="false"/>
        </w:trPr>
        <w:tc>
          <w:tcPr>
            <w:tcW w:type="dxa" w:w="1400"/>
            <w:vAlign w:val="center"/>
          </w:tcPr>
          <w:p>
            <w:pPr>
              <w:spacing w:after="0" w:line="240"/>
            </w:pPr>
            <w:r>
              <w:rPr>
                <w:b w:val="false"/>
                <w:bCs w:val="false"/>
                <w:color w:val="17212B"/>
                <w:sz w:val="19"/>
                <w:szCs w:val="19"/>
              </w:rPr>
              <w:t xml:space="preserve">101,681</w:t>
            </w:r>
          </w:p>
        </w:tc>
        <w:tc>
          <w:tcPr>
            <w:tcW w:type="dxa" w:w="1720"/>
            <w:vAlign w:val="center"/>
          </w:tcPr>
          <w:p>
            <w:pPr>
              <w:spacing w:after="0" w:line="240"/>
            </w:pPr>
            <w:r>
              <w:rPr>
                <w:b w:val="false"/>
                <w:bCs w:val="false"/>
                <w:color w:val="17212B"/>
                <w:sz w:val="19"/>
                <w:szCs w:val="19"/>
              </w:rPr>
              <w:t xml:space="preserve">2,099,674 tx/s</w:t>
            </w:r>
          </w:p>
        </w:tc>
        <w:tc>
          <w:tcPr>
            <w:tcW w:type="dxa" w:w="1720"/>
            <w:vAlign w:val="center"/>
          </w:tcPr>
          <w:p>
            <w:pPr>
              <w:spacing w:after="0" w:line="240"/>
            </w:pPr>
            <w:r>
              <w:rPr>
                <w:b w:val="false"/>
                <w:bCs w:val="false"/>
                <w:color w:val="17212B"/>
                <w:sz w:val="19"/>
                <w:szCs w:val="19"/>
              </w:rPr>
              <w:t xml:space="preserve">183,887 tx/s</w:t>
            </w:r>
          </w:p>
        </w:tc>
        <w:tc>
          <w:tcPr>
            <w:tcW w:type="dxa" w:w="1720"/>
            <w:vAlign w:val="center"/>
          </w:tcPr>
          <w:p>
            <w:pPr>
              <w:spacing w:after="0" w:line="240"/>
            </w:pPr>
            <w:r>
              <w:rPr>
                <w:b w:val="false"/>
                <w:bCs w:val="false"/>
                <w:color w:val="17212B"/>
                <w:sz w:val="19"/>
                <w:szCs w:val="19"/>
              </w:rPr>
              <w:t xml:space="preserve">2,051,601 tx/s</w:t>
            </w:r>
          </w:p>
        </w:tc>
        <w:tc>
          <w:tcPr>
            <w:tcW w:type="dxa" w:w="1200"/>
            <w:vAlign w:val="center"/>
          </w:tcPr>
          <w:p>
            <w:pPr>
              <w:spacing w:after="0" w:line="240"/>
            </w:pPr>
            <w:r>
              <w:rPr>
                <w:b w:val="false"/>
                <w:bCs w:val="false"/>
                <w:color w:val="17212B"/>
                <w:sz w:val="19"/>
                <w:szCs w:val="19"/>
              </w:rPr>
              <w:t xml:space="preserve">470 MB</w:t>
            </w:r>
          </w:p>
        </w:tc>
        <w:tc>
          <w:tcPr>
            <w:tcW w:type="dxa" w:w="1360"/>
            <w:vAlign w:val="center"/>
          </w:tcPr>
          <w:p>
            <w:pPr>
              <w:spacing w:after="0" w:line="240"/>
            </w:pPr>
            <w:r>
              <w:rPr>
                <w:b w:val="false"/>
                <w:bCs w:val="false"/>
                <w:color w:val="17212B"/>
                <w:sz w:val="19"/>
                <w:szCs w:val="19"/>
              </w:rPr>
              <w:t xml:space="preserve">672 ms</w:t>
            </w:r>
          </w:p>
        </w:tc>
      </w:tr>
    </w:tbl>
    <w:p>
      <w:r>
        <w:t xml:space="preserve">The benchmark measures one in-process prototype. It excludes networks, databases, queues, providers, and cross-service serialization.</w:t>
      </w:r>
    </w:p>
    <w:p>
      <w:r>
        <w:t xml:space="preserve">A production design can partition workloads by customer and merchant state. It still needs authorized network-scale validation.</w:t>
      </w:r>
    </w:p>
    <w:p>
      <w:pPr>
        <w:shd w:fill="EAF3FA" w:color="auto" w:val="clear"/>
        <w:spacing w:after="180" w:before="100"/>
        <w:ind w:left="160" w:right="160"/>
      </w:pPr>
      <w:r>
        <w:rPr>
          <w:b/>
          <w:bCs/>
          <w:color w:val="1A1A1A"/>
        </w:rPr>
        <w:t xml:space="preserve">CLAIM LIMIT: </w:t>
      </w:r>
      <w:r>
        <w:t xml:space="preserve">The prototype does not claim Mastercard-scale throughput.</w:t>
      </w:r>
    </w:p>
    <w:p>
      <w:pPr>
        <w:pStyle w:val="Heading1"/>
      </w:pPr>
      <w:r>
        <w:t xml:space="preserve">15. Product Experience</w:t>
      </w:r>
    </w:p>
    <w:p>
      <w:r>
        <w:t xml:space="preserve">The interface uses a payment-security command center instead of a generic analytics dashboard. The battle itself is the product.</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2050"/>
        <w:gridCol w:w="2550"/>
        <w:gridCol w:w="4520"/>
      </w:tblGrid>
      <w:tr>
        <w:trPr>
          <w:cantSplit/>
          <w:tblHeader/>
        </w:trPr>
        <w:tc>
          <w:tcPr>
            <w:tcW w:type="dxa" w:w="2050"/>
            <w:shd w:fill="1A1A1A" w:color="auto" w:val="clear"/>
            <w:vAlign w:val="center"/>
          </w:tcPr>
          <w:p>
            <w:pPr>
              <w:spacing w:after="0" w:line="240"/>
            </w:pPr>
            <w:r>
              <w:rPr>
                <w:b/>
                <w:bCs/>
                <w:color w:val="FFFFFF"/>
                <w:sz w:val="19"/>
                <w:szCs w:val="19"/>
              </w:rPr>
              <w:t xml:space="preserve">View</w:t>
            </w:r>
          </w:p>
        </w:tc>
        <w:tc>
          <w:tcPr>
            <w:tcW w:type="dxa" w:w="2550"/>
            <w:shd w:fill="1A1A1A" w:color="auto" w:val="clear"/>
            <w:vAlign w:val="center"/>
          </w:tcPr>
          <w:p>
            <w:pPr>
              <w:spacing w:after="0" w:line="240"/>
            </w:pPr>
            <w:r>
              <w:rPr>
                <w:b/>
                <w:bCs/>
                <w:color w:val="FFFFFF"/>
                <w:sz w:val="19"/>
                <w:szCs w:val="19"/>
              </w:rPr>
              <w:t xml:space="preserve">Judge action</w:t>
            </w:r>
          </w:p>
        </w:tc>
        <w:tc>
          <w:tcPr>
            <w:tcW w:type="dxa" w:w="4520"/>
            <w:shd w:fill="1A1A1A" w:color="auto" w:val="clear"/>
            <w:vAlign w:val="center"/>
          </w:tcPr>
          <w:p>
            <w:pPr>
              <w:spacing w:after="0" w:line="240"/>
            </w:pPr>
            <w:r>
              <w:rPr>
                <w:b/>
                <w:bCs/>
                <w:color w:val="FFFFFF"/>
                <w:sz w:val="19"/>
                <w:szCs w:val="19"/>
              </w:rPr>
              <w:t xml:space="preserve">Visible proof</w:t>
            </w:r>
          </w:p>
        </w:tc>
      </w:tr>
      <w:tr>
        <w:trPr>
          <w:cantSplit/>
          <w:tblHeader w:val="false"/>
        </w:trPr>
        <w:tc>
          <w:tcPr>
            <w:tcW w:type="dxa" w:w="2050"/>
            <w:vAlign w:val="center"/>
          </w:tcPr>
          <w:p>
            <w:pPr>
              <w:spacing w:after="0" w:line="240"/>
            </w:pPr>
            <w:r>
              <w:rPr>
                <w:b w:val="false"/>
                <w:bCs w:val="false"/>
                <w:color w:val="17212B"/>
                <w:sz w:val="19"/>
                <w:szCs w:val="19"/>
              </w:rPr>
              <w:t xml:space="preserve">Command Center</w:t>
            </w:r>
          </w:p>
        </w:tc>
        <w:tc>
          <w:tcPr>
            <w:tcW w:type="dxa" w:w="2550"/>
            <w:vAlign w:val="center"/>
          </w:tcPr>
          <w:p>
            <w:pPr>
              <w:spacing w:after="0" w:line="240"/>
            </w:pPr>
            <w:r>
              <w:rPr>
                <w:b w:val="false"/>
                <w:bCs w:val="false"/>
                <w:color w:val="17212B"/>
                <w:sz w:val="19"/>
                <w:szCs w:val="19"/>
              </w:rPr>
              <w:t xml:space="preserve">Select RUN RED TEAM</w:t>
            </w:r>
          </w:p>
        </w:tc>
        <w:tc>
          <w:tcPr>
            <w:tcW w:type="dxa" w:w="4520"/>
            <w:vAlign w:val="center"/>
          </w:tcPr>
          <w:p>
            <w:pPr>
              <w:spacing w:after="0" w:line="240"/>
            </w:pPr>
            <w:r>
              <w:rPr>
                <w:b w:val="false"/>
                <w:bCs w:val="false"/>
                <w:color w:val="17212B"/>
                <w:sz w:val="19"/>
                <w:szCs w:val="19"/>
              </w:rPr>
              <w:t xml:space="preserve">Red, Payment Rail, Blue, and Referee state</w:t>
            </w:r>
          </w:p>
        </w:tc>
      </w:tr>
      <w:tr>
        <w:trPr>
          <w:cantSplit/>
          <w:tblHeader w:val="false"/>
        </w:trPr>
        <w:tc>
          <w:tcPr>
            <w:tcW w:type="dxa" w:w="2050"/>
            <w:shd w:fill="F2F4F7" w:color="auto" w:val="clear"/>
            <w:vAlign w:val="center"/>
          </w:tcPr>
          <w:p>
            <w:pPr>
              <w:spacing w:after="0" w:line="240"/>
            </w:pPr>
            <w:r>
              <w:rPr>
                <w:b w:val="false"/>
                <w:bCs w:val="false"/>
                <w:color w:val="17212B"/>
                <w:sz w:val="19"/>
                <w:szCs w:val="19"/>
              </w:rPr>
              <w:t xml:space="preserve">Threat Intelligence</w:t>
            </w:r>
          </w:p>
        </w:tc>
        <w:tc>
          <w:tcPr>
            <w:tcW w:type="dxa" w:w="2550"/>
            <w:shd w:fill="F2F4F7" w:color="auto" w:val="clear"/>
            <w:vAlign w:val="center"/>
          </w:tcPr>
          <w:p>
            <w:pPr>
              <w:spacing w:after="0" w:line="240"/>
            </w:pPr>
            <w:r>
              <w:rPr>
                <w:b w:val="false"/>
                <w:bCs w:val="false"/>
                <w:color w:val="17212B"/>
                <w:sz w:val="19"/>
                <w:szCs w:val="19"/>
              </w:rPr>
              <w:t xml:space="preserve">Review selected threats</w:t>
            </w:r>
          </w:p>
        </w:tc>
        <w:tc>
          <w:tcPr>
            <w:tcW w:type="dxa" w:w="4520"/>
            <w:shd w:fill="F2F4F7" w:color="auto" w:val="clear"/>
            <w:vAlign w:val="center"/>
          </w:tcPr>
          <w:p>
            <w:pPr>
              <w:spacing w:after="0" w:line="240"/>
            </w:pPr>
            <w:r>
              <w:rPr>
                <w:b w:val="false"/>
                <w:bCs w:val="false"/>
                <w:color w:val="17212B"/>
                <w:sz w:val="19"/>
                <w:szCs w:val="19"/>
              </w:rPr>
              <w:t xml:space="preserve">IDENTIFY stage and safe hypotheses</w:t>
            </w:r>
          </w:p>
        </w:tc>
      </w:tr>
      <w:tr>
        <w:trPr>
          <w:cantSplit/>
          <w:tblHeader w:val="false"/>
        </w:trPr>
        <w:tc>
          <w:tcPr>
            <w:tcW w:type="dxa" w:w="2050"/>
            <w:vAlign w:val="center"/>
          </w:tcPr>
          <w:p>
            <w:pPr>
              <w:spacing w:after="0" w:line="240"/>
            </w:pPr>
            <w:r>
              <w:rPr>
                <w:b w:val="false"/>
                <w:bCs w:val="false"/>
                <w:color w:val="17212B"/>
                <w:sz w:val="19"/>
                <w:szCs w:val="19"/>
              </w:rPr>
              <w:t xml:space="preserve">Fraud Evolution</w:t>
            </w:r>
          </w:p>
        </w:tc>
        <w:tc>
          <w:tcPr>
            <w:tcW w:type="dxa" w:w="2550"/>
            <w:vAlign w:val="center"/>
          </w:tcPr>
          <w:p>
            <w:pPr>
              <w:spacing w:after="0" w:line="240"/>
            </w:pPr>
            <w:r>
              <w:rPr>
                <w:b w:val="false"/>
                <w:bCs w:val="false"/>
                <w:color w:val="17212B"/>
                <w:sz w:val="19"/>
                <w:szCs w:val="19"/>
              </w:rPr>
              <w:t xml:space="preserve">Select a lineage node</w:t>
            </w:r>
          </w:p>
        </w:tc>
        <w:tc>
          <w:tcPr>
            <w:tcW w:type="dxa" w:w="4520"/>
            <w:vAlign w:val="center"/>
          </w:tcPr>
          <w:p>
            <w:pPr>
              <w:spacing w:after="0" w:line="240"/>
            </w:pPr>
            <w:r>
              <w:rPr>
                <w:b w:val="false"/>
                <w:bCs w:val="false"/>
                <w:color w:val="17212B"/>
                <w:sz w:val="19"/>
                <w:szCs w:val="19"/>
              </w:rPr>
              <w:t xml:space="preserve">Parent, generation, fitness, and verdict</w:t>
            </w:r>
          </w:p>
        </w:tc>
      </w:tr>
      <w:tr>
        <w:trPr>
          <w:cantSplit/>
          <w:tblHeader w:val="false"/>
        </w:trPr>
        <w:tc>
          <w:tcPr>
            <w:tcW w:type="dxa" w:w="2050"/>
            <w:shd w:fill="F2F4F7" w:color="auto" w:val="clear"/>
            <w:vAlign w:val="center"/>
          </w:tcPr>
          <w:p>
            <w:pPr>
              <w:spacing w:after="0" w:line="240"/>
            </w:pPr>
            <w:r>
              <w:rPr>
                <w:b w:val="false"/>
                <w:bCs w:val="false"/>
                <w:color w:val="17212B"/>
                <w:sz w:val="19"/>
                <w:szCs w:val="19"/>
              </w:rPr>
              <w:t xml:space="preserve">Blue Investigation</w:t>
            </w:r>
          </w:p>
        </w:tc>
        <w:tc>
          <w:tcPr>
            <w:tcW w:type="dxa" w:w="2550"/>
            <w:shd w:fill="F2F4F7" w:color="auto" w:val="clear"/>
            <w:vAlign w:val="center"/>
          </w:tcPr>
          <w:p>
            <w:pPr>
              <w:spacing w:after="0" w:line="240"/>
            </w:pPr>
            <w:r>
              <w:rPr>
                <w:b w:val="false"/>
                <w:bCs w:val="false"/>
                <w:color w:val="17212B"/>
                <w:sz w:val="19"/>
                <w:szCs w:val="19"/>
              </w:rPr>
              <w:t xml:space="preserve">Select INVESTIGATE</w:t>
            </w:r>
          </w:p>
        </w:tc>
        <w:tc>
          <w:tcPr>
            <w:tcW w:type="dxa" w:w="4520"/>
            <w:shd w:fill="F2F4F7" w:color="auto" w:val="clear"/>
            <w:vAlign w:val="center"/>
          </w:tcPr>
          <w:p>
            <w:pPr>
              <w:spacing w:after="0" w:line="240"/>
            </w:pPr>
            <w:r>
              <w:rPr>
                <w:b w:val="false"/>
                <w:bCs w:val="false"/>
                <w:color w:val="17212B"/>
                <w:sz w:val="19"/>
                <w:szCs w:val="19"/>
              </w:rPr>
              <w:t xml:space="preserve">Failure evidence and bounded proposal</w:t>
            </w:r>
          </w:p>
        </w:tc>
      </w:tr>
      <w:tr>
        <w:trPr>
          <w:cantSplit/>
          <w:tblHeader w:val="false"/>
        </w:trPr>
        <w:tc>
          <w:tcPr>
            <w:tcW w:type="dxa" w:w="2050"/>
            <w:vAlign w:val="center"/>
          </w:tcPr>
          <w:p>
            <w:pPr>
              <w:spacing w:after="0" w:line="240"/>
            </w:pPr>
            <w:r>
              <w:rPr>
                <w:b w:val="false"/>
                <w:bCs w:val="false"/>
                <w:color w:val="17212B"/>
                <w:sz w:val="19"/>
                <w:szCs w:val="19"/>
              </w:rPr>
              <w:t xml:space="preserve">Defense Validation</w:t>
            </w:r>
          </w:p>
        </w:tc>
        <w:tc>
          <w:tcPr>
            <w:tcW w:type="dxa" w:w="2550"/>
            <w:vAlign w:val="center"/>
          </w:tcPr>
          <w:p>
            <w:pPr>
              <w:spacing w:after="0" w:line="240"/>
            </w:pPr>
            <w:r>
              <w:rPr>
                <w:b w:val="false"/>
                <w:bCs w:val="false"/>
                <w:color w:val="17212B"/>
                <w:sz w:val="19"/>
                <w:szCs w:val="19"/>
              </w:rPr>
              <w:t xml:space="preserve">Select VALIDATE DEFENSE</w:t>
            </w:r>
          </w:p>
        </w:tc>
        <w:tc>
          <w:tcPr>
            <w:tcW w:type="dxa" w:w="4520"/>
            <w:vAlign w:val="center"/>
          </w:tcPr>
          <w:p>
            <w:pPr>
              <w:spacing w:after="0" w:line="240"/>
            </w:pPr>
            <w:r>
              <w:rPr>
                <w:b w:val="false"/>
                <w:bCs w:val="false"/>
                <w:color w:val="17212B"/>
                <w:sz w:val="19"/>
                <w:szCs w:val="19"/>
              </w:rPr>
              <w:t xml:space="preserve">Gate verdict, held-out metrics, and replay</w:t>
            </w:r>
          </w:p>
        </w:tc>
      </w:tr>
      <w:tr>
        <w:trPr>
          <w:cantSplit/>
          <w:tblHeader w:val="false"/>
        </w:trPr>
        <w:tc>
          <w:tcPr>
            <w:tcW w:type="dxa" w:w="2050"/>
            <w:shd w:fill="F2F4F7" w:color="auto" w:val="clear"/>
            <w:vAlign w:val="center"/>
          </w:tcPr>
          <w:p>
            <w:pPr>
              <w:spacing w:after="0" w:line="240"/>
            </w:pPr>
            <w:r>
              <w:rPr>
                <w:b w:val="false"/>
                <w:bCs w:val="false"/>
                <w:color w:val="17212B"/>
                <w:sz w:val="19"/>
                <w:szCs w:val="19"/>
              </w:rPr>
              <w:t xml:space="preserve">Experiment Audit</w:t>
            </w:r>
          </w:p>
        </w:tc>
        <w:tc>
          <w:tcPr>
            <w:tcW w:type="dxa" w:w="2550"/>
            <w:shd w:fill="F2F4F7" w:color="auto" w:val="clear"/>
            <w:vAlign w:val="center"/>
          </w:tcPr>
          <w:p>
            <w:pPr>
              <w:spacing w:after="0" w:line="240"/>
            </w:pPr>
            <w:r>
              <w:rPr>
                <w:b w:val="false"/>
                <w:bCs w:val="false"/>
                <w:color w:val="17212B"/>
                <w:sz w:val="19"/>
                <w:szCs w:val="19"/>
              </w:rPr>
              <w:t xml:space="preserve">Open the audit view</w:t>
            </w:r>
          </w:p>
        </w:tc>
        <w:tc>
          <w:tcPr>
            <w:tcW w:type="dxa" w:w="4520"/>
            <w:shd w:fill="F2F4F7" w:color="auto" w:val="clear"/>
            <w:vAlign w:val="center"/>
          </w:tcPr>
          <w:p>
            <w:pPr>
              <w:spacing w:after="0" w:line="240"/>
            </w:pPr>
            <w:r>
              <w:rPr>
                <w:b w:val="false"/>
                <w:bCs w:val="false"/>
                <w:color w:val="17212B"/>
                <w:sz w:val="19"/>
                <w:szCs w:val="19"/>
              </w:rPr>
              <w:t xml:space="preserve">Seeds, versions, experiment IDs, and metrics</w:t>
            </w:r>
          </w:p>
        </w:tc>
      </w:tr>
    </w:tbl>
    <w:p>
      <w:pPr>
        <w:pStyle w:val="Heading2"/>
      </w:pPr>
      <w:r>
        <w:t xml:space="preserve">Exact three-minute demo</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1700"/>
        <w:gridCol w:w="7420"/>
      </w:tblGrid>
      <w:tr>
        <w:trPr>
          <w:cantSplit/>
          <w:tblHeader/>
        </w:trPr>
        <w:tc>
          <w:tcPr>
            <w:tcW w:type="dxa" w:w="1700"/>
            <w:shd w:fill="1A1A1A" w:color="auto" w:val="clear"/>
            <w:vAlign w:val="center"/>
          </w:tcPr>
          <w:p>
            <w:pPr>
              <w:spacing w:after="0" w:line="240"/>
            </w:pPr>
            <w:r>
              <w:rPr>
                <w:b/>
                <w:bCs/>
                <w:color w:val="FFFFFF"/>
                <w:sz w:val="19"/>
                <w:szCs w:val="19"/>
              </w:rPr>
              <w:t xml:space="preserve">Time</w:t>
            </w:r>
          </w:p>
        </w:tc>
        <w:tc>
          <w:tcPr>
            <w:tcW w:type="dxa" w:w="7420"/>
            <w:shd w:fill="1A1A1A" w:color="auto" w:val="clear"/>
            <w:vAlign w:val="center"/>
          </w:tcPr>
          <w:p>
            <w:pPr>
              <w:spacing w:after="0" w:line="240"/>
            </w:pPr>
            <w:r>
              <w:rPr>
                <w:b/>
                <w:bCs/>
                <w:color w:val="FFFFFF"/>
                <w:sz w:val="19"/>
                <w:szCs w:val="19"/>
              </w:rPr>
              <w:t xml:space="preserve">Action and proof</w:t>
            </w:r>
          </w:p>
        </w:tc>
      </w:tr>
      <w:tr>
        <w:trPr>
          <w:cantSplit/>
          <w:tblHeader w:val="false"/>
        </w:trPr>
        <w:tc>
          <w:tcPr>
            <w:tcW w:type="dxa" w:w="1700"/>
            <w:vAlign w:val="center"/>
          </w:tcPr>
          <w:p>
            <w:pPr>
              <w:spacing w:after="0" w:line="240"/>
            </w:pPr>
            <w:r>
              <w:rPr>
                <w:b w:val="false"/>
                <w:bCs w:val="false"/>
                <w:color w:val="17212B"/>
                <w:sz w:val="19"/>
                <w:szCs w:val="19"/>
              </w:rPr>
              <w:t xml:space="preserve">0:00 to 0:15</w:t>
            </w:r>
          </w:p>
        </w:tc>
        <w:tc>
          <w:tcPr>
            <w:tcW w:type="dxa" w:w="7420"/>
            <w:vAlign w:val="center"/>
          </w:tcPr>
          <w:p>
            <w:pPr>
              <w:spacing w:after="0" w:line="240"/>
            </w:pPr>
            <w:r>
              <w:rPr>
                <w:b w:val="false"/>
                <w:bCs w:val="false"/>
                <w:color w:val="17212B"/>
                <w:sz w:val="19"/>
                <w:szCs w:val="19"/>
              </w:rPr>
              <w:t xml:space="preserve">State the problem and the judge-facing thesis.</w:t>
            </w:r>
          </w:p>
        </w:tc>
      </w:tr>
      <w:tr>
        <w:trPr>
          <w:cantSplit/>
          <w:tblHeader w:val="false"/>
        </w:trPr>
        <w:tc>
          <w:tcPr>
            <w:tcW w:type="dxa" w:w="1700"/>
            <w:shd w:fill="F2F4F7" w:color="auto" w:val="clear"/>
            <w:vAlign w:val="center"/>
          </w:tcPr>
          <w:p>
            <w:pPr>
              <w:spacing w:after="0" w:line="240"/>
            </w:pPr>
            <w:r>
              <w:rPr>
                <w:b w:val="false"/>
                <w:bCs w:val="false"/>
                <w:color w:val="17212B"/>
                <w:sz w:val="19"/>
                <w:szCs w:val="19"/>
              </w:rPr>
              <w:t xml:space="preserve">0:15 to 0:30</w:t>
            </w:r>
          </w:p>
        </w:tc>
        <w:tc>
          <w:tcPr>
            <w:tcW w:type="dxa" w:w="7420"/>
            <w:shd w:fill="F2F4F7" w:color="auto" w:val="clear"/>
            <w:vAlign w:val="center"/>
          </w:tcPr>
          <w:p>
            <w:pPr>
              <w:spacing w:after="0" w:line="240"/>
            </w:pPr>
            <w:r>
              <w:rPr>
                <w:b w:val="false"/>
                <w:bCs w:val="false"/>
                <w:color w:val="17212B"/>
                <w:sz w:val="19"/>
                <w:szCs w:val="19"/>
              </w:rPr>
              <w:t xml:space="preserve">Show legitimate ALLOW and known-fraud BLOCK results.</w:t>
            </w:r>
          </w:p>
        </w:tc>
      </w:tr>
      <w:tr>
        <w:trPr>
          <w:cantSplit/>
          <w:tblHeader w:val="false"/>
        </w:trPr>
        <w:tc>
          <w:tcPr>
            <w:tcW w:type="dxa" w:w="1700"/>
            <w:vAlign w:val="center"/>
          </w:tcPr>
          <w:p>
            <w:pPr>
              <w:spacing w:after="0" w:line="240"/>
            </w:pPr>
            <w:r>
              <w:rPr>
                <w:b w:val="false"/>
                <w:bCs w:val="false"/>
                <w:color w:val="17212B"/>
                <w:sz w:val="19"/>
                <w:szCs w:val="19"/>
              </w:rPr>
              <w:t xml:space="preserve">0:30 to 1:00</w:t>
            </w:r>
          </w:p>
        </w:tc>
        <w:tc>
          <w:tcPr>
            <w:tcW w:type="dxa" w:w="7420"/>
            <w:vAlign w:val="center"/>
          </w:tcPr>
          <w:p>
            <w:pPr>
              <w:spacing w:after="0" w:line="240"/>
            </w:pPr>
            <w:r>
              <w:rPr>
                <w:b w:val="false"/>
                <w:bCs w:val="false"/>
                <w:color w:val="17212B"/>
                <w:sz w:val="19"/>
                <w:szCs w:val="19"/>
              </w:rPr>
              <w:t xml:space="preserve">Run Red and show caught generations before evasion.</w:t>
            </w:r>
          </w:p>
        </w:tc>
      </w:tr>
      <w:tr>
        <w:trPr>
          <w:cantSplit/>
          <w:tblHeader w:val="false"/>
        </w:trPr>
        <w:tc>
          <w:tcPr>
            <w:tcW w:type="dxa" w:w="1700"/>
            <w:shd w:fill="F2F4F7" w:color="auto" w:val="clear"/>
            <w:vAlign w:val="center"/>
          </w:tcPr>
          <w:p>
            <w:pPr>
              <w:spacing w:after="0" w:line="240"/>
            </w:pPr>
            <w:r>
              <w:rPr>
                <w:b w:val="false"/>
                <w:bCs w:val="false"/>
                <w:color w:val="17212B"/>
                <w:sz w:val="19"/>
                <w:szCs w:val="19"/>
              </w:rPr>
              <w:t xml:space="preserve">1:00 to 1:15</w:t>
            </w:r>
          </w:p>
        </w:tc>
        <w:tc>
          <w:tcPr>
            <w:tcW w:type="dxa" w:w="7420"/>
            <w:shd w:fill="F2F4F7" w:color="auto" w:val="clear"/>
            <w:vAlign w:val="center"/>
          </w:tcPr>
          <w:p>
            <w:pPr>
              <w:spacing w:after="0" w:line="240"/>
            </w:pPr>
            <w:r>
              <w:rPr>
                <w:b w:val="false"/>
                <w:bCs w:val="false"/>
                <w:color w:val="17212B"/>
                <w:sz w:val="19"/>
                <w:szCs w:val="19"/>
              </w:rPr>
              <w:t xml:space="preserve">Show BLIND SPOT DISCOVERED and Referee degradation.</w:t>
            </w:r>
          </w:p>
        </w:tc>
      </w:tr>
      <w:tr>
        <w:trPr>
          <w:cantSplit/>
          <w:tblHeader w:val="false"/>
        </w:trPr>
        <w:tc>
          <w:tcPr>
            <w:tcW w:type="dxa" w:w="1700"/>
            <w:vAlign w:val="center"/>
          </w:tcPr>
          <w:p>
            <w:pPr>
              <w:spacing w:after="0" w:line="240"/>
            </w:pPr>
            <w:r>
              <w:rPr>
                <w:b w:val="false"/>
                <w:bCs w:val="false"/>
                <w:color w:val="17212B"/>
                <w:sz w:val="19"/>
                <w:szCs w:val="19"/>
              </w:rPr>
              <w:t xml:space="preserve">1:15 to 1:45</w:t>
            </w:r>
          </w:p>
        </w:tc>
        <w:tc>
          <w:tcPr>
            <w:tcW w:type="dxa" w:w="7420"/>
            <w:vAlign w:val="center"/>
          </w:tcPr>
          <w:p>
            <w:pPr>
              <w:spacing w:after="0" w:line="240"/>
            </w:pPr>
            <w:r>
              <w:rPr>
                <w:b w:val="false"/>
                <w:bCs w:val="false"/>
                <w:color w:val="17212B"/>
                <w:sz w:val="19"/>
                <w:szCs w:val="19"/>
              </w:rPr>
              <w:t xml:space="preserve">Open the Blue evidence and bounded proposal.</w:t>
            </w:r>
          </w:p>
        </w:tc>
      </w:tr>
      <w:tr>
        <w:trPr>
          <w:cantSplit/>
          <w:tblHeader w:val="false"/>
        </w:trPr>
        <w:tc>
          <w:tcPr>
            <w:tcW w:type="dxa" w:w="1700"/>
            <w:shd w:fill="F2F4F7" w:color="auto" w:val="clear"/>
            <w:vAlign w:val="center"/>
          </w:tcPr>
          <w:p>
            <w:pPr>
              <w:spacing w:after="0" w:line="240"/>
            </w:pPr>
            <w:r>
              <w:rPr>
                <w:b w:val="false"/>
                <w:bCs w:val="false"/>
                <w:color w:val="17212B"/>
                <w:sz w:val="19"/>
                <w:szCs w:val="19"/>
              </w:rPr>
              <w:t xml:space="preserve">1:45 to 2:10</w:t>
            </w:r>
          </w:p>
        </w:tc>
        <w:tc>
          <w:tcPr>
            <w:tcW w:type="dxa" w:w="7420"/>
            <w:shd w:fill="F2F4F7" w:color="auto" w:val="clear"/>
            <w:vAlign w:val="center"/>
          </w:tcPr>
          <w:p>
            <w:pPr>
              <w:spacing w:after="0" w:line="240"/>
            </w:pPr>
            <w:r>
              <w:rPr>
                <w:b w:val="false"/>
                <w:bCs w:val="false"/>
                <w:color w:val="17212B"/>
                <w:sz w:val="19"/>
                <w:szCs w:val="19"/>
              </w:rPr>
              <w:t xml:space="preserve">Run the Defense Gate with legitimate regression.</w:t>
            </w:r>
          </w:p>
        </w:tc>
      </w:tr>
      <w:tr>
        <w:trPr>
          <w:cantSplit/>
          <w:tblHeader w:val="false"/>
        </w:trPr>
        <w:tc>
          <w:tcPr>
            <w:tcW w:type="dxa" w:w="1700"/>
            <w:vAlign w:val="center"/>
          </w:tcPr>
          <w:p>
            <w:pPr>
              <w:spacing w:after="0" w:line="240"/>
            </w:pPr>
            <w:r>
              <w:rPr>
                <w:b w:val="false"/>
                <w:bCs w:val="false"/>
                <w:color w:val="17212B"/>
                <w:sz w:val="19"/>
                <w:szCs w:val="19"/>
              </w:rPr>
              <w:t xml:space="preserve">2:10 to 2:30</w:t>
            </w:r>
          </w:p>
        </w:tc>
        <w:tc>
          <w:tcPr>
            <w:tcW w:type="dxa" w:w="7420"/>
            <w:vAlign w:val="center"/>
          </w:tcPr>
          <w:p>
            <w:pPr>
              <w:spacing w:after="0" w:line="240"/>
            </w:pPr>
            <w:r>
              <w:rPr>
                <w:b w:val="false"/>
                <w:bCs w:val="false"/>
                <w:color w:val="17212B"/>
                <w:sz w:val="19"/>
                <w:szCs w:val="19"/>
              </w:rPr>
              <w:t xml:space="preserve">Show exact before-versus-after replay.</w:t>
            </w:r>
          </w:p>
        </w:tc>
      </w:tr>
      <w:tr>
        <w:trPr>
          <w:cantSplit/>
          <w:tblHeader w:val="false"/>
        </w:trPr>
        <w:tc>
          <w:tcPr>
            <w:tcW w:type="dxa" w:w="1700"/>
            <w:shd w:fill="F2F4F7" w:color="auto" w:val="clear"/>
            <w:vAlign w:val="center"/>
          </w:tcPr>
          <w:p>
            <w:pPr>
              <w:spacing w:after="0" w:line="240"/>
            </w:pPr>
            <w:r>
              <w:rPr>
                <w:b w:val="false"/>
                <w:bCs w:val="false"/>
                <w:color w:val="17212B"/>
                <w:sz w:val="19"/>
                <w:szCs w:val="19"/>
              </w:rPr>
              <w:t xml:space="preserve">2:30 to 2:45</w:t>
            </w:r>
          </w:p>
        </w:tc>
        <w:tc>
          <w:tcPr>
            <w:tcW w:type="dxa" w:w="7420"/>
            <w:shd w:fill="F2F4F7" w:color="auto" w:val="clear"/>
            <w:vAlign w:val="center"/>
          </w:tcPr>
          <w:p>
            <w:pPr>
              <w:spacing w:after="0" w:line="240"/>
            </w:pPr>
            <w:r>
              <w:rPr>
                <w:b w:val="false"/>
                <w:bCs w:val="false"/>
                <w:color w:val="17212B"/>
                <w:sz w:val="19"/>
                <w:szCs w:val="19"/>
              </w:rPr>
              <w:t xml:space="preserve">Show the five fresh descendants.</w:t>
            </w:r>
          </w:p>
        </w:tc>
      </w:tr>
      <w:tr>
        <w:trPr>
          <w:cantSplit/>
          <w:tblHeader w:val="false"/>
        </w:trPr>
        <w:tc>
          <w:tcPr>
            <w:tcW w:type="dxa" w:w="1700"/>
            <w:vAlign w:val="center"/>
          </w:tcPr>
          <w:p>
            <w:pPr>
              <w:spacing w:after="0" w:line="240"/>
            </w:pPr>
            <w:r>
              <w:rPr>
                <w:b w:val="false"/>
                <w:bCs w:val="false"/>
                <w:color w:val="17212B"/>
                <w:sz w:val="19"/>
                <w:szCs w:val="19"/>
              </w:rPr>
              <w:t xml:space="preserve">2:45 to 3:00</w:t>
            </w:r>
          </w:p>
        </w:tc>
        <w:tc>
          <w:tcPr>
            <w:tcW w:type="dxa" w:w="7420"/>
            <w:vAlign w:val="center"/>
          </w:tcPr>
          <w:p>
            <w:pPr>
              <w:spacing w:after="0" w:line="240"/>
            </w:pPr>
            <w:r>
              <w:rPr>
                <w:b w:val="false"/>
                <w:bCs w:val="false"/>
                <w:color w:val="17212B"/>
                <w:sz w:val="19"/>
                <w:szCs w:val="19"/>
              </w:rPr>
              <w:t xml:space="preserve">Restart Red against the defended engine.</w:t>
            </w:r>
          </w:p>
        </w:tc>
      </w:tr>
    </w:tbl>
    <w:p>
      <w:pPr>
        <w:pStyle w:val="Heading1"/>
      </w:pPr>
      <w:r>
        <w:t xml:space="preserve">16. Architecture</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9120"/>
      </w:tblGrid>
      <w:tr>
        <w:trPr>
          <w:cantSplit/>
          <w:tblHeader/>
        </w:trPr>
        <w:tc>
          <w:tcPr>
            <w:tcW w:type="dxa" w:w="9120"/>
            <w:shd w:fill="1A1A1A" w:color="auto" w:val="clear"/>
            <w:vAlign w:val="center"/>
          </w:tcPr>
          <w:p>
            <w:pPr>
              <w:spacing w:after="0" w:line="240"/>
            </w:pPr>
            <w:r>
              <w:rPr>
                <w:b/>
                <w:bCs/>
                <w:color w:val="FFFFFF"/>
                <w:sz w:val="19"/>
                <w:szCs w:val="19"/>
              </w:rPr>
              <w:t xml:space="preserve">System flow</w:t>
            </w:r>
          </w:p>
        </w:tc>
      </w:tr>
      <w:tr>
        <w:trPr>
          <w:cantSplit/>
          <w:tblHeader w:val="false"/>
        </w:trPr>
        <w:tc>
          <w:tcPr>
            <w:tcW w:type="dxa" w:w="9120"/>
            <w:vAlign w:val="center"/>
          </w:tcPr>
          <w:p>
            <w:pPr>
              <w:spacing w:after="0" w:line="240"/>
            </w:pPr>
            <w:r>
              <w:rPr>
                <w:b w:val="false"/>
                <w:bCs w:val="false"/>
                <w:color w:val="17212B"/>
                <w:sz w:val="19"/>
                <w:szCs w:val="19"/>
              </w:rPr>
              <w:t xml:space="preserve">THREAT RESEARCH -&gt; RED STRATEGIST -&gt; FRAUD GENOME -&gt; SCHEMA VALIDATOR -&gt; MUTATION ENGINE -&gt; SCENARIO COMPILER -&gt; SYNTHETIC PAYMENT TWIN -&gt; FRAUD DETECTOR -&gt; REFEREE -&gt; BLUE INVESTIGATOR -&gt; DEFENSE GATE -&gt; EXACT REPLAY -&gt; RED AGAIN</w:t>
            </w:r>
          </w:p>
        </w:tc>
      </w:tr>
    </w:tbl>
    <w:p>
      <w:r>
        <w:t xml:space="preserve">The application uses one Next.js process, one in-memory Arena state, JSON model artifacts, and a JSONL audit ledger.</w:t>
      </w:r>
    </w:p>
    <w:p>
      <w:r>
        <w:t xml:space="preserve">This design minimizes demo failure modes. It also makes each truth boundary easy to inspect and test.</w:t>
      </w:r>
    </w:p>
    <w:p>
      <w:pPr>
        <w:pStyle w:val="Heading2"/>
      </w:pPr>
      <w:r>
        <w:t xml:space="preserve">AI necessity map</w:t>
      </w:r>
    </w:p>
    <w:tbl>
      <w:tblPr>
        <w:tblW w:type="dxa" w:w="9120"/>
        <w:tblInd w:type="dxa" w:w="0"/>
        <w:tblBorders>
          <w:top w:val="single" w:color="C9D1D9" w:sz="5"/>
          <w:left w:val="single" w:color="C9D1D9" w:sz="5"/>
          <w:bottom w:val="single" w:color="C9D1D9" w:sz="5"/>
          <w:right w:val="single" w:color="C9D1D9" w:sz="5"/>
          <w:insideH w:val="single" w:color="C9D1D9" w:sz="3"/>
          <w:insideV w:val="single" w:color="C9D1D9" w:sz="3"/>
        </w:tblBorders>
        <w:tblLayout w:type="fixed"/>
        <w:tblCellMar>
          <w:top w:type="dxa" w:w="80"/>
          <w:left w:type="dxa" w:w="120"/>
          <w:bottom w:type="dxa" w:w="80"/>
          <w:right w:type="dxa" w:w="120"/>
        </w:tblCellMar>
      </w:tblPr>
      <w:tblGrid>
        <w:gridCol w:w="2350"/>
        <w:gridCol w:w="1750"/>
        <w:gridCol w:w="5020"/>
      </w:tblGrid>
      <w:tr>
        <w:trPr>
          <w:cantSplit/>
          <w:tblHeader/>
        </w:trPr>
        <w:tc>
          <w:tcPr>
            <w:tcW w:type="dxa" w:w="2350"/>
            <w:shd w:fill="1A1A1A" w:color="auto" w:val="clear"/>
            <w:vAlign w:val="center"/>
          </w:tcPr>
          <w:p>
            <w:pPr>
              <w:spacing w:after="0" w:line="240"/>
            </w:pPr>
            <w:r>
              <w:rPr>
                <w:b/>
                <w:bCs/>
                <w:color w:val="FFFFFF"/>
                <w:sz w:val="19"/>
                <w:szCs w:val="19"/>
              </w:rPr>
              <w:t xml:space="preserve">Component</w:t>
            </w:r>
          </w:p>
        </w:tc>
        <w:tc>
          <w:tcPr>
            <w:tcW w:type="dxa" w:w="1750"/>
            <w:shd w:fill="1A1A1A" w:color="auto" w:val="clear"/>
            <w:vAlign w:val="center"/>
          </w:tcPr>
          <w:p>
            <w:pPr>
              <w:spacing w:after="0" w:line="240"/>
            </w:pPr>
            <w:r>
              <w:rPr>
                <w:b/>
                <w:bCs/>
                <w:color w:val="FFFFFF"/>
                <w:sz w:val="19"/>
                <w:szCs w:val="19"/>
              </w:rPr>
              <w:t xml:space="preserve">Class</w:t>
            </w:r>
          </w:p>
        </w:tc>
        <w:tc>
          <w:tcPr>
            <w:tcW w:type="dxa" w:w="5020"/>
            <w:shd w:fill="1A1A1A" w:color="auto" w:val="clear"/>
            <w:vAlign w:val="center"/>
          </w:tcPr>
          <w:p>
            <w:pPr>
              <w:spacing w:after="0" w:line="240"/>
            </w:pPr>
            <w:r>
              <w:rPr>
                <w:b/>
                <w:bCs/>
                <w:color w:val="FFFFFF"/>
                <w:sz w:val="19"/>
                <w:szCs w:val="19"/>
              </w:rPr>
              <w:t xml:space="preserve">Reason</w:t>
            </w:r>
          </w:p>
        </w:tc>
      </w:tr>
      <w:tr>
        <w:trPr>
          <w:cantSplit/>
          <w:tblHeader w:val="false"/>
        </w:trPr>
        <w:tc>
          <w:tcPr>
            <w:tcW w:type="dxa" w:w="2350"/>
            <w:vAlign w:val="center"/>
          </w:tcPr>
          <w:p>
            <w:pPr>
              <w:spacing w:after="0" w:line="240"/>
            </w:pPr>
            <w:r>
              <w:rPr>
                <w:b w:val="false"/>
                <w:bCs w:val="false"/>
                <w:color w:val="17212B"/>
                <w:sz w:val="19"/>
                <w:szCs w:val="19"/>
              </w:rPr>
              <w:t xml:space="preserve">Threat interpreter</w:t>
            </w:r>
          </w:p>
        </w:tc>
        <w:tc>
          <w:tcPr>
            <w:tcW w:type="dxa" w:w="1750"/>
            <w:vAlign w:val="center"/>
          </w:tcPr>
          <w:p>
            <w:pPr>
              <w:spacing w:after="0" w:line="240"/>
            </w:pPr>
            <w:r>
              <w:rPr>
                <w:b w:val="false"/>
                <w:bCs w:val="false"/>
                <w:color w:val="17212B"/>
                <w:sz w:val="19"/>
                <w:szCs w:val="19"/>
              </w:rPr>
              <w:t xml:space="preserve">GENAI</w:t>
            </w:r>
          </w:p>
        </w:tc>
        <w:tc>
          <w:tcPr>
            <w:tcW w:type="dxa" w:w="5020"/>
            <w:vAlign w:val="center"/>
          </w:tcPr>
          <w:p>
            <w:pPr>
              <w:spacing w:after="0" w:line="240"/>
            </w:pPr>
            <w:r>
              <w:rPr>
                <w:b w:val="false"/>
                <w:bCs w:val="false"/>
                <w:color w:val="17212B"/>
                <w:sz w:val="19"/>
                <w:szCs w:val="19"/>
              </w:rPr>
              <w:t xml:space="preserve">Converts research into selected attack hypotheses</w:t>
            </w:r>
          </w:p>
        </w:tc>
      </w:tr>
      <w:tr>
        <w:trPr>
          <w:cantSplit/>
          <w:tblHeader w:val="false"/>
        </w:trPr>
        <w:tc>
          <w:tcPr>
            <w:tcW w:type="dxa" w:w="2350"/>
            <w:shd w:fill="F2F4F7" w:color="auto" w:val="clear"/>
            <w:vAlign w:val="center"/>
          </w:tcPr>
          <w:p>
            <w:pPr>
              <w:spacing w:after="0" w:line="240"/>
            </w:pPr>
            <w:r>
              <w:rPr>
                <w:b w:val="false"/>
                <w:bCs w:val="false"/>
                <w:color w:val="17212B"/>
                <w:sz w:val="19"/>
                <w:szCs w:val="19"/>
              </w:rPr>
              <w:t xml:space="preserve">Red strategist</w:t>
            </w:r>
          </w:p>
        </w:tc>
        <w:tc>
          <w:tcPr>
            <w:tcW w:type="dxa" w:w="1750"/>
            <w:shd w:fill="F2F4F7" w:color="auto" w:val="clear"/>
            <w:vAlign w:val="center"/>
          </w:tcPr>
          <w:p>
            <w:pPr>
              <w:spacing w:after="0" w:line="240"/>
            </w:pPr>
            <w:r>
              <w:rPr>
                <w:b w:val="false"/>
                <w:bCs w:val="false"/>
                <w:color w:val="17212B"/>
                <w:sz w:val="19"/>
                <w:szCs w:val="19"/>
              </w:rPr>
              <w:t xml:space="preserve">GENAI</w:t>
            </w:r>
          </w:p>
        </w:tc>
        <w:tc>
          <w:tcPr>
            <w:tcW w:type="dxa" w:w="5020"/>
            <w:shd w:fill="F2F4F7" w:color="auto" w:val="clear"/>
            <w:vAlign w:val="center"/>
          </w:tcPr>
          <w:p>
            <w:pPr>
              <w:spacing w:after="0" w:line="240"/>
            </w:pPr>
            <w:r>
              <w:rPr>
                <w:b w:val="false"/>
                <w:bCs w:val="false"/>
                <w:color w:val="17212B"/>
                <w:sz w:val="19"/>
                <w:szCs w:val="19"/>
              </w:rPr>
              <w:t xml:space="preserve">Chooses mutations from cross-experiment evidence</w:t>
            </w:r>
          </w:p>
        </w:tc>
      </w:tr>
      <w:tr>
        <w:trPr>
          <w:cantSplit/>
          <w:tblHeader w:val="false"/>
        </w:trPr>
        <w:tc>
          <w:tcPr>
            <w:tcW w:type="dxa" w:w="2350"/>
            <w:vAlign w:val="center"/>
          </w:tcPr>
          <w:p>
            <w:pPr>
              <w:spacing w:after="0" w:line="240"/>
            </w:pPr>
            <w:r>
              <w:rPr>
                <w:b w:val="false"/>
                <w:bCs w:val="false"/>
                <w:color w:val="17212B"/>
                <w:sz w:val="19"/>
                <w:szCs w:val="19"/>
              </w:rPr>
              <w:t xml:space="preserve">Blue investigator</w:t>
            </w:r>
          </w:p>
        </w:tc>
        <w:tc>
          <w:tcPr>
            <w:tcW w:type="dxa" w:w="1750"/>
            <w:vAlign w:val="center"/>
          </w:tcPr>
          <w:p>
            <w:pPr>
              <w:spacing w:after="0" w:line="240"/>
            </w:pPr>
            <w:r>
              <w:rPr>
                <w:b w:val="false"/>
                <w:bCs w:val="false"/>
                <w:color w:val="17212B"/>
                <w:sz w:val="19"/>
                <w:szCs w:val="19"/>
              </w:rPr>
              <w:t xml:space="preserve">GENAI</w:t>
            </w:r>
          </w:p>
        </w:tc>
        <w:tc>
          <w:tcPr>
            <w:tcW w:type="dxa" w:w="5020"/>
            <w:vAlign w:val="center"/>
          </w:tcPr>
          <w:p>
            <w:pPr>
              <w:spacing w:after="0" w:line="240"/>
            </w:pPr>
            <w:r>
              <w:rPr>
                <w:b w:val="false"/>
                <w:bCs w:val="false"/>
                <w:color w:val="17212B"/>
                <w:sz w:val="19"/>
                <w:szCs w:val="19"/>
              </w:rPr>
              <w:t xml:space="preserve">Creates a failure and defense hypothesis</w:t>
            </w:r>
          </w:p>
        </w:tc>
      </w:tr>
      <w:tr>
        <w:trPr>
          <w:cantSplit/>
          <w:tblHeader w:val="false"/>
        </w:trPr>
        <w:tc>
          <w:tcPr>
            <w:tcW w:type="dxa" w:w="2350"/>
            <w:shd w:fill="F2F4F7" w:color="auto" w:val="clear"/>
            <w:vAlign w:val="center"/>
          </w:tcPr>
          <w:p>
            <w:pPr>
              <w:spacing w:after="0" w:line="240"/>
            </w:pPr>
            <w:r>
              <w:rPr>
                <w:b w:val="false"/>
                <w:bCs w:val="false"/>
                <w:color w:val="17212B"/>
                <w:sz w:val="19"/>
                <w:szCs w:val="19"/>
              </w:rPr>
              <w:t xml:space="preserve">Fraud detector</w:t>
            </w:r>
          </w:p>
        </w:tc>
        <w:tc>
          <w:tcPr>
            <w:tcW w:type="dxa" w:w="1750"/>
            <w:shd w:fill="F2F4F7" w:color="auto" w:val="clear"/>
            <w:vAlign w:val="center"/>
          </w:tcPr>
          <w:p>
            <w:pPr>
              <w:spacing w:after="0" w:line="240"/>
            </w:pPr>
            <w:r>
              <w:rPr>
                <w:b w:val="false"/>
                <w:bCs w:val="false"/>
                <w:color w:val="17212B"/>
                <w:sz w:val="19"/>
                <w:szCs w:val="19"/>
              </w:rPr>
              <w:t xml:space="preserve">ML</w:t>
            </w:r>
          </w:p>
        </w:tc>
        <w:tc>
          <w:tcPr>
            <w:tcW w:type="dxa" w:w="5020"/>
            <w:shd w:fill="F2F4F7" w:color="auto" w:val="clear"/>
            <w:vAlign w:val="center"/>
          </w:tcPr>
          <w:p>
            <w:pPr>
              <w:spacing w:after="0" w:line="240"/>
            </w:pPr>
            <w:r>
              <w:rPr>
                <w:b w:val="false"/>
                <w:bCs w:val="false"/>
                <w:color w:val="17212B"/>
                <w:sz w:val="19"/>
                <w:szCs w:val="19"/>
              </w:rPr>
              <w:t xml:space="preserve">Scores transaction risk</w:t>
            </w:r>
          </w:p>
        </w:tc>
      </w:tr>
      <w:tr>
        <w:trPr>
          <w:cantSplit/>
          <w:tblHeader w:val="false"/>
        </w:trPr>
        <w:tc>
          <w:tcPr>
            <w:tcW w:type="dxa" w:w="2350"/>
            <w:vAlign w:val="center"/>
          </w:tcPr>
          <w:p>
            <w:pPr>
              <w:spacing w:after="0" w:line="240"/>
            </w:pPr>
            <w:r>
              <w:rPr>
                <w:b w:val="false"/>
                <w:bCs w:val="false"/>
                <w:color w:val="17212B"/>
                <w:sz w:val="19"/>
                <w:szCs w:val="19"/>
              </w:rPr>
              <w:t xml:space="preserve">Graph features</w:t>
            </w:r>
          </w:p>
        </w:tc>
        <w:tc>
          <w:tcPr>
            <w:tcW w:type="dxa" w:w="1750"/>
            <w:vAlign w:val="center"/>
          </w:tcPr>
          <w:p>
            <w:pPr>
              <w:spacing w:after="0" w:line="240"/>
            </w:pPr>
            <w:r>
              <w:rPr>
                <w:b w:val="false"/>
                <w:bCs w:val="false"/>
                <w:color w:val="17212B"/>
                <w:sz w:val="19"/>
                <w:szCs w:val="19"/>
              </w:rPr>
              <w:t xml:space="preserve">ML signal</w:t>
            </w:r>
          </w:p>
        </w:tc>
        <w:tc>
          <w:tcPr>
            <w:tcW w:type="dxa" w:w="5020"/>
            <w:vAlign w:val="center"/>
          </w:tcPr>
          <w:p>
            <w:pPr>
              <w:spacing w:after="0" w:line="240"/>
            </w:pPr>
            <w:r>
              <w:rPr>
                <w:b w:val="false"/>
                <w:bCs w:val="false"/>
                <w:color w:val="17212B"/>
                <w:sz w:val="19"/>
                <w:szCs w:val="19"/>
              </w:rPr>
              <w:t xml:space="preserve">Measures cross-account merchant convergence</w:t>
            </w:r>
          </w:p>
        </w:tc>
      </w:tr>
      <w:tr>
        <w:trPr>
          <w:cantSplit/>
          <w:tblHeader w:val="false"/>
        </w:trPr>
        <w:tc>
          <w:tcPr>
            <w:tcW w:type="dxa" w:w="2350"/>
            <w:shd w:fill="F2F4F7" w:color="auto" w:val="clear"/>
            <w:vAlign w:val="center"/>
          </w:tcPr>
          <w:p>
            <w:pPr>
              <w:spacing w:after="0" w:line="240"/>
            </w:pPr>
            <w:r>
              <w:rPr>
                <w:b w:val="false"/>
                <w:bCs w:val="false"/>
                <w:color w:val="17212B"/>
                <w:sz w:val="19"/>
                <w:szCs w:val="19"/>
              </w:rPr>
              <w:t xml:space="preserve">Simulator</w:t>
            </w:r>
          </w:p>
        </w:tc>
        <w:tc>
          <w:tcPr>
            <w:tcW w:type="dxa" w:w="1750"/>
            <w:shd w:fill="F2F4F7" w:color="auto" w:val="clear"/>
            <w:vAlign w:val="center"/>
          </w:tcPr>
          <w:p>
            <w:pPr>
              <w:spacing w:after="0" w:line="240"/>
            </w:pPr>
            <w:r>
              <w:rPr>
                <w:b w:val="false"/>
                <w:bCs w:val="false"/>
                <w:color w:val="17212B"/>
                <w:sz w:val="19"/>
                <w:szCs w:val="19"/>
              </w:rPr>
              <w:t xml:space="preserve">DETERMINISTIC</w:t>
            </w:r>
          </w:p>
        </w:tc>
        <w:tc>
          <w:tcPr>
            <w:tcW w:type="dxa" w:w="5020"/>
            <w:shd w:fill="F2F4F7" w:color="auto" w:val="clear"/>
            <w:vAlign w:val="center"/>
          </w:tcPr>
          <w:p>
            <w:pPr>
              <w:spacing w:after="0" w:line="240"/>
            </w:pPr>
            <w:r>
              <w:rPr>
                <w:b w:val="false"/>
                <w:bCs w:val="false"/>
                <w:color w:val="17212B"/>
                <w:sz w:val="19"/>
                <w:szCs w:val="19"/>
              </w:rPr>
              <w:t xml:space="preserve">Creates transactions and labels</w:t>
            </w:r>
          </w:p>
        </w:tc>
      </w:tr>
      <w:tr>
        <w:trPr>
          <w:cantSplit/>
          <w:tblHeader w:val="false"/>
        </w:trPr>
        <w:tc>
          <w:tcPr>
            <w:tcW w:type="dxa" w:w="2350"/>
            <w:vAlign w:val="center"/>
          </w:tcPr>
          <w:p>
            <w:pPr>
              <w:spacing w:after="0" w:line="240"/>
            </w:pPr>
            <w:r>
              <w:rPr>
                <w:b w:val="false"/>
                <w:bCs w:val="false"/>
                <w:color w:val="17212B"/>
                <w:sz w:val="19"/>
                <w:szCs w:val="19"/>
              </w:rPr>
              <w:t xml:space="preserve">Referee</w:t>
            </w:r>
          </w:p>
        </w:tc>
        <w:tc>
          <w:tcPr>
            <w:tcW w:type="dxa" w:w="1750"/>
            <w:vAlign w:val="center"/>
          </w:tcPr>
          <w:p>
            <w:pPr>
              <w:spacing w:after="0" w:line="240"/>
            </w:pPr>
            <w:r>
              <w:rPr>
                <w:b w:val="false"/>
                <w:bCs w:val="false"/>
                <w:color w:val="17212B"/>
                <w:sz w:val="19"/>
                <w:szCs w:val="19"/>
              </w:rPr>
              <w:t xml:space="preserve">DETERMINISTIC</w:t>
            </w:r>
          </w:p>
        </w:tc>
        <w:tc>
          <w:tcPr>
            <w:tcW w:type="dxa" w:w="5020"/>
            <w:vAlign w:val="center"/>
          </w:tcPr>
          <w:p>
            <w:pPr>
              <w:spacing w:after="0" w:line="240"/>
            </w:pPr>
            <w:r>
              <w:rPr>
                <w:b w:val="false"/>
                <w:bCs w:val="false"/>
                <w:color w:val="17212B"/>
                <w:sz w:val="19"/>
                <w:szCs w:val="19"/>
              </w:rPr>
              <w:t xml:space="preserve">Owns metrics, gates, and replay</w:t>
            </w:r>
          </w:p>
        </w:tc>
      </w:tr>
      <w:tr>
        <w:trPr>
          <w:cantSplit/>
          <w:tblHeader w:val="false"/>
        </w:trPr>
        <w:tc>
          <w:tcPr>
            <w:tcW w:type="dxa" w:w="2350"/>
            <w:shd w:fill="F2F4F7" w:color="auto" w:val="clear"/>
            <w:vAlign w:val="center"/>
          </w:tcPr>
          <w:p>
            <w:pPr>
              <w:spacing w:after="0" w:line="240"/>
            </w:pPr>
            <w:r>
              <w:rPr>
                <w:b w:val="false"/>
                <w:bCs w:val="false"/>
                <w:color w:val="17212B"/>
                <w:sz w:val="19"/>
                <w:szCs w:val="19"/>
              </w:rPr>
              <w:t xml:space="preserve">Demo reasoning</w:t>
            </w:r>
          </w:p>
        </w:tc>
        <w:tc>
          <w:tcPr>
            <w:tcW w:type="dxa" w:w="1750"/>
            <w:shd w:fill="F2F4F7" w:color="auto" w:val="clear"/>
            <w:vAlign w:val="center"/>
          </w:tcPr>
          <w:p>
            <w:pPr>
              <w:spacing w:after="0" w:line="240"/>
            </w:pPr>
            <w:r>
              <w:rPr>
                <w:b w:val="false"/>
                <w:bCs w:val="false"/>
                <w:color w:val="17212B"/>
                <w:sz w:val="19"/>
                <w:szCs w:val="19"/>
              </w:rPr>
              <w:t xml:space="preserve">MOCKED</w:t>
            </w:r>
          </w:p>
        </w:tc>
        <w:tc>
          <w:tcPr>
            <w:tcW w:type="dxa" w:w="5020"/>
            <w:shd w:fill="F2F4F7" w:color="auto" w:val="clear"/>
            <w:vAlign w:val="center"/>
          </w:tcPr>
          <w:p>
            <w:pPr>
              <w:spacing w:after="0" w:line="240"/>
            </w:pPr>
            <w:r>
              <w:rPr>
                <w:b w:val="false"/>
                <w:bCs w:val="false"/>
                <w:color w:val="17212B"/>
                <w:sz w:val="19"/>
                <w:szCs w:val="19"/>
              </w:rPr>
              <w:t xml:space="preserve">Reviewed fixtures replace provider calls only</w:t>
            </w:r>
          </w:p>
        </w:tc>
      </w:tr>
      <w:tr>
        <w:trPr>
          <w:cantSplit/>
          <w:tblHeader w:val="false"/>
        </w:trPr>
        <w:tc>
          <w:tcPr>
            <w:tcW w:type="dxa" w:w="2350"/>
            <w:vAlign w:val="center"/>
          </w:tcPr>
          <w:p>
            <w:pPr>
              <w:spacing w:after="0" w:line="240"/>
            </w:pPr>
            <w:r>
              <w:rPr>
                <w:b w:val="false"/>
                <w:bCs w:val="false"/>
                <w:color w:val="17212B"/>
                <w:sz w:val="19"/>
                <w:szCs w:val="19"/>
              </w:rPr>
              <w:t xml:space="preserve">Sequence model</w:t>
            </w:r>
          </w:p>
        </w:tc>
        <w:tc>
          <w:tcPr>
            <w:tcW w:type="dxa" w:w="1750"/>
            <w:vAlign w:val="center"/>
          </w:tcPr>
          <w:p>
            <w:pPr>
              <w:spacing w:after="0" w:line="240"/>
            </w:pPr>
            <w:r>
              <w:rPr>
                <w:b w:val="false"/>
                <w:bCs w:val="false"/>
                <w:color w:val="17212B"/>
                <w:sz w:val="19"/>
                <w:szCs w:val="19"/>
              </w:rPr>
              <w:t xml:space="preserve">OPTIONAL</w:t>
            </w:r>
          </w:p>
        </w:tc>
        <w:tc>
          <w:tcPr>
            <w:tcW w:type="dxa" w:w="5020"/>
            <w:vAlign w:val="center"/>
          </w:tcPr>
          <w:p>
            <w:pPr>
              <w:spacing w:after="0" w:line="240"/>
            </w:pPr>
            <w:r>
              <w:rPr>
                <w:b w:val="false"/>
                <w:bCs w:val="false"/>
                <w:color w:val="17212B"/>
                <w:sz w:val="19"/>
                <w:szCs w:val="19"/>
              </w:rPr>
              <w:t xml:space="preserve">The current features cover the selected proof</w:t>
            </w:r>
          </w:p>
        </w:tc>
      </w:tr>
    </w:tbl>
    <w:p>
      <w:r>
        <w:br w:type="page"/>
      </w:r>
    </w:p>
    <w:p>
      <w:pPr>
        <w:pStyle w:val="Heading1"/>
      </w:pPr>
      <w:r>
        <w:t xml:space="preserve">17. Limitations</w:t>
      </w:r>
    </w:p>
    <w:p>
      <w:pPr>
        <w:pStyle w:val="ListParagraph"/>
        <w:numPr>
          <w:ilvl w:val="0"/>
          <w:numId w:val="2"/>
        </w:numPr>
      </w:pPr>
      <w:r>
        <w:t xml:space="preserve">The synthetic population does not represent every real payment distribution.</w:t>
      </w:r>
    </w:p>
    <w:p>
      <w:pPr>
        <w:pStyle w:val="ListParagraph"/>
        <w:numPr>
          <w:ilvl w:val="0"/>
          <w:numId w:val="2"/>
        </w:numPr>
      </w:pPr>
      <w:r>
        <w:t xml:space="preserve">The final test uses fresh seeds from the same simulator family.</w:t>
      </w:r>
    </w:p>
    <w:p>
      <w:pPr>
        <w:pStyle w:val="ListParagraph"/>
        <w:numPr>
          <w:ilvl w:val="0"/>
          <w:numId w:val="2"/>
        </w:numPr>
      </w:pPr>
      <w:r>
        <w:t xml:space="preserve">The graph signal covers merchant convergence, not a full network graph.</w:t>
      </w:r>
    </w:p>
    <w:p>
      <w:pPr>
        <w:pStyle w:val="ListParagraph"/>
        <w:numPr>
          <w:ilvl w:val="0"/>
          <w:numId w:val="2"/>
        </w:numPr>
      </w:pPr>
      <w:r>
        <w:t xml:space="preserve">Live reasoning quality varies by the selected model provider.</w:t>
      </w:r>
    </w:p>
    <w:p>
      <w:pPr>
        <w:pStyle w:val="ListParagraph"/>
        <w:numPr>
          <w:ilvl w:val="0"/>
          <w:numId w:val="2"/>
        </w:numPr>
      </w:pPr>
      <w:r>
        <w:t xml:space="preserve">Held-out fraud samples are 81 and 90 transactions. Every headline delta is therefore reported with a 95% Wilson interval and a paired significance test rather than as a bare point estimate.</w:t>
      </w:r>
    </w:p>
    <w:p>
      <w:pPr>
        <w:pStyle w:val="ListParagraph"/>
        <w:numPr>
          <w:ilvl w:val="0"/>
          <w:numId w:val="2"/>
        </w:numPr>
      </w:pPr>
      <w:r>
        <w:t xml:space="preserve">A single block threshold cannot be simultaneously optimal for loud templates and for an attack evolved to sit beneath it. That tension is measured and disclosed, and it is the reason the Arena exists.</w:t>
      </w:r>
    </w:p>
    <w:p>
      <w:pPr>
        <w:pStyle w:val="ListParagraph"/>
        <w:numPr>
          <w:ilvl w:val="0"/>
          <w:numId w:val="2"/>
        </w:numPr>
      </w:pPr>
      <w:r>
        <w:t xml:space="preserve">Sessions are cookie-scoped and in-memory, which is adequate for a shared demo but not for a multi-replica deployment.</w:t>
      </w:r>
    </w:p>
    <w:p>
      <w:pPr>
        <w:pStyle w:val="ListParagraph"/>
        <w:numPr>
          <w:ilvl w:val="0"/>
          <w:numId w:val="2"/>
        </w:numPr>
      </w:pPr>
      <w:r>
        <w:t xml:space="preserve">Measured throughput excludes network and durable-storage costs.</w:t>
      </w:r>
    </w:p>
    <w:p>
      <w:pPr>
        <w:pStyle w:val="Heading1"/>
      </w:pPr>
      <w:r>
        <w:t xml:space="preserve">18. Production Roadmap</w:t>
      </w:r>
    </w:p>
    <w:p>
      <w:pPr>
        <w:pStyle w:val="ListParagraph"/>
        <w:numPr>
          <w:ilvl w:val="0"/>
          <w:numId w:val="4"/>
        </w:numPr>
      </w:pPr>
      <w:r>
        <w:t xml:space="preserve">Calibrate the simulator with authorized and privacy-protected network distributions.</w:t>
      </w:r>
    </w:p>
    <w:p>
      <w:pPr>
        <w:pStyle w:val="ListParagraph"/>
        <w:numPr>
          <w:ilvl w:val="0"/>
          <w:numId w:val="4"/>
        </w:numPr>
      </w:pPr>
      <w:r>
        <w:t xml:space="preserve">Move experiment state to durable, versioned storage.</w:t>
      </w:r>
    </w:p>
    <w:p>
      <w:pPr>
        <w:pStyle w:val="ListParagraph"/>
        <w:numPr>
          <w:ilvl w:val="0"/>
          <w:numId w:val="4"/>
        </w:numPr>
      </w:pPr>
      <w:r>
        <w:t xml:space="preserve">Run isolated search workers with strict quotas and policy controls.</w:t>
      </w:r>
    </w:p>
    <w:p>
      <w:pPr>
        <w:pStyle w:val="ListParagraph"/>
        <w:numPr>
          <w:ilvl w:val="0"/>
          <w:numId w:val="4"/>
        </w:numPr>
      </w:pPr>
      <w:r>
        <w:t xml:space="preserve">Add shadow-mode connectors for authorized fraud models.</w:t>
      </w:r>
    </w:p>
    <w:p>
      <w:pPr>
        <w:pStyle w:val="ListParagraph"/>
        <w:numPr>
          <w:ilvl w:val="0"/>
          <w:numId w:val="4"/>
        </w:numPr>
      </w:pPr>
      <w:r>
        <w:t xml:space="preserve">Add independent model-risk approval before any deployment action.</w:t>
      </w:r>
    </w:p>
    <w:p>
      <w:pPr>
        <w:pStyle w:val="ListParagraph"/>
        <w:numPr>
          <w:ilvl w:val="0"/>
          <w:numId w:val="4"/>
        </w:numPr>
      </w:pPr>
      <w:r>
        <w:t xml:space="preserve">Validate fairness, drift, privacy, security, and latency under production load.</w:t>
      </w:r>
    </w:p>
    <w:p>
      <w:r>
        <w:t xml:space="preserve">The Arena should remain a validation system. It must not autonomously block real transactions or deploy a defense.</w:t>
      </w:r>
    </w:p>
    <w:p>
      <w:pPr>
        <w:pStyle w:val="Heading1"/>
      </w:pPr>
      <w:r>
        <w:t xml:space="preserve">19. Reproduction Instructions</w:t>
      </w:r>
    </w:p>
    <w:p>
      <w:pPr>
        <w:pStyle w:val="ListParagraph"/>
        <w:numPr>
          <w:ilvl w:val="0"/>
          <w:numId w:val="5"/>
        </w:numPr>
      </w:pPr>
      <w:r>
        <w:t xml:space="preserve">Clone the public repository.</w:t>
      </w:r>
    </w:p>
    <w:p>
      <w:pPr>
        <w:pStyle w:val="ListParagraph"/>
        <w:numPr>
          <w:ilvl w:val="0"/>
          <w:numId w:val="5"/>
        </w:numPr>
      </w:pPr>
      <w:r>
        <w:t xml:space="preserve">Use Node.js 22.</w:t>
      </w:r>
    </w:p>
    <w:p>
      <w:pPr>
        <w:pStyle w:val="ListParagraph"/>
        <w:numPr>
          <w:ilvl w:val="0"/>
          <w:numId w:val="5"/>
        </w:numPr>
      </w:pPr>
      <w:r>
        <w:t xml:space="preserve">Run npm ci.</w:t>
      </w:r>
    </w:p>
    <w:p>
      <w:pPr>
        <w:pStyle w:val="ListParagraph"/>
        <w:numPr>
          <w:ilvl w:val="0"/>
          <w:numId w:val="5"/>
        </w:numPr>
      </w:pPr>
      <w:r>
        <w:t xml:space="preserve">Run npm run evidence.</w:t>
      </w:r>
    </w:p>
    <w:p>
      <w:pPr>
        <w:pStyle w:val="ListParagraph"/>
        <w:numPr>
          <w:ilvl w:val="0"/>
          <w:numId w:val="5"/>
        </w:numPr>
      </w:pPr>
      <w:r>
        <w:t xml:space="preserve">Run npm run selfcheck.</w:t>
      </w:r>
    </w:p>
    <w:p>
      <w:pPr>
        <w:pStyle w:val="ListParagraph"/>
        <w:numPr>
          <w:ilvl w:val="0"/>
          <w:numId w:val="5"/>
        </w:numPr>
      </w:pPr>
      <w:r>
        <w:t xml:space="preserve">Run npm run dev.</w:t>
      </w:r>
    </w:p>
    <w:p>
      <w:pPr>
        <w:pStyle w:val="ListParagraph"/>
        <w:numPr>
          <w:ilvl w:val="0"/>
          <w:numId w:val="5"/>
        </w:numPr>
      </w:pPr>
      <w:r>
        <w:t xml:space="preserve">Open http://localhost:3000.</w:t>
      </w:r>
    </w:p>
    <w:p>
      <w:pPr>
        <w:pStyle w:val="ListParagraph"/>
        <w:numPr>
          <w:ilvl w:val="0"/>
          <w:numId w:val="5"/>
        </w:numPr>
      </w:pPr>
      <w:r>
        <w:t xml:space="preserve">Select RUN RED TEAM, INVESTIGATE, and VALIDATE DEFENSE.</w:t>
      </w:r>
    </w:p>
    <w:p>
      <w:r>
        <w:t xml:space="preserve">Demo mode uses reviewed reasoning fixtures. It needs no API key and keeps the complete computational path active.</w:t>
      </w:r>
    </w:p>
    <w:p>
      <w:r>
        <w:t xml:space="preserve">Use npm run handoff to create a secret-free continuation brief for another coding agent.</w:t>
      </w:r>
    </w:p>
    <w:p>
      <w:pPr>
        <w:pStyle w:val="Heading1"/>
      </w:pPr>
      <w:r>
        <w:t xml:space="preserve">20. GitHub Repository</w:t>
      </w:r>
    </w:p>
    <w:p>
      <w:r>
        <w:rPr>
          <w:b/>
          <w:bCs/>
          <w:color w:val="FF5F00"/>
        </w:rPr>
        <w:t xml:space="preserve">https://github.com/dipakkr/mastercard-challlenge-hackathon</w:t>
      </w:r>
    </w:p>
    <w:p>
      <w:r>
        <w:t xml:space="preserve">The repository includes the source, tests, evidence JSON, benchmark JSON, methodology, threat model, responsible AI statement, and this walkthrough.</w:t>
      </w:r>
    </w:p>
    <w:p>
      <w:pPr>
        <w:pStyle w:val="Heading1"/>
      </w:pPr>
      <w:r>
        <w:t xml:space="preserve">21. Web Prototype</w:t>
      </w:r>
    </w:p>
    <w:p>
      <w:r>
        <w:rPr>
          <w:b/>
          <w:bCs/>
          <w:color w:val="FF5F00"/>
        </w:rPr>
        <w:t xml:space="preserve">https://adversarial-fraud-arena.vercel.app</w:t>
      </w:r>
    </w:p>
    <w:p>
      <w:r>
        <w:t xml:space="preserve">The public deployment uses Demo mode by default. The deployment does not need an API key to run the complete judge flow.</w:t>
      </w:r>
    </w:p>
    <w:p>
      <w:pPr>
        <w:shd w:fill="EAF3FA" w:color="auto" w:val="clear"/>
        <w:spacing w:after="180" w:before="100"/>
        <w:ind w:left="160" w:right="160"/>
      </w:pPr>
      <w:r>
        <w:rPr>
          <w:b/>
          <w:bCs/>
          <w:color w:val="1A1A1A"/>
        </w:rPr>
        <w:t xml:space="preserve">CLOSING THESIS: </w:t>
      </w:r>
      <w:r>
        <w:t xml:space="preserve">Generate tomorrow's fraud safely today. Discover the blind spot. Prove the defense.</w:t>
      </w:r>
    </w:p>
    <w:sectPr>
      <w:headerReference w:type="default" r:id="rId7"/>
      <w:headerReference w:type="first" r:id="rId8"/>
      <w:headerReference w:type="even" r:id="rId9"/>
      <w:footerReference w:type="default" r:id="rId10"/>
      <w:footerReference w:type="first" r:id="rId11"/>
      <w:footerReference w:type="even" r:id="rId12"/>
      <w:pgSz w:w="12240" w:h="15840" w:orient="portrait"/>
      <w:pgMar w:top="1440" w:right="1440" w:bottom="1440" w:left="1440"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color w:val="5E6A75"/>
        <w:sz w:val="16"/>
        <w:szCs w:val="16"/>
      </w:rPr>
      <w:t xml:space="preserve">AI Defense Lab   |   </w:t>
    </w:r>
    <w:r>
      <w:rPr>
        <w:color w:val="5E6A75"/>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color w:val="5E6A75"/>
        <w:sz w:val="16"/>
        <w:szCs w:val="16"/>
      </w:rPr>
      <w:t xml:space="preserve">AI Defense Lab   |   </w:t>
    </w:r>
    <w:r>
      <w:rPr>
        <w:color w:val="5E6A7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5"/>
      </w:pBdr>
      <w:spacing w:after="0"/>
    </w:pPr>
    <w:r>
      <w:rPr>
        <w:b/>
        <w:bCs/>
        <w:color w:val="1A1A1A"/>
        <w:sz w:val="16"/>
        <w:szCs w:val="16"/>
      </w:rPr>
      <w:t xml:space="preserve">ADVERSARIAL FRAUD ARENA</w:t>
    </w:r>
    <w:r>
      <w:rPr>
        <w:color w:val="5E6A75"/>
        <w:sz w:val="16"/>
        <w:szCs w:val="16"/>
      </w:rPr>
      <w:t xml:space="preserve">   |   SOLUTION WALKTHROUGH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5"/>
      </w:pBdr>
      <w:spacing w:after="0"/>
    </w:pPr>
    <w:r>
      <w:rPr>
        <w:b/>
        <w:bCs/>
        <w:color w:val="1A1A1A"/>
        <w:sz w:val="16"/>
        <w:szCs w:val="16"/>
      </w:rPr>
      <w:t xml:space="preserve">ADVERSARIAL FRAUD ARENA</w:t>
    </w:r>
    <w:r>
      <w:rPr>
        <w:color w:val="5E6A75"/>
        <w:sz w:val="16"/>
        <w:szCs w:val="16"/>
      </w:rPr>
      <w:t xml:space="preserve">   |   SOLUTION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line="264"/>
        <w:ind w:left="720" w:hanging="360"/>
      </w:pPr>
    </w:lvl>
  </w:abstractNum>
  <w:abstractNum w:abstractNumId="3" w15:restartNumberingAfterBreak="0">
    <w:multiLevelType w:val="hybridMultilevel"/>
    <w:lvl w:ilvl="0" w15:tentative="1">
      <w:start w:val="1"/>
      <w:numFmt w:val="decimal"/>
      <w:lvlText w:val="%1."/>
      <w:lvlJc w:val="left"/>
      <w:pPr>
        <w:spacing w:after="100" w:line="264"/>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320"/>
    </w:pPr>
    <w:rPr>
      <w:rFonts w:ascii="Calibri" w:cs="Calibri" w:eastAsia="Calibri" w:hAnsi="Calibri"/>
      <w:b/>
      <w:bCs/>
      <w:color w:val="FF5F00"/>
      <w:sz w:val="32"/>
      <w:szCs w:val="32"/>
    </w:rPr>
  </w:style>
  <w:style w:type="paragraph" w:styleId="Heading2">
    <w:name w:val="Heading 2"/>
    <w:basedOn w:val="Normal"/>
    <w:next w:val="Normal"/>
    <w:qFormat/>
    <w:pPr>
      <w:keepNext/>
      <w:keepLines/>
      <w:spacing w:after="120" w:before="240"/>
    </w:pPr>
    <w:rPr>
      <w:rFonts w:ascii="Calibri" w:cs="Calibri" w:eastAsia="Calibri" w:hAnsi="Calibri"/>
      <w:b/>
      <w:bCs/>
      <w:color w:val="1A1A1A"/>
      <w:sz w:val="26"/>
      <w:szCs w:val="26"/>
    </w:rPr>
  </w:style>
  <w:style w:type="paragraph" w:styleId="Heading3">
    <w:name w:val="Heading 3"/>
    <w:basedOn w:val="Normal"/>
    <w:next w:val="Normal"/>
    <w:qFormat/>
    <w:pPr>
      <w:keepNext/>
      <w:keepLines/>
      <w:spacing w:after="80" w:before="160"/>
    </w:pPr>
    <w:rPr>
      <w:rFonts w:ascii="Calibri" w:cs="Calibri" w:eastAsia="Calibri" w:hAnsi="Calibri"/>
      <w:b/>
      <w:b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Fraud Arena Solution Walkthrough</dc:title>
  <dc:subject>Mastercard Innovation Challenge 2026 AI Defense Lab</dc:subject>
  <dc:creator>Adversarial Fraud Arena Team</dc:creator>
  <dc:description>A reproducible AI Red Team, AI Blue Team, and deterministic Referee for synthetic payment security.</dc:description>
  <cp:lastModifiedBy>Un-named</cp:lastModifiedBy>
  <cp:revision>1</cp:revision>
  <dcterms:created xsi:type="dcterms:W3CDTF">2026-08-31T16:19:58.984Z</dcterms:created>
  <dcterms:modified xsi:type="dcterms:W3CDTF">2026-08-31T16:19:58.984Z</dcterms:modified>
</cp:coreProperties>
</file>

<file path=docProps/custom.xml><?xml version="1.0" encoding="utf-8"?>
<Properties xmlns="http://schemas.openxmlformats.org/officeDocument/2006/custom-properties" xmlns:vt="http://schemas.openxmlformats.org/officeDocument/2006/docPropsVTypes"/>
</file>