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https://github.com/dipakkr/mastercard-challlenge-hackathon</w:t>
      </w:r>
    </w:p>
    <w:p>
      <w:r>
        <w:t xml:space="preserve">Working prototype: https://adversarial-fraud-arena.vercel.app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20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twenty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Relay and fallback abuse</w:t>
            </w:r>
          </w:p>
        </w:tc>
        <w:tc>
          <w:tcPr>
            <w:tcW w:type="dxa" w:w="2500"/>
            <w:vAlign w:val="center"/>
          </w:tcPr>
          <w:p>
            <w:pPr>
              <w:spacing w:after="0" w:line="240"/>
            </w:pPr>
            <w:r>
              <w:rPr>
                <w:b w:val="false"/>
                <w:bCs w:val="false"/>
                <w:color w:val="17212B"/>
                <w:sz w:val="19"/>
                <w:szCs w:val="19"/>
              </w:rPr>
              <w:t xml:space="preserve">Selects weak-fallback terminals, coordinates relay timing</w:t>
            </w:r>
          </w:p>
        </w:tc>
        <w:tc>
          <w:tcPr>
            <w:tcW w:type="dxa" w:w="2950"/>
            <w:vAlign w:val="center"/>
          </w:tcPr>
          <w:p>
            <w:pPr>
              <w:spacing w:after="0" w:line="240"/>
            </w:pPr>
            <w:r>
              <w:rPr>
                <w:b w:val="false"/>
                <w:bCs w:val="false"/>
                <w:color w:val="17212B"/>
                <w:sz w:val="19"/>
                <w:szCs w:val="19"/>
              </w:rPr>
              <w:t xml:space="preserve">Only visible across terminals</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Token provisioning abuse</w:t>
            </w:r>
          </w:p>
        </w:tc>
        <w:tc>
          <w:tcPr>
            <w:tcW w:type="dxa" w:w="2500"/>
            <w:shd w:fill="F2F4F7" w:color="auto" w:val="clear"/>
            <w:vAlign w:val="center"/>
          </w:tcPr>
          <w:p>
            <w:pPr>
              <w:spacing w:after="0" w:line="240"/>
            </w:pPr>
            <w:r>
              <w:rPr>
                <w:b w:val="false"/>
                <w:bCs w:val="false"/>
                <w:color w:val="17212B"/>
                <w:sz w:val="19"/>
                <w:szCs w:val="19"/>
              </w:rPr>
              <w:t xml:space="preserve">Voice-cloned call-centre verification</w:t>
            </w:r>
          </w:p>
        </w:tc>
        <w:tc>
          <w:tcPr>
            <w:tcW w:type="dxa" w:w="2950"/>
            <w:shd w:fill="F2F4F7" w:color="auto" w:val="clear"/>
            <w:vAlign w:val="center"/>
          </w:tcPr>
          <w:p>
            <w:pPr>
              <w:spacing w:after="0" w:line="240"/>
            </w:pPr>
            <w:r>
              <w:rPr>
                <w:b w:val="false"/>
                <w:bCs w:val="false"/>
                <w:color w:val="17212B"/>
                <w:sz w:val="19"/>
                <w:szCs w:val="19"/>
              </w:rPr>
              <w:t xml:space="preserve">Provisioned token scores clean</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Voice-clone step-up bypass</w:t>
            </w:r>
          </w:p>
        </w:tc>
        <w:tc>
          <w:tcPr>
            <w:tcW w:type="dxa" w:w="2500"/>
            <w:vAlign w:val="center"/>
          </w:tcPr>
          <w:p>
            <w:pPr>
              <w:spacing w:after="0" w:line="240"/>
            </w:pPr>
            <w:r>
              <w:rPr>
                <w:b w:val="false"/>
                <w:bCs w:val="false"/>
                <w:color w:val="17212B"/>
                <w:sz w:val="19"/>
                <w:szCs w:val="19"/>
              </w:rPr>
              <w:t xml:space="preserve">Real-time cloning from public audio</w:t>
            </w:r>
          </w:p>
        </w:tc>
        <w:tc>
          <w:tcPr>
            <w:tcW w:type="dxa" w:w="2950"/>
            <w:vAlign w:val="center"/>
          </w:tcPr>
          <w:p>
            <w:pPr>
              <w:spacing w:after="0" w:line="240"/>
            </w:pPr>
            <w:r>
              <w:rPr>
                <w:b w:val="false"/>
                <w:bCs w:val="false"/>
                <w:color w:val="17212B"/>
                <w:sz w:val="19"/>
                <w:szCs w:val="19"/>
              </w:rPr>
              <w:t xml:space="preserve">The verification is the surface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Refund and returnless abuse</w:t>
            </w:r>
          </w:p>
        </w:tc>
        <w:tc>
          <w:tcPr>
            <w:tcW w:type="dxa" w:w="2500"/>
            <w:shd w:fill="F2F4F7" w:color="auto" w:val="clear"/>
            <w:vAlign w:val="center"/>
          </w:tcPr>
          <w:p>
            <w:pPr>
              <w:spacing w:after="0" w:line="240"/>
            </w:pPr>
            <w:r>
              <w:rPr>
                <w:b w:val="false"/>
                <w:bCs w:val="false"/>
                <w:color w:val="17212B"/>
                <w:sz w:val="19"/>
                <w:szCs w:val="19"/>
              </w:rPr>
              <w:t xml:space="preserve">Dispute narratives generated per order</w:t>
            </w:r>
          </w:p>
        </w:tc>
        <w:tc>
          <w:tcPr>
            <w:tcW w:type="dxa" w:w="2950"/>
            <w:shd w:fill="F2F4F7" w:color="auto" w:val="clear"/>
            <w:vAlign w:val="center"/>
          </w:tcPr>
          <w:p>
            <w:pPr>
              <w:spacing w:after="0" w:line="240"/>
            </w:pPr>
            <w:r>
              <w:rPr>
                <w:b w:val="false"/>
                <w:bCs w:val="false"/>
                <w:color w:val="17212B"/>
                <w:sz w:val="19"/>
                <w:szCs w:val="19"/>
              </w:rPr>
              <w:t xml:space="preserve">Claims never accumulate anywhere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First-party chargeback</w:t>
            </w:r>
          </w:p>
        </w:tc>
        <w:tc>
          <w:tcPr>
            <w:tcW w:type="dxa" w:w="2500"/>
            <w:vAlign w:val="center"/>
          </w:tcPr>
          <w:p>
            <w:pPr>
              <w:spacing w:after="0" w:line="240"/>
            </w:pPr>
            <w:r>
              <w:rPr>
                <w:b w:val="false"/>
                <w:bCs w:val="false"/>
                <w:color w:val="17212B"/>
                <w:sz w:val="19"/>
                <w:szCs w:val="19"/>
              </w:rPr>
              <w:t xml:space="preserve">Drafts the strongest dispute reason per order</w:t>
            </w:r>
          </w:p>
        </w:tc>
        <w:tc>
          <w:tcPr>
            <w:tcW w:type="dxa" w:w="2950"/>
            <w:vAlign w:val="center"/>
          </w:tcPr>
          <w:p>
            <w:pPr>
              <w:spacing w:after="0" w:line="240"/>
            </w:pPr>
            <w:r>
              <w:rPr>
                <w:b w:val="false"/>
                <w:bCs w:val="false"/>
                <w:color w:val="17212B"/>
                <w:sz w:val="19"/>
                <w:szCs w:val="19"/>
              </w:rPr>
              <w:t xml:space="preserve">The payment itself is genuine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Agentic commerce abuse</w:t>
            </w:r>
          </w:p>
        </w:tc>
        <w:tc>
          <w:tcPr>
            <w:tcW w:type="dxa" w:w="2500"/>
            <w:shd w:fill="F2F4F7" w:color="auto" w:val="clear"/>
            <w:vAlign w:val="center"/>
          </w:tcPr>
          <w:p>
            <w:pPr>
              <w:spacing w:after="0" w:line="240"/>
            </w:pPr>
            <w:r>
              <w:rPr>
                <w:b w:val="false"/>
                <w:bCs w:val="false"/>
                <w:color w:val="17212B"/>
                <w:sz w:val="19"/>
                <w:szCs w:val="19"/>
              </w:rPr>
              <w:t xml:space="preserve">Compromised agents hold valid delegated credentials</w:t>
            </w:r>
          </w:p>
        </w:tc>
        <w:tc>
          <w:tcPr>
            <w:tcW w:type="dxa" w:w="2950"/>
            <w:shd w:fill="F2F4F7" w:color="auto" w:val="clear"/>
            <w:vAlign w:val="center"/>
          </w:tcPr>
          <w:p>
            <w:pPr>
              <w:spacing w:after="0" w:line="240"/>
            </w:pPr>
            <w:r>
              <w:rPr>
                <w:b w:val="false"/>
                <w:bCs w:val="false"/>
                <w:color w:val="17212B"/>
                <w:sz w:val="19"/>
                <w:szCs w:val="19"/>
              </w:rPr>
              <w:t xml:space="preserve">Machine cadence is expected here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Prompt injection of the defense</w:t>
            </w:r>
          </w:p>
        </w:tc>
        <w:tc>
          <w:tcPr>
            <w:tcW w:type="dxa" w:w="2500"/>
            <w:vAlign w:val="center"/>
          </w:tcPr>
          <w:p>
            <w:pPr>
              <w:spacing w:after="0" w:line="240"/>
            </w:pPr>
            <w:r>
              <w:rPr>
                <w:b w:val="false"/>
                <w:bCs w:val="false"/>
                <w:color w:val="17212B"/>
                <w:sz w:val="19"/>
                <w:szCs w:val="19"/>
              </w:rPr>
              <w:t xml:space="preserve">Merchant text carries instructions for the defender's LLM</w:t>
            </w:r>
          </w:p>
        </w:tc>
        <w:tc>
          <w:tcPr>
            <w:tcW w:type="dxa" w:w="2950"/>
            <w:vAlign w:val="center"/>
          </w:tcPr>
          <w:p>
            <w:pPr>
              <w:spacing w:after="0" w:line="240"/>
            </w:pPr>
            <w:r>
              <w:rPr>
                <w:b w:val="false"/>
                <w:bCs w:val="false"/>
                <w:color w:val="17212B"/>
                <w:sz w:val="19"/>
                <w:szCs w:val="19"/>
              </w:rPr>
              <w:t xml:space="preserve">The reasoning layer is the surface</w:t>
            </w:r>
          </w:p>
        </w:tc>
        <w:tc>
          <w:tcPr>
            <w:tcW w:type="dxa" w:w="1820"/>
            <w:vAlign w:val="center"/>
          </w:tcPr>
          <w:p>
            <w:pPr>
              <w:spacing w:after="0" w:line="240"/>
            </w:pPr>
            <w:r>
              <w:rPr>
                <w:b w:val="false"/>
                <w:bCs w:val="false"/>
                <w:color w:val="17212B"/>
                <w:sz w:val="19"/>
                <w:szCs w:val="19"/>
              </w:rPr>
              <w:t xml:space="preserve">DEFENDED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AI payment scams</w:t>
            </w:r>
          </w:p>
        </w:tc>
        <w:tc>
          <w:tcPr>
            <w:tcW w:type="dxa" w:w="2500"/>
            <w:shd w:fill="F2F4F7" w:color="auto" w:val="clear"/>
            <w:vAlign w:val="center"/>
          </w:tcPr>
          <w:p>
            <w:pPr>
              <w:spacing w:after="0" w:line="240"/>
            </w:pPr>
            <w:r>
              <w:rPr>
                <w:b w:val="false"/>
                <w:bCs w:val="false"/>
                <w:color w:val="17212B"/>
                <w:sz w:val="19"/>
                <w:szCs w:val="19"/>
              </w:rPr>
              <w:t xml:space="preserve">Scales trusted impersonation</w:t>
            </w:r>
          </w:p>
        </w:tc>
        <w:tc>
          <w:tcPr>
            <w:tcW w:type="dxa" w:w="2950"/>
            <w:shd w:fill="F2F4F7" w:color="auto" w:val="clear"/>
            <w:vAlign w:val="center"/>
          </w:tcPr>
          <w:p>
            <w:pPr>
              <w:spacing w:after="0" w:line="240"/>
            </w:pPr>
            <w:r>
              <w:rPr>
                <w:b w:val="false"/>
                <w:bCs w:val="false"/>
                <w:color w:val="17212B"/>
                <w:sz w:val="19"/>
                <w:szCs w:val="19"/>
              </w:rPr>
              <w:t xml:space="preserve">Authorized payment context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KYC manipulation</w:t>
            </w:r>
          </w:p>
        </w:tc>
        <w:tc>
          <w:tcPr>
            <w:tcW w:type="dxa" w:w="2500"/>
            <w:vAlign w:val="center"/>
          </w:tcPr>
          <w:p>
            <w:pPr>
              <w:spacing w:after="0" w:line="240"/>
            </w:pPr>
            <w:r>
              <w:rPr>
                <w:b w:val="false"/>
                <w:bCs w:val="false"/>
                <w:color w:val="17212B"/>
                <w:sz w:val="19"/>
                <w:szCs w:val="19"/>
              </w:rPr>
              <w:t xml:space="preserve">Creates coherent documents</w:t>
            </w:r>
          </w:p>
        </w:tc>
        <w:tc>
          <w:tcPr>
            <w:tcW w:type="dxa" w:w="2950"/>
            <w:vAlign w:val="center"/>
          </w:tcPr>
          <w:p>
            <w:pPr>
              <w:spacing w:after="0" w:line="240"/>
            </w:pPr>
            <w:r>
              <w:rPr>
                <w:b w:val="false"/>
                <w:bCs w:val="false"/>
                <w:color w:val="17212B"/>
                <w:sz w:val="19"/>
                <w:szCs w:val="19"/>
              </w:rPr>
              <w:t xml:space="preserve">Pre-transaction signal</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Merchant collusion</w:t>
            </w:r>
          </w:p>
        </w:tc>
        <w:tc>
          <w:tcPr>
            <w:tcW w:type="dxa" w:w="2500"/>
            <w:shd w:fill="F2F4F7" w:color="auto" w:val="clear"/>
            <w:vAlign w:val="center"/>
          </w:tcPr>
          <w:p>
            <w:pPr>
              <w:spacing w:after="0" w:line="240"/>
            </w:pPr>
            <w:r>
              <w:rPr>
                <w:b w:val="false"/>
                <w:bCs w:val="false"/>
                <w:color w:val="17212B"/>
                <w:sz w:val="19"/>
                <w:szCs w:val="19"/>
              </w:rPr>
              <w:t xml:space="preserve">Coordinates both graph sides</w:t>
            </w:r>
          </w:p>
        </w:tc>
        <w:tc>
          <w:tcPr>
            <w:tcW w:type="dxa" w:w="2950"/>
            <w:shd w:fill="F2F4F7" w:color="auto" w:val="clear"/>
            <w:vAlign w:val="center"/>
          </w:tcPr>
          <w:p>
            <w:pPr>
              <w:spacing w:after="0" w:line="240"/>
            </w:pPr>
            <w:r>
              <w:rPr>
                <w:b w:val="false"/>
                <w:bCs w:val="false"/>
                <w:color w:val="17212B"/>
                <w:sz w:val="19"/>
                <w:szCs w:val="19"/>
              </w:rPr>
              <w:t xml:space="preserve">Normal individual behavior</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Multi-channel impersonation</w:t>
            </w:r>
          </w:p>
        </w:tc>
        <w:tc>
          <w:tcPr>
            <w:tcW w:type="dxa" w:w="2500"/>
            <w:vAlign w:val="center"/>
          </w:tcPr>
          <w:p>
            <w:pPr>
              <w:spacing w:after="0" w:line="240"/>
            </w:pPr>
            <w:r>
              <w:rPr>
                <w:b w:val="false"/>
                <w:bCs w:val="false"/>
                <w:color w:val="17212B"/>
                <w:sz w:val="19"/>
                <w:szCs w:val="19"/>
              </w:rPr>
              <w:t xml:space="preserve">Maintains one cross-channel story</w:t>
            </w:r>
          </w:p>
        </w:tc>
        <w:tc>
          <w:tcPr>
            <w:tcW w:type="dxa" w:w="2950"/>
            <w:vAlign w:val="center"/>
          </w:tcPr>
          <w:p>
            <w:pPr>
              <w:spacing w:after="0" w:line="240"/>
            </w:pPr>
            <w:r>
              <w:rPr>
                <w:b w:val="false"/>
                <w:bCs w:val="false"/>
                <w:color w:val="17212B"/>
                <w:sz w:val="19"/>
                <w:szCs w:val="19"/>
              </w:rPr>
              <w:t xml:space="preserve">Disconnected sensor evidence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Autonomous probing</w:t>
            </w:r>
          </w:p>
        </w:tc>
        <w:tc>
          <w:tcPr>
            <w:tcW w:type="dxa" w:w="2500"/>
            <w:shd w:fill="F2F4F7" w:color="auto" w:val="clear"/>
            <w:vAlign w:val="center"/>
          </w:tcPr>
          <w:p>
            <w:pPr>
              <w:spacing w:after="0" w:line="240"/>
            </w:pPr>
            <w:r>
              <w:rPr>
                <w:b w:val="false"/>
                <w:bCs w:val="false"/>
                <w:color w:val="17212B"/>
                <w:sz w:val="19"/>
                <w:szCs w:val="19"/>
              </w:rPr>
              <w:t xml:space="preserve">Repeats feedback-driven strategy</w:t>
            </w:r>
          </w:p>
        </w:tc>
        <w:tc>
          <w:tcPr>
            <w:tcW w:type="dxa" w:w="2950"/>
            <w:shd w:fill="F2F4F7" w:color="auto" w:val="clear"/>
            <w:vAlign w:val="center"/>
          </w:tcPr>
          <w:p>
            <w:pPr>
              <w:spacing w:after="0" w:line="240"/>
            </w:pPr>
            <w:r>
              <w:rPr>
                <w:b w:val="false"/>
                <w:bCs w:val="false"/>
                <w:color w:val="17212B"/>
                <w:sz w:val="19"/>
                <w:szCs w:val="19"/>
              </w:rPr>
              <w:t xml:space="preserve">Retraining-cycle gap</w:t>
            </w:r>
          </w:p>
        </w:tc>
        <w:tc>
          <w:tcPr>
            <w:tcW w:type="dxa" w:w="1820"/>
            <w:shd w:fill="F2F4F7" w:color="auto" w:val="clear"/>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eight behavioural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What the Model Actually Contributes</w:t>
      </w:r>
    </w:p>
    <w:p>
      <w:r>
        <w:t xml:space="preserve">The reasoning layer is swappable: a deterministic expert policy in demo mode, a live model in live mode. That raises the fair question of whether the model earns its place. This section answers it with a recorded run rather than an assertion.</w:t>
      </w:r>
    </w:p>
    <w:p>
      <w:r>
        <w:t xml:space="preserve">For every attack family the model and the deterministic policy are handed the SAME parent genome and scored by the SAME Referee. The model proposes; code measures. No number in this table is self-reported.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620"/>
        <w:gridCol w:w="2750"/>
        <w:gridCol w:w="2750"/>
      </w:tblGrid>
      <w:tr>
        <w:trPr>
          <w:cantSplit/>
          <w:tblHeader/>
        </w:trPr>
        <w:tc>
          <w:tcPr>
            <w:tcW w:type="dxa" w:w="3620"/>
            <w:shd w:fill="1A1A1A" w:color="auto" w:val="clear"/>
            <w:vAlign w:val="center"/>
          </w:tcPr>
          <w:p>
            <w:pPr>
              <w:spacing w:after="0" w:line="240"/>
            </w:pPr>
            <w:r>
              <w:rPr>
                <w:b/>
                <w:bCs/>
                <w:color w:val="FFFFFF"/>
                <w:sz w:val="19"/>
                <w:szCs w:val="19"/>
              </w:rPr>
              <w:t xml:space="preserve">Metric</w:t>
            </w:r>
          </w:p>
        </w:tc>
        <w:tc>
          <w:tcPr>
            <w:tcW w:type="dxa" w:w="2750"/>
            <w:shd w:fill="1A1A1A" w:color="auto" w:val="clear"/>
            <w:vAlign w:val="center"/>
          </w:tcPr>
          <w:p>
            <w:pPr>
              <w:spacing w:after="0" w:line="240"/>
            </w:pPr>
            <w:r>
              <w:rPr>
                <w:b/>
                <w:bCs/>
                <w:color w:val="FFFFFF"/>
                <w:sz w:val="19"/>
                <w:szCs w:val="19"/>
              </w:rPr>
              <w:t xml:space="preserve">Model</w:t>
            </w:r>
          </w:p>
        </w:tc>
        <w:tc>
          <w:tcPr>
            <w:tcW w:type="dxa" w:w="2750"/>
            <w:shd w:fill="1A1A1A" w:color="auto" w:val="clear"/>
            <w:vAlign w:val="center"/>
          </w:tcPr>
          <w:p>
            <w:pPr>
              <w:spacing w:after="0" w:line="240"/>
            </w:pPr>
            <w:r>
              <w:rPr>
                <w:b/>
                <w:bCs/>
                <w:color w:val="FFFFFF"/>
                <w:sz w:val="19"/>
                <w:szCs w:val="19"/>
              </w:rPr>
              <w:t xml:space="preserve">Deterministic policy</w:t>
            </w:r>
          </w:p>
        </w:tc>
      </w:tr>
      <w:tr>
        <w:trPr>
          <w:cantSplit/>
          <w:tblHeader w:val="false"/>
        </w:trPr>
        <w:tc>
          <w:tcPr>
            <w:tcW w:type="dxa" w:w="3620"/>
            <w:vAlign w:val="center"/>
          </w:tcPr>
          <w:p>
            <w:pPr>
              <w:spacing w:after="0" w:line="240"/>
            </w:pPr>
            <w:r>
              <w:rPr>
                <w:b w:val="false"/>
                <w:bCs w:val="false"/>
                <w:color w:val="17212B"/>
                <w:sz w:val="19"/>
                <w:szCs w:val="19"/>
              </w:rPr>
              <w:t xml:space="preserve">Proposals returned</w:t>
            </w:r>
          </w:p>
        </w:tc>
        <w:tc>
          <w:tcPr>
            <w:tcW w:type="dxa" w:w="2750"/>
            <w:vAlign w:val="center"/>
          </w:tcPr>
          <w:p>
            <w:pPr>
              <w:spacing w:after="0" w:line="240"/>
            </w:pPr>
            <w:r>
              <w:rPr>
                <w:b w:val="false"/>
                <w:bCs w:val="false"/>
                <w:color w:val="17212B"/>
                <w:sz w:val="19"/>
                <w:szCs w:val="19"/>
              </w:rPr>
              <w:t xml:space="preserve">10</w:t>
            </w:r>
          </w:p>
        </w:tc>
        <w:tc>
          <w:tcPr>
            <w:tcW w:type="dxa" w:w="2750"/>
            <w:vAlign w:val="center"/>
          </w:tcPr>
          <w:p>
            <w:pPr>
              <w:spacing w:after="0" w:line="240"/>
            </w:pPr>
            <w:r>
              <w:rPr>
                <w:b w:val="false"/>
                <w:bCs w:val="false"/>
                <w:color w:val="17212B"/>
                <w:sz w:val="19"/>
                <w:szCs w:val="19"/>
              </w:rPr>
              <w:t xml:space="preserve">5</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Schema-valid</w:t>
            </w:r>
          </w:p>
        </w:tc>
        <w:tc>
          <w:tcPr>
            <w:tcW w:type="dxa" w:w="2750"/>
            <w:shd w:fill="F2F4F7" w:color="auto" w:val="clear"/>
            <w:vAlign w:val="center"/>
          </w:tcPr>
          <w:p>
            <w:pPr>
              <w:spacing w:after="0" w:line="240"/>
            </w:pPr>
            <w:r>
              <w:rPr>
                <w:b w:val="false"/>
                <w:bCs w:val="false"/>
                <w:color w:val="17212B"/>
                <w:sz w:val="19"/>
                <w:szCs w:val="19"/>
              </w:rPr>
              <w:t xml:space="preserve">10 of 10</w:t>
            </w:r>
          </w:p>
        </w:tc>
        <w:tc>
          <w:tcPr>
            <w:tcW w:type="dxa" w:w="2750"/>
            <w:shd w:fill="F2F4F7" w:color="auto" w:val="clear"/>
            <w:vAlign w:val="center"/>
          </w:tcPr>
          <w:p>
            <w:pPr>
              <w:spacing w:after="0" w:line="240"/>
            </w:pPr>
            <w:r>
              <w:rPr>
                <w:b w:val="false"/>
                <w:bCs w:val="false"/>
                <w:color w:val="17212B"/>
                <w:sz w:val="19"/>
                <w:szCs w:val="19"/>
              </w:rPr>
              <w:t xml:space="preserve">n/a</w:t>
            </w:r>
          </w:p>
        </w:tc>
      </w:tr>
      <w:tr>
        <w:trPr>
          <w:cantSplit/>
          <w:tblHeader w:val="false"/>
        </w:trPr>
        <w:tc>
          <w:tcPr>
            <w:tcW w:type="dxa" w:w="3620"/>
            <w:vAlign w:val="center"/>
          </w:tcPr>
          <w:p>
            <w:pPr>
              <w:spacing w:after="0" w:line="240"/>
            </w:pPr>
            <w:r>
              <w:rPr>
                <w:b w:val="false"/>
                <w:bCs w:val="false"/>
                <w:color w:val="17212B"/>
                <w:sz w:val="19"/>
                <w:szCs w:val="19"/>
              </w:rPr>
              <w:t xml:space="preserve">Mean novelty distance</w:t>
            </w:r>
          </w:p>
        </w:tc>
        <w:tc>
          <w:tcPr>
            <w:tcW w:type="dxa" w:w="2750"/>
            <w:vAlign w:val="center"/>
          </w:tcPr>
          <w:p>
            <w:pPr>
              <w:spacing w:after="0" w:line="240"/>
            </w:pPr>
            <w:r>
              <w:rPr>
                <w:b w:val="false"/>
                <w:bCs w:val="false"/>
                <w:color w:val="17212B"/>
                <w:sz w:val="19"/>
                <w:szCs w:val="19"/>
              </w:rPr>
              <w:t xml:space="preserve">4.657</w:t>
            </w:r>
          </w:p>
        </w:tc>
        <w:tc>
          <w:tcPr>
            <w:tcW w:type="dxa" w:w="2750"/>
            <w:vAlign w:val="center"/>
          </w:tcPr>
          <w:p>
            <w:pPr>
              <w:spacing w:after="0" w:line="240"/>
            </w:pPr>
            <w:r>
              <w:rPr>
                <w:b w:val="false"/>
                <w:bCs w:val="false"/>
                <w:color w:val="17212B"/>
                <w:sz w:val="19"/>
                <w:szCs w:val="19"/>
              </w:rPr>
              <w:t xml:space="preserve">1.082</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Counted novel (tau = 1.2)</w:t>
            </w:r>
          </w:p>
        </w:tc>
        <w:tc>
          <w:tcPr>
            <w:tcW w:type="dxa" w:w="2750"/>
            <w:shd w:fill="F2F4F7" w:color="auto" w:val="clear"/>
            <w:vAlign w:val="center"/>
          </w:tcPr>
          <w:p>
            <w:pPr>
              <w:spacing w:after="0" w:line="240"/>
            </w:pPr>
            <w:r>
              <w:rPr>
                <w:b w:val="false"/>
                <w:bCs w:val="false"/>
                <w:color w:val="17212B"/>
                <w:sz w:val="19"/>
                <w:szCs w:val="19"/>
              </w:rPr>
              <w:t xml:space="preserve">10</w:t>
            </w:r>
          </w:p>
        </w:tc>
        <w:tc>
          <w:tcPr>
            <w:tcW w:type="dxa" w:w="2750"/>
            <w:shd w:fill="F2F4F7" w:color="auto" w:val="clear"/>
            <w:vAlign w:val="center"/>
          </w:tcPr>
          <w:p>
            <w:pPr>
              <w:spacing w:after="0" w:line="240"/>
            </w:pPr>
            <w:r>
              <w:rPr>
                <w:b w:val="false"/>
                <w:bCs w:val="false"/>
                <w:color w:val="17212B"/>
                <w:sz w:val="19"/>
                <w:szCs w:val="19"/>
              </w:rPr>
              <w:t xml:space="preserve">1</w:t>
            </w:r>
          </w:p>
        </w:tc>
      </w:tr>
      <w:tr>
        <w:trPr>
          <w:cantSplit/>
          <w:tblHeader w:val="false"/>
        </w:trPr>
        <w:tc>
          <w:tcPr>
            <w:tcW w:type="dxa" w:w="3620"/>
            <w:vAlign w:val="center"/>
          </w:tcPr>
          <w:p>
            <w:pPr>
              <w:spacing w:after="0" w:line="240"/>
            </w:pPr>
            <w:r>
              <w:rPr>
                <w:b w:val="false"/>
                <w:bCs w:val="false"/>
                <w:color w:val="17212B"/>
                <w:sz w:val="19"/>
                <w:szCs w:val="19"/>
              </w:rPr>
              <w:t xml:space="preserve">Evaded the detector immediately</w:t>
            </w:r>
          </w:p>
        </w:tc>
        <w:tc>
          <w:tcPr>
            <w:tcW w:type="dxa" w:w="2750"/>
            <w:vAlign w:val="center"/>
          </w:tcPr>
          <w:p>
            <w:pPr>
              <w:spacing w:after="0" w:line="240"/>
            </w:pPr>
            <w:r>
              <w:rPr>
                <w:b w:val="false"/>
                <w:bCs w:val="false"/>
                <w:color w:val="17212B"/>
                <w:sz w:val="19"/>
                <w:szCs w:val="19"/>
              </w:rPr>
              <w:t xml:space="preserve">2</w:t>
            </w:r>
          </w:p>
        </w:tc>
        <w:tc>
          <w:tcPr>
            <w:tcW w:type="dxa" w:w="2750"/>
            <w:vAlign w:val="center"/>
          </w:tcPr>
          <w:p>
            <w:pPr>
              <w:spacing w:after="0" w:line="240"/>
            </w:pPr>
            <w:r>
              <w:rPr>
                <w:b w:val="false"/>
                <w:bCs w:val="false"/>
                <w:color w:val="17212B"/>
                <w:sz w:val="19"/>
                <w:szCs w:val="19"/>
              </w:rPr>
              <w:t xml:space="preserve">1</w:t>
            </w:r>
          </w:p>
        </w:tc>
      </w:tr>
    </w:tbl>
    <w:p>
      <w:pPr>
        <w:shd w:fill="EAF3FA" w:color="auto" w:val="clear"/>
        <w:spacing w:after="180" w:before="100"/>
        <w:ind w:left="160" w:right="160"/>
      </w:pPr>
      <w:r>
        <w:rPr>
          <w:b/>
          <w:bCs/>
          <w:color w:val="1A1A1A"/>
        </w:rPr>
        <w:t xml:space="preserve">WHY GENAI IS NECESSARY: </w:t>
      </w:r>
      <w:r>
        <w:t xml:space="preserve">The model explores roughly 4.3 times further from the known templates than the hand-written policy, and every proposal it returned passed the bounded genome schema. The policy encodes what we already thought of; the model reaches regions we did not. Recorded against gpt-5; the full record, including every proposed genome, is in data/evidence/live-run.json.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400"/>
        <w:gridCol w:w="2100"/>
        <w:gridCol w:w="1620"/>
      </w:tblGrid>
      <w:tr>
        <w:trPr>
          <w:cantSplit/>
          <w:tblHeader/>
        </w:trPr>
        <w:tc>
          <w:tcPr>
            <w:tcW w:type="dxa" w:w="3000"/>
            <w:shd w:fill="1A1A1A" w:color="auto" w:val="clear"/>
            <w:vAlign w:val="center"/>
          </w:tcPr>
          <w:p>
            <w:pPr>
              <w:spacing w:after="0" w:line="240"/>
            </w:pPr>
            <w:r>
              <w:rPr>
                <w:b/>
                <w:bCs/>
                <w:color w:val="FFFFFF"/>
                <w:sz w:val="19"/>
                <w:szCs w:val="19"/>
              </w:rPr>
              <w:t xml:space="preserve">Family</w:t>
            </w:r>
          </w:p>
        </w:tc>
        <w:tc>
          <w:tcPr>
            <w:tcW w:type="dxa" w:w="2400"/>
            <w:shd w:fill="1A1A1A" w:color="auto" w:val="clear"/>
            <w:vAlign w:val="center"/>
          </w:tcPr>
          <w:p>
            <w:pPr>
              <w:spacing w:after="0" w:line="240"/>
            </w:pPr>
            <w:r>
              <w:rPr>
                <w:b/>
                <w:bCs/>
                <w:color w:val="FFFFFF"/>
                <w:sz w:val="19"/>
                <w:szCs w:val="19"/>
              </w:rPr>
              <w:t xml:space="preserve">Model novelty</w:t>
            </w:r>
          </w:p>
        </w:tc>
        <w:tc>
          <w:tcPr>
            <w:tcW w:type="dxa" w:w="2100"/>
            <w:shd w:fill="1A1A1A" w:color="auto" w:val="clear"/>
            <w:vAlign w:val="center"/>
          </w:tcPr>
          <w:p>
            <w:pPr>
              <w:spacing w:after="0" w:line="240"/>
            </w:pPr>
            <w:r>
              <w:rPr>
                <w:b/>
                <w:bCs/>
                <w:color w:val="FFFFFF"/>
                <w:sz w:val="19"/>
                <w:szCs w:val="19"/>
              </w:rPr>
              <w:t xml:space="preserve">Policy novelty</w:t>
            </w:r>
          </w:p>
        </w:tc>
        <w:tc>
          <w:tcPr>
            <w:tcW w:type="dxa" w:w="1620"/>
            <w:shd w:fill="1A1A1A" w:color="auto" w:val="clear"/>
            <w:vAlign w:val="center"/>
          </w:tcPr>
          <w:p>
            <w:pPr>
              <w:spacing w:after="0" w:line="240"/>
            </w:pPr>
            <w:r>
              <w:rPr>
                <w:b/>
                <w:bCs/>
                <w:color w:val="FFFFFF"/>
                <w:sz w:val="19"/>
                <w:szCs w:val="19"/>
              </w:rPr>
              <w:t xml:space="preserve">Latency</w:t>
            </w:r>
          </w:p>
        </w:tc>
      </w:tr>
      <w:tr>
        <w:trPr>
          <w:cantSplit/>
          <w:tblHeader w:val="false"/>
        </w:trPr>
        <w:tc>
          <w:tcPr>
            <w:tcW w:type="dxa" w:w="3000"/>
            <w:vAlign w:val="center"/>
          </w:tcPr>
          <w:p>
            <w:pPr>
              <w:spacing w:after="0" w:line="240"/>
            </w:pPr>
            <w:r>
              <w:rPr>
                <w:b w:val="false"/>
                <w:bCs w:val="false"/>
                <w:color w:val="17212B"/>
                <w:sz w:val="19"/>
                <w:szCs w:val="19"/>
              </w:rPr>
              <w:t xml:space="preserve">card_testing_drain</w:t>
            </w:r>
          </w:p>
        </w:tc>
        <w:tc>
          <w:tcPr>
            <w:tcW w:type="dxa" w:w="2400"/>
            <w:vAlign w:val="center"/>
          </w:tcPr>
          <w:p>
            <w:pPr>
              <w:spacing w:after="0" w:line="240"/>
            </w:pPr>
            <w:r>
              <w:rPr>
                <w:b w:val="false"/>
                <w:bCs w:val="false"/>
                <w:color w:val="17212B"/>
                <w:sz w:val="19"/>
                <w:szCs w:val="19"/>
              </w:rPr>
              <w:t xml:space="preserve">6.27, 4.48</w:t>
            </w:r>
          </w:p>
        </w:tc>
        <w:tc>
          <w:tcPr>
            <w:tcW w:type="dxa" w:w="2100"/>
            <w:vAlign w:val="center"/>
          </w:tcPr>
          <w:p>
            <w:pPr>
              <w:spacing w:after="0" w:line="240"/>
            </w:pPr>
            <w:r>
              <w:rPr>
                <w:b w:val="false"/>
                <w:bCs w:val="false"/>
                <w:color w:val="17212B"/>
                <w:sz w:val="19"/>
                <w:szCs w:val="19"/>
              </w:rPr>
              <w:t xml:space="preserve">1.18</w:t>
            </w:r>
          </w:p>
        </w:tc>
        <w:tc>
          <w:tcPr>
            <w:tcW w:type="dxa" w:w="1620"/>
            <w:vAlign w:val="center"/>
          </w:tcPr>
          <w:p>
            <w:pPr>
              <w:spacing w:after="0" w:line="240"/>
            </w:pPr>
            <w:r>
              <w:rPr>
                <w:b w:val="false"/>
                <w:bCs w:val="false"/>
                <w:color w:val="17212B"/>
                <w:sz w:val="19"/>
                <w:szCs w:val="19"/>
              </w:rPr>
              <w:t xml:space="preserve">27.3s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low_and_slow</w:t>
            </w:r>
          </w:p>
        </w:tc>
        <w:tc>
          <w:tcPr>
            <w:tcW w:type="dxa" w:w="2400"/>
            <w:shd w:fill="F2F4F7" w:color="auto" w:val="clear"/>
            <w:vAlign w:val="center"/>
          </w:tcPr>
          <w:p>
            <w:pPr>
              <w:spacing w:after="0" w:line="240"/>
            </w:pPr>
            <w:r>
              <w:rPr>
                <w:b w:val="false"/>
                <w:bCs w:val="false"/>
                <w:color w:val="17212B"/>
                <w:sz w:val="19"/>
                <w:szCs w:val="19"/>
              </w:rPr>
              <w:t xml:space="preserve">3.02, 2.19</w:t>
            </w:r>
          </w:p>
        </w:tc>
        <w:tc>
          <w:tcPr>
            <w:tcW w:type="dxa" w:w="2100"/>
            <w:shd w:fill="F2F4F7" w:color="auto" w:val="clear"/>
            <w:vAlign w:val="center"/>
          </w:tcPr>
          <w:p>
            <w:pPr>
              <w:spacing w:after="0" w:line="240"/>
            </w:pPr>
            <w:r>
              <w:rPr>
                <w:b w:val="false"/>
                <w:bCs w:val="false"/>
                <w:color w:val="17212B"/>
                <w:sz w:val="19"/>
                <w:szCs w:val="19"/>
              </w:rPr>
              <w:t xml:space="preserve">0.62</w:t>
            </w:r>
          </w:p>
        </w:tc>
        <w:tc>
          <w:tcPr>
            <w:tcW w:type="dxa" w:w="1620"/>
            <w:shd w:fill="F2F4F7" w:color="auto" w:val="clear"/>
            <w:vAlign w:val="center"/>
          </w:tcPr>
          <w:p>
            <w:pPr>
              <w:spacing w:after="0" w:line="240"/>
            </w:pPr>
            <w:r>
              <w:rPr>
                <w:b w:val="false"/>
                <w:bCs w:val="false"/>
                <w:color w:val="17212B"/>
                <w:sz w:val="19"/>
                <w:szCs w:val="19"/>
              </w:rPr>
              <w:t xml:space="preserve">24.3s</w:t>
            </w:r>
          </w:p>
        </w:tc>
      </w:tr>
      <w:tr>
        <w:trPr>
          <w:cantSplit/>
          <w:tblHeader w:val="false"/>
        </w:trPr>
        <w:tc>
          <w:tcPr>
            <w:tcW w:type="dxa" w:w="3000"/>
            <w:vAlign w:val="center"/>
          </w:tcPr>
          <w:p>
            <w:pPr>
              <w:spacing w:after="0" w:line="240"/>
            </w:pPr>
            <w:r>
              <w:rPr>
                <w:b w:val="false"/>
                <w:bCs w:val="false"/>
                <w:color w:val="17212B"/>
                <w:sz w:val="19"/>
                <w:szCs w:val="19"/>
              </w:rPr>
              <w:t xml:space="preserve">mule_fanout</w:t>
            </w:r>
          </w:p>
        </w:tc>
        <w:tc>
          <w:tcPr>
            <w:tcW w:type="dxa" w:w="2400"/>
            <w:vAlign w:val="center"/>
          </w:tcPr>
          <w:p>
            <w:pPr>
              <w:spacing w:after="0" w:line="240"/>
            </w:pPr>
            <w:r>
              <w:rPr>
                <w:b w:val="false"/>
                <w:bCs w:val="false"/>
                <w:color w:val="17212B"/>
                <w:sz w:val="19"/>
                <w:szCs w:val="19"/>
              </w:rPr>
              <w:t xml:space="preserve">3.34, 4.39</w:t>
            </w:r>
          </w:p>
        </w:tc>
        <w:tc>
          <w:tcPr>
            <w:tcW w:type="dxa" w:w="2100"/>
            <w:vAlign w:val="center"/>
          </w:tcPr>
          <w:p>
            <w:pPr>
              <w:spacing w:after="0" w:line="240"/>
            </w:pPr>
            <w:r>
              <w:rPr>
                <w:b w:val="false"/>
                <w:bCs w:val="false"/>
                <w:color w:val="17212B"/>
                <w:sz w:val="19"/>
                <w:szCs w:val="19"/>
              </w:rPr>
              <w:t xml:space="preserve">0.46</w:t>
            </w:r>
          </w:p>
        </w:tc>
        <w:tc>
          <w:tcPr>
            <w:tcW w:type="dxa" w:w="1620"/>
            <w:vAlign w:val="center"/>
          </w:tcPr>
          <w:p>
            <w:pPr>
              <w:spacing w:after="0" w:line="240"/>
            </w:pPr>
            <w:r>
              <w:rPr>
                <w:b w:val="false"/>
                <w:bCs w:val="false"/>
                <w:color w:val="17212B"/>
                <w:sz w:val="19"/>
                <w:szCs w:val="19"/>
              </w:rPr>
              <w:t xml:space="preserve">26.6s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account_takeover</w:t>
            </w:r>
          </w:p>
        </w:tc>
        <w:tc>
          <w:tcPr>
            <w:tcW w:type="dxa" w:w="2400"/>
            <w:shd w:fill="F2F4F7" w:color="auto" w:val="clear"/>
            <w:vAlign w:val="center"/>
          </w:tcPr>
          <w:p>
            <w:pPr>
              <w:spacing w:after="0" w:line="240"/>
            </w:pPr>
            <w:r>
              <w:rPr>
                <w:b w:val="false"/>
                <w:bCs w:val="false"/>
                <w:color w:val="17212B"/>
                <w:sz w:val="19"/>
                <w:szCs w:val="19"/>
              </w:rPr>
              <w:t xml:space="preserve">7.51, 4.86</w:t>
            </w:r>
          </w:p>
        </w:tc>
        <w:tc>
          <w:tcPr>
            <w:tcW w:type="dxa" w:w="2100"/>
            <w:shd w:fill="F2F4F7" w:color="auto" w:val="clear"/>
            <w:vAlign w:val="center"/>
          </w:tcPr>
          <w:p>
            <w:pPr>
              <w:spacing w:after="0" w:line="240"/>
            </w:pPr>
            <w:r>
              <w:rPr>
                <w:b w:val="false"/>
                <w:bCs w:val="false"/>
                <w:color w:val="17212B"/>
                <w:sz w:val="19"/>
                <w:szCs w:val="19"/>
              </w:rPr>
              <w:t xml:space="preserve">2.10</w:t>
            </w:r>
          </w:p>
        </w:tc>
        <w:tc>
          <w:tcPr>
            <w:tcW w:type="dxa" w:w="1620"/>
            <w:shd w:fill="F2F4F7" w:color="auto" w:val="clear"/>
            <w:vAlign w:val="center"/>
          </w:tcPr>
          <w:p>
            <w:pPr>
              <w:spacing w:after="0" w:line="240"/>
            </w:pPr>
            <w:r>
              <w:rPr>
                <w:b w:val="false"/>
                <w:bCs w:val="false"/>
                <w:color w:val="17212B"/>
                <w:sz w:val="19"/>
                <w:szCs w:val="19"/>
              </w:rPr>
              <w:t xml:space="preserve">30.4s</w:t>
            </w:r>
          </w:p>
        </w:tc>
      </w:tr>
      <w:tr>
        <w:trPr>
          <w:cantSplit/>
          <w:tblHeader w:val="false"/>
        </w:trPr>
        <w:tc>
          <w:tcPr>
            <w:tcW w:type="dxa" w:w="3000"/>
            <w:vAlign w:val="center"/>
          </w:tcPr>
          <w:p>
            <w:pPr>
              <w:spacing w:after="0" w:line="240"/>
            </w:pPr>
            <w:r>
              <w:rPr>
                <w:b w:val="false"/>
                <w:bCs w:val="false"/>
                <w:color w:val="17212B"/>
                <w:sz w:val="19"/>
                <w:szCs w:val="19"/>
              </w:rPr>
              <w:t xml:space="preserve">transaction_splitting</w:t>
            </w:r>
          </w:p>
        </w:tc>
        <w:tc>
          <w:tcPr>
            <w:tcW w:type="dxa" w:w="2400"/>
            <w:vAlign w:val="center"/>
          </w:tcPr>
          <w:p>
            <w:pPr>
              <w:spacing w:after="0" w:line="240"/>
            </w:pPr>
            <w:r>
              <w:rPr>
                <w:b w:val="false"/>
                <w:bCs w:val="false"/>
                <w:color w:val="17212B"/>
                <w:sz w:val="19"/>
                <w:szCs w:val="19"/>
              </w:rPr>
              <w:t xml:space="preserve">4.96, 5.55</w:t>
            </w:r>
          </w:p>
        </w:tc>
        <w:tc>
          <w:tcPr>
            <w:tcW w:type="dxa" w:w="2100"/>
            <w:vAlign w:val="center"/>
          </w:tcPr>
          <w:p>
            <w:pPr>
              <w:spacing w:after="0" w:line="240"/>
            </w:pPr>
            <w:r>
              <w:rPr>
                <w:b w:val="false"/>
                <w:bCs w:val="false"/>
                <w:color w:val="17212B"/>
                <w:sz w:val="19"/>
                <w:szCs w:val="19"/>
              </w:rPr>
              <w:t xml:space="preserve">1.05</w:t>
            </w:r>
          </w:p>
        </w:tc>
        <w:tc>
          <w:tcPr>
            <w:tcW w:type="dxa" w:w="1620"/>
            <w:vAlign w:val="center"/>
          </w:tcPr>
          <w:p>
            <w:pPr>
              <w:spacing w:after="0" w:line="240"/>
            </w:pPr>
            <w:r>
              <w:rPr>
                <w:b w:val="false"/>
                <w:bCs w:val="false"/>
                <w:color w:val="17212B"/>
                <w:sz w:val="19"/>
                <w:szCs w:val="19"/>
              </w:rPr>
              <w:t xml:space="preserve">32.8s</w:t>
            </w:r>
          </w:p>
        </w:tc>
      </w:tr>
    </w:tbl>
    <w:p>
      <w:r>
        <w:rPr>
          <w:i/>
          <w:iCs/>
        </w:rPr>
        <w:t xml:space="preserve">The failure that produced this section is worth stating. The strategist prompt originally told the model to stay inside the documented bounds without ever listing them, so it guessed, its proposals were rejected by the schema, and the arena silently fell back to the policy. Two of five families returned nothing usable. Spelling the bounds out took every family to a full set of schema-valid proposals.</w:t>
      </w:r>
    </w:p>
    <w:p>
      <w:r>
        <w:br w:type="page"/>
      </w:r>
    </w:p>
    <w:p>
      <w:pPr>
        <w:pStyle w:val="Heading1"/>
      </w:pPr>
      <w:r>
        <w:t xml:space="preserve">12.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13.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14.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15.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16.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17.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18.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19.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20. GitHub Repository</w:t>
      </w:r>
    </w:p>
    <w:p>
      <w:r>
        <w:rPr>
          <w:b/>
          <w:bCs/>
          <w:color w:val="FF5F00"/>
        </w:rPr>
        <w:t xml:space="preserve">https://github.com/dipakkr/mastercard-challlenge-hackathon</w:t>
      </w:r>
    </w:p>
    <w:p>
      <w:r>
        <w:t xml:space="preserve">The repository includes the source, tests, evidence JSON, benchmark JSON, methodology, threat model, responsible AI statement, and this walkthrough.</w:t>
      </w:r>
    </w:p>
    <w:p>
      <w:pPr>
        <w:pStyle w:val="Heading1"/>
      </w:pPr>
      <w:r>
        <w:t xml:space="preserve">21. Web Prototype</w:t>
      </w:r>
    </w:p>
    <w:p>
      <w:r>
        <w:rPr>
          <w:b/>
          <w:bCs/>
          <w:color w:val="FF5F00"/>
        </w:rPr>
        <w:t xml:space="preserve">https://adversarial-fraud-arena.vercel.app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2026-08-31T14:10:21.752Z</dcterms:created>
  <dcterms:modified xsi:type="dcterms:W3CDTF">2026-08-31T14:10:21.752Z</dcterms:modified>
</cp:coreProperties>
</file>

<file path=docProps/custom.xml><?xml version="1.0" encoding="utf-8"?>
<Properties xmlns="http://schemas.openxmlformats.org/officeDocument/2006/custom-properties" xmlns:vt="http://schemas.openxmlformats.org/officeDocument/2006/docPropsVTypes"/>
</file>