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8304" w14:textId="77777777" w:rsidR="00D242C9" w:rsidRPr="00D242C9" w:rsidRDefault="00D242C9" w:rsidP="00D242C9">
      <w:r w:rsidRPr="00D242C9">
        <w:rPr>
          <w:b/>
          <w:bCs/>
        </w:rPr>
        <w:t>Scenario ID:</w:t>
      </w:r>
      <w:r w:rsidRPr="00D242C9">
        <w:t xml:space="preserve"> BLACKSWAN-2026-0603</w:t>
      </w:r>
    </w:p>
    <w:p w14:paraId="5742E820" w14:textId="77777777" w:rsidR="00D242C9" w:rsidRPr="00D242C9" w:rsidRDefault="00D242C9" w:rsidP="00D242C9">
      <w:r w:rsidRPr="00D242C9">
        <w:rPr>
          <w:b/>
          <w:bCs/>
        </w:rPr>
        <w:t>Title:</w:t>
      </w:r>
      <w:r w:rsidRPr="00D242C9">
        <w:t xml:space="preserve"> Triple-Threat Operational Contagion</w:t>
      </w:r>
    </w:p>
    <w:p w14:paraId="3CCFEBE4" w14:textId="77777777" w:rsidR="00D242C9" w:rsidRPr="00D242C9" w:rsidRDefault="00D242C9" w:rsidP="00D242C9">
      <w:r w:rsidRPr="00D242C9">
        <w:rPr>
          <w:b/>
          <w:bCs/>
        </w:rPr>
        <w:t>Description:</w:t>
      </w:r>
    </w:p>
    <w:p w14:paraId="0F99629F" w14:textId="77777777" w:rsidR="00D242C9" w:rsidRPr="00D242C9" w:rsidRDefault="00D242C9" w:rsidP="00D242C9">
      <w:r w:rsidRPr="00D242C9">
        <w:t>On June 3, 2026, the Neelkanth Protocol encountered a simulated "Black Swan" event characterized by three simultaneous stressors:</w:t>
      </w:r>
    </w:p>
    <w:p w14:paraId="0A692A9B" w14:textId="77777777" w:rsidR="00D242C9" w:rsidRPr="00D242C9" w:rsidRDefault="00D242C9" w:rsidP="00D242C9">
      <w:pPr>
        <w:numPr>
          <w:ilvl w:val="0"/>
          <w:numId w:val="1"/>
        </w:numPr>
      </w:pPr>
      <w:r w:rsidRPr="00D242C9">
        <w:rPr>
          <w:b/>
          <w:bCs/>
        </w:rPr>
        <w:t>Market Volatility:</w:t>
      </w:r>
      <w:r w:rsidRPr="00D242C9">
        <w:t xml:space="preserve"> A 340% surge in mortgage inquiries driven by US/UK Fed rate stagnation.</w:t>
      </w:r>
    </w:p>
    <w:p w14:paraId="7F9442AA" w14:textId="77777777" w:rsidR="00D242C9" w:rsidRPr="00D242C9" w:rsidRDefault="00D242C9" w:rsidP="00D242C9">
      <w:pPr>
        <w:numPr>
          <w:ilvl w:val="0"/>
          <w:numId w:val="1"/>
        </w:numPr>
      </w:pPr>
      <w:r w:rsidRPr="00D242C9">
        <w:rPr>
          <w:b/>
          <w:bCs/>
        </w:rPr>
        <w:t>Infrastructure Instability:</w:t>
      </w:r>
      <w:r w:rsidRPr="00D242C9">
        <w:t xml:space="preserve"> A 12% call-drop rate caused by technical drift.</w:t>
      </w:r>
    </w:p>
    <w:p w14:paraId="75CE6319" w14:textId="77777777" w:rsidR="00D242C9" w:rsidRPr="00D242C9" w:rsidRDefault="00D242C9" w:rsidP="00D242C9">
      <w:pPr>
        <w:numPr>
          <w:ilvl w:val="0"/>
          <w:numId w:val="1"/>
        </w:numPr>
      </w:pPr>
      <w:r w:rsidRPr="00D242C9">
        <w:rPr>
          <w:b/>
          <w:bCs/>
        </w:rPr>
        <w:t>Capacity Constraint:</w:t>
      </w:r>
      <w:r w:rsidRPr="00D242C9">
        <w:t xml:space="preserve"> A scheduled break window reducing available FTEs to 4 (a 73% reduction).</w:t>
      </w:r>
    </w:p>
    <w:p w14:paraId="09BCB34A" w14:textId="77777777" w:rsidR="00D242C9" w:rsidRPr="00D242C9" w:rsidRDefault="00D242C9" w:rsidP="00D242C9">
      <w:r w:rsidRPr="00D242C9">
        <w:rPr>
          <w:b/>
          <w:bCs/>
        </w:rPr>
        <w:t>Governance Response:</w:t>
      </w:r>
    </w:p>
    <w:p w14:paraId="2736E571" w14:textId="77777777" w:rsidR="00D242C9" w:rsidRPr="00D242C9" w:rsidRDefault="00D242C9" w:rsidP="00D242C9">
      <w:r w:rsidRPr="00D242C9">
        <w:t xml:space="preserve">The Sentinel’s logic-drift engine identified the pattern deviation, dynamically scaling AI autonomy to 85% to maintain a stable </w:t>
      </w:r>
      <w:r w:rsidRPr="00D242C9">
        <w:rPr>
          <w:b/>
          <w:bCs/>
        </w:rPr>
        <w:t>Pressure-Integrity Ratio (PIR) of 0.75</w:t>
      </w:r>
      <w:r w:rsidRPr="00D242C9">
        <w:t xml:space="preserve">. In accordance with the </w:t>
      </w:r>
      <w:r w:rsidRPr="00D242C9">
        <w:rPr>
          <w:b/>
          <w:bCs/>
        </w:rPr>
        <w:t>#MehendiPrinciple</w:t>
      </w:r>
      <w:r w:rsidRPr="00D242C9">
        <w:t>, the system enforced hard-stop guardrails on all high-risk interest rate advice, successfully preventing regulatory breaches while mitigating operational collapse.</w:t>
      </w:r>
    </w:p>
    <w:p w14:paraId="6B5F4167" w14:textId="77777777" w:rsidR="00961CF8" w:rsidRDefault="00961CF8"/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113CC"/>
    <w:multiLevelType w:val="multilevel"/>
    <w:tmpl w:val="352A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54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C9"/>
    <w:rsid w:val="001C2135"/>
    <w:rsid w:val="004F670E"/>
    <w:rsid w:val="006515DF"/>
    <w:rsid w:val="00961CF8"/>
    <w:rsid w:val="00AF4330"/>
    <w:rsid w:val="00B44969"/>
    <w:rsid w:val="00D2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C21A"/>
  <w15:chartTrackingRefBased/>
  <w15:docId w15:val="{859D0699-02C4-41B0-ADC7-74392DF1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2026-06-03T17:17:00Z</dcterms:created>
  <dcterms:modified xsi:type="dcterms:W3CDTF">2026-06-03T17:19:00Z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8df08b09-3e81-4c8e-ae87-08ed07c4c8ec</vt:lpwstr>
  </property>
</Properties>
</file>