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1F4E79"/>
          <w:sz w:val="50"/>
        </w:rPr>
        <w:t>Executive Summary</w:t>
      </w:r>
    </w:p>
    <w:p>
      <w:pPr>
        <w:jc w:val="center"/>
      </w:pPr>
      <w:r>
        <w:rPr>
          <w:color w:val="595959"/>
          <w:sz w:val="28"/>
        </w:rPr>
        <w:t>Factory Reallocation &amp; Shipping Optimization Recommendation System</w:t>
      </w:r>
    </w:p>
    <w:p>
      <w:pPr>
        <w:spacing w:before="700"/>
        <w:jc w:val="center"/>
      </w:pPr>
      <w:r>
        <w:t>Prepared as an analytical prototype and decision-support proposal</w:t>
        <w:br/>
      </w:r>
      <w:r>
        <w:t>Dataset: Nassau Candy Distributor (10,194 records)</w:t>
        <w:br/>
      </w:r>
      <w:r>
        <w:t>Date: October 2026</w:t>
      </w:r>
    </w:p>
    <w:p>
      <w:r>
        <w:br w:type="page"/>
      </w:r>
    </w:p>
    <w:p>
      <w:pPr>
        <w:pStyle w:val="Heading1"/>
      </w:pPr>
      <w:r>
        <w:t>Purpose</w:t>
      </w:r>
    </w:p>
    <w:p>
      <w:r>
        <w:t>This project proposes a transparent decision-support workflow to help operations teams compare factory assignments and shipping scenarios before making changes. It combines commercial data analysis with a prototype scenario simulator and a plan for future lead-time prediction and constrained optimization.</w:t>
      </w:r>
    </w:p>
    <w:p>
      <w:pPr>
        <w:pStyle w:val="Heading1"/>
      </w:pPr>
      <w:r>
        <w:t>What the data currently show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Indicator</w:t>
            </w:r>
          </w:p>
        </w:tc>
        <w:tc>
          <w:tcPr>
            <w:tcW w:type="dxa" w:w="4320"/>
          </w:tcPr>
          <w:p>
            <w:r>
              <w:t>Observed baseline</w:t>
            </w:r>
          </w:p>
        </w:tc>
      </w:tr>
      <w:tr>
        <w:tc>
          <w:tcPr>
            <w:tcW w:type="dxa" w:w="4320"/>
          </w:tcPr>
          <w:p>
            <w:r>
              <w:t>Records</w:t>
            </w:r>
          </w:p>
        </w:tc>
        <w:tc>
          <w:tcPr>
            <w:tcW w:type="dxa" w:w="4320"/>
          </w:tcPr>
          <w:p>
            <w:r>
              <w:t>10,194 order lines across 8,549 orders</w:t>
            </w:r>
          </w:p>
        </w:tc>
      </w:tr>
      <w:tr>
        <w:tc>
          <w:tcPr>
            <w:tcW w:type="dxa" w:w="4320"/>
          </w:tcPr>
          <w:p>
            <w:r>
              <w:t>Products / destinations</w:t>
            </w:r>
          </w:p>
        </w:tc>
        <w:tc>
          <w:tcPr>
            <w:tcW w:type="dxa" w:w="4320"/>
          </w:tcPr>
          <w:p>
            <w:r>
              <w:t>15 products; 59 state/province values</w:t>
            </w:r>
          </w:p>
        </w:tc>
      </w:tr>
      <w:tr>
        <w:tc>
          <w:tcPr>
            <w:tcW w:type="dxa" w:w="4320"/>
          </w:tcPr>
          <w:p>
            <w:r>
              <w:t>Sales</w:t>
            </w:r>
          </w:p>
        </w:tc>
        <w:tc>
          <w:tcPr>
            <w:tcW w:type="dxa" w:w="4320"/>
          </w:tcPr>
          <w:p>
            <w:r>
              <w:t>$141,783.63</w:t>
            </w:r>
          </w:p>
        </w:tc>
      </w:tr>
      <w:tr>
        <w:tc>
          <w:tcPr>
            <w:tcW w:type="dxa" w:w="4320"/>
          </w:tcPr>
          <w:p>
            <w:r>
              <w:t>Gross profit</w:t>
            </w:r>
          </w:p>
        </w:tc>
        <w:tc>
          <w:tcPr>
            <w:tcW w:type="dxa" w:w="4320"/>
          </w:tcPr>
          <w:p>
            <w:r>
              <w:t>$93,442.80</w:t>
            </w:r>
          </w:p>
        </w:tc>
      </w:tr>
      <w:tr>
        <w:tc>
          <w:tcPr>
            <w:tcW w:type="dxa" w:w="4320"/>
          </w:tcPr>
          <w:p>
            <w:r>
              <w:t>Weighted gross margin</w:t>
            </w:r>
          </w:p>
        </w:tc>
        <w:tc>
          <w:tcPr>
            <w:tcW w:type="dxa" w:w="4320"/>
          </w:tcPr>
          <w:p>
            <w:r>
              <w:t>65.91%</w:t>
            </w:r>
          </w:p>
        </w:tc>
      </w:tr>
      <w:tr>
        <w:tc>
          <w:tcPr>
            <w:tcW w:type="dxa" w:w="4320"/>
          </w:tcPr>
          <w:p>
            <w:r>
              <w:t>Chocolate sales share</w:t>
            </w:r>
          </w:p>
        </w:tc>
        <w:tc>
          <w:tcPr>
            <w:tcW w:type="dxa" w:w="4320"/>
          </w:tcPr>
          <w:p>
            <w:r>
              <w:t>92.88%</w:t>
            </w:r>
          </w:p>
        </w:tc>
      </w:tr>
      <w:tr>
        <w:tc>
          <w:tcPr>
            <w:tcW w:type="dxa" w:w="4320"/>
          </w:tcPr>
          <w:p>
            <w:r>
              <w:t>Date quality</w:t>
            </w:r>
          </w:p>
        </w:tc>
        <w:tc>
          <w:tcPr>
            <w:tcW w:type="dxa" w:w="4320"/>
          </w:tcPr>
          <w:p>
            <w:r>
              <w:t>Median order-to-ship gap: 1,274.0 days; requires validation</w:t>
            </w:r>
          </w:p>
        </w:tc>
      </w:tr>
    </w:tbl>
    <w:p>
      <w:r>
        <w:t>Chocolate is the dominant division by sales (92.88%). The Other division's weighted gross margin is 44.84%, lower than the Chocolate division's 67.45%. These are descriptive signals for review, not proof that reallocating a product will improve profit.</w:t>
      </w:r>
    </w:p>
    <w:p>
      <w:pPr>
        <w:pStyle w:val="Heading1"/>
      </w:pPr>
      <w:r>
        <w:t>Prototype capabilities</w:t>
      </w:r>
    </w:p>
    <w:p>
      <w:pPr>
        <w:pStyle w:val="ListBullet"/>
      </w:pPr>
      <w:r>
        <w:t>Factory Optimization Simulator: compare five supplied factory coordinates for a selected product and destination state proxy.</w:t>
      </w:r>
    </w:p>
    <w:p>
      <w:pPr>
        <w:pStyle w:val="ListBullet"/>
      </w:pPr>
      <w:r>
        <w:t>What-if comparison: inspect the configured current assignment versus a candidate factory.</w:t>
      </w:r>
    </w:p>
    <w:p>
      <w:pPr>
        <w:pStyle w:val="ListBullet"/>
      </w:pPr>
      <w:r>
        <w:t>Recommendation ranking: weight estimated speed against illustrative transport cost/profit protection.</w:t>
      </w:r>
    </w:p>
    <w:p>
      <w:pPr>
        <w:pStyle w:val="ListBullet"/>
      </w:pPr>
      <w:r>
        <w:t>Risk panel: surface missing product assignments, suspicious date intervals, and data requirements.</w:t>
      </w:r>
    </w:p>
    <w:p>
      <w:pPr>
        <w:pStyle w:val="Heading1"/>
      </w:pPr>
      <w:r>
        <w:t>Key decision safeguards</w:t>
      </w:r>
    </w:p>
    <w:p>
      <w:pPr>
        <w:pStyle w:val="ListBullet"/>
      </w:pPr>
      <w:r>
        <w:t>The current dataset does not contain shipment-level factory assignments, factory capacities, actual freight charges, or destination coordinates.</w:t>
      </w:r>
    </w:p>
    <w:p>
      <w:pPr>
        <w:pStyle w:val="ListBullet"/>
      </w:pPr>
      <w:r>
        <w:t>The order-to-ship interval has a median of 1,274 days, so the date definitions must be checked before using it as a lead-time target.</w:t>
      </w:r>
    </w:p>
    <w:p>
      <w:pPr>
        <w:pStyle w:val="ListBullet"/>
      </w:pPr>
      <w:r>
        <w:t>Transit times and shipping costs shown by the prototype are distance-based estimates using stated assumptions; they are not actual carrier quotes or model predictions.</w:t>
      </w:r>
    </w:p>
    <w:p>
      <w:pPr>
        <w:pStyle w:val="ListBullet"/>
      </w:pPr>
      <w:r>
        <w:t>The system should recommend only feasible assignments and must retain human review and an auditable recommendation log.</w:t>
      </w:r>
    </w:p>
    <w:p>
      <w:pPr>
        <w:pStyle w:val="Heading1"/>
      </w:pPr>
      <w:r>
        <w:t>Recommended next steps</w:t>
      </w:r>
    </w:p>
    <w:p>
      <w:pPr>
        <w:pStyle w:val="ListNumber"/>
      </w:pPr>
      <w:r>
        <w:t>Validate date fields and confirm the operational meaning of the ship date.</w:t>
      </w:r>
    </w:p>
    <w:p>
      <w:pPr>
        <w:pStyle w:val="ListNumber"/>
      </w:pPr>
      <w:r>
        <w:t>Collect actual origin factory, delivery date, destination geolocation, freight cost, factory capacity, and product compatibility.</w:t>
      </w:r>
    </w:p>
    <w:p>
      <w:pPr>
        <w:pStyle w:val="ListNumber"/>
      </w:pPr>
      <w:r>
        <w:t>Train Linear Regression, Random Forest, and Gradient Boosting candidates only after validating the target; compare MAE, RMSE, and R² on a time-aware holdout.</w:t>
      </w:r>
    </w:p>
    <w:p>
      <w:pPr>
        <w:pStyle w:val="ListNumber"/>
      </w:pPr>
      <w:r>
        <w:t>Back-test recommendations against historical shipments, quantify uncertainty, and run a limited human-reviewed pilot before operational deployment.</w:t>
      </w:r>
    </w:p>
    <w:p>
      <w:pPr>
        <w:pStyle w:val="Heading1"/>
      </w:pPr>
      <w:r>
        <w:t>Decision requested</w:t>
      </w:r>
    </w:p>
    <w:p>
      <w:r>
        <w:t>Approve a data-validation and pilot-design phase, not an immediate factory reassignment. The prototype is suitable for demonstrating the proposed analytical workflow and identifying missing information; operational savings should be claimed only after validation with actual shipment and cost data.</w:t>
      </w:r>
    </w:p>
    <w:p>
      <w:pPr>
        <w:pStyle w:val="Heading1"/>
      </w:pPr>
      <w:r>
        <w:t>Use note</w:t>
      </w:r>
    </w:p>
    <w:p>
      <w:r>
        <w:t>This brief is written for decision-makers and public-sector-style review. It is an analytical project summary, not an official government finding or an independently audited operational assessment.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