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0"/>
        </w:rPr>
        <w:t>Factory Reallocation &amp; Shipping Optimization Recommendation System</w:t>
      </w:r>
    </w:p>
    <w:p>
      <w:pPr>
        <w:jc w:val="center"/>
      </w:pPr>
      <w:r>
        <w:rPr>
          <w:color w:val="595959"/>
          <w:sz w:val="28"/>
        </w:rPr>
        <w:t>Nassau Candy Distributor | Research Paper and Analytical Design</w:t>
      </w:r>
    </w:p>
    <w:p>
      <w:pPr>
        <w:spacing w:before="700"/>
        <w:jc w:val="center"/>
      </w:pPr>
      <w:r>
        <w:t>Prepared as an analytical prototype and decision-support proposal</w:t>
        <w:br/>
      </w:r>
      <w:r>
        <w:t>Dataset: Nassau Candy Distributor (10,194 records)</w:t>
        <w:br/>
      </w:r>
      <w:r>
        <w:t>Date: October 2026</w:t>
      </w:r>
    </w:p>
    <w:p>
      <w:r>
        <w:br w:type="page"/>
      </w:r>
    </w:p>
    <w:p>
      <w:pPr>
        <w:pStyle w:val="Heading1"/>
      </w:pPr>
      <w:r>
        <w:t>Abstract</w:t>
      </w:r>
    </w:p>
    <w:p>
      <w:r>
        <w:t>This paper proposes a decision-support system for evaluating factory-to-product assignments and shipping scenarios for Nassau Candy Distributor. The system combines exploratory data analysis, a planned supervised lead-time prediction workflow, route-performance segmentation, what-if scenario simulation, and constrained recommendation logic. The supplied dataset contains 10,194 order-line records, 8,549 distinct orders, 15 products, 59 states/provinces, four shipping modes, and financial fields for sales, cost, and gross profit. Aggregate sales are $141,783.63 and gross profit is $93,442.80, producing a weighted gross margin of 65.91%. However, the file lacks actual factory assignments per order line, factory capacity, actual freight costs, destination coordinates, and verified delivery dates. Therefore, the current application is a transparent prototype using the provided factory mapping and illustrative distance-based estimates; it does not claim a trained predictive model or measured savings. The paper defines a validation plan and data requirements needed before operational recommendations can be trusted.</w:t>
      </w:r>
    </w:p>
    <w:p>
      <w:pPr>
        <w:pStyle w:val="Heading2"/>
      </w:pPr>
      <w:r>
        <w:t>Keywords</w:t>
      </w:r>
    </w:p>
    <w:p>
      <w:r>
        <w:t>Supply-chain analytics; factory allocation; shipping optimization; lead-time prediction; scenario simulation; decision intelligence; Streamlit.</w:t>
      </w:r>
    </w:p>
    <w:p>
      <w:pPr>
        <w:pStyle w:val="Heading1"/>
      </w:pPr>
      <w:r>
        <w:t>1. Introduction</w:t>
      </w:r>
    </w:p>
    <w:p>
      <w:r>
        <w:t>Operational analytics is most valuable when it progresses from describing historical performance to evaluating possible decisions. A static product-to-factory assignment may be easy to administer, but it can conceal differences in distance, service requirements, capacity, production compatibility, and logistics cost. This project proposes a repeatable way to compare candidate factory assignments before changes are made.</w:t>
      </w:r>
    </w:p>
    <w:p>
      <w:r>
        <w:t>The goal is not to assert that moving a product will automatically improve performance. Instead, the system should estimate outcomes under explicit assumptions, show uncertainty and risks, and rank only feasible options. It should support human review rather than automatically authorize operational changes.</w:t>
      </w:r>
    </w:p>
    <w:p>
      <w:pPr>
        <w:pStyle w:val="Heading1"/>
      </w:pPr>
      <w:r>
        <w:t>2. Problem Statement and Objectives</w:t>
      </w:r>
    </w:p>
    <w:p>
      <w:pPr>
        <w:pStyle w:val="ListBullet"/>
      </w:pPr>
      <w:r>
        <w:t>Estimate expected shipping lead time for a product, origin factory, destination region/state, and ship mode when sufficient historical examples are available.</w:t>
      </w:r>
    </w:p>
    <w:p>
      <w:pPr>
        <w:pStyle w:val="ListBullet"/>
      </w:pPr>
      <w:r>
        <w:t>Compare the configured current factory with alternative factories in a what-if simulator.</w:t>
      </w:r>
    </w:p>
    <w:p>
      <w:pPr>
        <w:pStyle w:val="ListBullet"/>
      </w:pPr>
      <w:r>
        <w:t>Rank candidate reassignments using lead-time, logistics-cost, and profit-protection priorities.</w:t>
      </w:r>
    </w:p>
    <w:p>
      <w:pPr>
        <w:pStyle w:val="ListBullet"/>
      </w:pPr>
      <w:r>
        <w:t>Identify route groups that may warrant investigation because of slow or variable service.</w:t>
      </w:r>
    </w:p>
    <w:p>
      <w:pPr>
        <w:pStyle w:val="ListBullet"/>
      </w:pPr>
      <w:r>
        <w:t>Expose data-quality gaps and avoid presenting illustrative estimates as actual operational outcomes.</w:t>
      </w:r>
    </w:p>
    <w:p>
      <w:pPr>
        <w:pStyle w:val="Heading1"/>
      </w:pPr>
      <w:r>
        <w:t>3. Dataset and Scope</w:t>
      </w:r>
    </w:p>
    <w:p>
      <w:r>
        <w:t>The supplied CSV contains 10,194 rows and 18 columns. The dataset includes order and ship dates, shipping mode, customer and destination geography, division, product identifiers and names, sales, units, gross profit, and cost. It spans order dates from 2024-01-02 through 2025-12-31; the listed ship dates range from 2026-06-30 through 2030-06-28. The dataset contains 8,549 distinct order IDs, 15 product names, 59 destination state/province values, and 4 shipping modes.</w:t>
      </w:r>
    </w:p>
    <w:p>
      <w:r>
        <w:t>The project brief additionally provides five factory coordinates and a product-to-factory mapping. Those values are treated as supplied configuration rather than independently verified operational records. Kazookles is listed without a current factory in the mapping, so a current-versus-alternative comparison cannot be calculated for it until the assignment is confirmed.</w:t>
      </w:r>
    </w:p>
    <w:p>
      <w:pPr>
        <w:pStyle w:val="Heading1"/>
      </w:pPr>
      <w:r>
        <w:t>4. Exploratory Data Analysis</w:t>
      </w:r>
    </w:p>
    <w:p>
      <w:pPr>
        <w:pStyle w:val="Heading2"/>
      </w:pPr>
      <w:r>
        <w:t>4.1 Overall commercial summary</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Observed value</w:t>
            </w:r>
          </w:p>
        </w:tc>
      </w:tr>
      <w:tr>
        <w:tc>
          <w:tcPr>
            <w:tcW w:type="dxa" w:w="4320"/>
          </w:tcPr>
          <w:p>
            <w:r>
              <w:t>Order-line rows</w:t>
            </w:r>
          </w:p>
        </w:tc>
        <w:tc>
          <w:tcPr>
            <w:tcW w:type="dxa" w:w="4320"/>
          </w:tcPr>
          <w:p>
            <w:r>
              <w:t>10,194</w:t>
            </w:r>
          </w:p>
        </w:tc>
      </w:tr>
      <w:tr>
        <w:tc>
          <w:tcPr>
            <w:tcW w:type="dxa" w:w="4320"/>
          </w:tcPr>
          <w:p>
            <w:r>
              <w:t>Distinct orders</w:t>
            </w:r>
          </w:p>
        </w:tc>
        <w:tc>
          <w:tcPr>
            <w:tcW w:type="dxa" w:w="4320"/>
          </w:tcPr>
          <w:p>
            <w:r>
              <w:t>8,549</w:t>
            </w:r>
          </w:p>
        </w:tc>
      </w:tr>
      <w:tr>
        <w:tc>
          <w:tcPr>
            <w:tcW w:type="dxa" w:w="4320"/>
          </w:tcPr>
          <w:p>
            <w:r>
              <w:t>Products</w:t>
            </w:r>
          </w:p>
        </w:tc>
        <w:tc>
          <w:tcPr>
            <w:tcW w:type="dxa" w:w="4320"/>
          </w:tcPr>
          <w:p>
            <w:r>
              <w:t>15</w:t>
            </w:r>
          </w:p>
        </w:tc>
      </w:tr>
      <w:tr>
        <w:tc>
          <w:tcPr>
            <w:tcW w:type="dxa" w:w="4320"/>
          </w:tcPr>
          <w:p>
            <w:r>
              <w:t>Units</w:t>
            </w:r>
          </w:p>
        </w:tc>
        <w:tc>
          <w:tcPr>
            <w:tcW w:type="dxa" w:w="4320"/>
          </w:tcPr>
          <w:p>
            <w:r>
              <w:t>38,654</w:t>
            </w:r>
          </w:p>
        </w:tc>
      </w:tr>
      <w:tr>
        <w:tc>
          <w:tcPr>
            <w:tcW w:type="dxa" w:w="4320"/>
          </w:tcPr>
          <w:p>
            <w:r>
              <w:t>Sales</w:t>
            </w:r>
          </w:p>
        </w:tc>
        <w:tc>
          <w:tcPr>
            <w:tcW w:type="dxa" w:w="4320"/>
          </w:tcPr>
          <w:p>
            <w:r>
              <w:t>$141,783.63</w:t>
            </w:r>
          </w:p>
        </w:tc>
      </w:tr>
      <w:tr>
        <w:tc>
          <w:tcPr>
            <w:tcW w:type="dxa" w:w="4320"/>
          </w:tcPr>
          <w:p>
            <w:r>
              <w:t>Cost</w:t>
            </w:r>
          </w:p>
        </w:tc>
        <w:tc>
          <w:tcPr>
            <w:tcW w:type="dxa" w:w="4320"/>
          </w:tcPr>
          <w:p>
            <w:r>
              <w:t>$48,340.83</w:t>
            </w:r>
          </w:p>
        </w:tc>
      </w:tr>
      <w:tr>
        <w:tc>
          <w:tcPr>
            <w:tcW w:type="dxa" w:w="4320"/>
          </w:tcPr>
          <w:p>
            <w:r>
              <w:t>Gross profit</w:t>
            </w:r>
          </w:p>
        </w:tc>
        <w:tc>
          <w:tcPr>
            <w:tcW w:type="dxa" w:w="4320"/>
          </w:tcPr>
          <w:p>
            <w:r>
              <w:t>$93,442.80</w:t>
            </w:r>
          </w:p>
        </w:tc>
      </w:tr>
      <w:tr>
        <w:tc>
          <w:tcPr>
            <w:tcW w:type="dxa" w:w="4320"/>
          </w:tcPr>
          <w:p>
            <w:r>
              <w:t>Weighted gross margin</w:t>
            </w:r>
          </w:p>
        </w:tc>
        <w:tc>
          <w:tcPr>
            <w:tcW w:type="dxa" w:w="4320"/>
          </w:tcPr>
          <w:p>
            <w:r>
              <w:t>65.91%</w:t>
            </w:r>
          </w:p>
        </w:tc>
      </w:tr>
      <w:tr>
        <w:tc>
          <w:tcPr>
            <w:tcW w:type="dxa" w:w="4320"/>
          </w:tcPr>
          <w:p>
            <w:r>
              <w:t>Missing cells</w:t>
            </w:r>
          </w:p>
        </w:tc>
        <w:tc>
          <w:tcPr>
            <w:tcW w:type="dxa" w:w="4320"/>
          </w:tcPr>
          <w:p>
            <w:r>
              <w:t>0</w:t>
            </w:r>
          </w:p>
        </w:tc>
      </w:tr>
      <w:tr>
        <w:tc>
          <w:tcPr>
            <w:tcW w:type="dxa" w:w="4320"/>
          </w:tcPr>
          <w:p>
            <w:r>
              <w:t>Exact duplicate rows</w:t>
            </w:r>
          </w:p>
        </w:tc>
        <w:tc>
          <w:tcPr>
            <w:tcW w:type="dxa" w:w="4320"/>
          </w:tcPr>
          <w:p>
            <w:r>
              <w:t>0</w:t>
            </w:r>
          </w:p>
        </w:tc>
      </w:tr>
    </w:tbl>
    <w:p>
      <w:r>
        <w:t>The weighted gross margin is calculated as total gross profit divided by total sales. It is preferable to an unweighted average of product-level margins because products contribute different sales volumes.</w:t>
      </w:r>
    </w:p>
    <w:p>
      <w:pPr>
        <w:pStyle w:val="Heading2"/>
      </w:pPr>
      <w:r>
        <w:t>4.2 Division-level results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Division</w:t>
            </w:r>
          </w:p>
        </w:tc>
        <w:tc>
          <w:tcPr>
            <w:tcW w:type="dxa" w:w="1440"/>
          </w:tcPr>
          <w:p>
            <w:r>
              <w:t>Sales</w:t>
            </w:r>
          </w:p>
        </w:tc>
        <w:tc>
          <w:tcPr>
            <w:tcW w:type="dxa" w:w="1440"/>
          </w:tcPr>
          <w:p>
            <w:r>
              <w:t>Gross profit</w:t>
            </w:r>
          </w:p>
        </w:tc>
        <w:tc>
          <w:tcPr>
            <w:tcW w:type="dxa" w:w="1440"/>
          </w:tcPr>
          <w:p>
            <w:r>
              <w:t>Cost</w:t>
            </w:r>
          </w:p>
        </w:tc>
        <w:tc>
          <w:tcPr>
            <w:tcW w:type="dxa" w:w="1440"/>
          </w:tcPr>
          <w:p>
            <w:r>
              <w:t>Gross margin</w:t>
            </w:r>
          </w:p>
        </w:tc>
        <w:tc>
          <w:tcPr>
            <w:tcW w:type="dxa" w:w="1440"/>
          </w:tcPr>
          <w:p>
            <w:r>
              <w:t>Sales share</w:t>
            </w:r>
          </w:p>
        </w:tc>
      </w:tr>
      <w:tr>
        <w:tc>
          <w:tcPr>
            <w:tcW w:type="dxa" w:w="1440"/>
          </w:tcPr>
          <w:p>
            <w:r>
              <w:t>Chocolate</w:t>
            </w:r>
          </w:p>
        </w:tc>
        <w:tc>
          <w:tcPr>
            <w:tcW w:type="dxa" w:w="1440"/>
          </w:tcPr>
          <w:p>
            <w:r>
              <w:t>$131,692.90</w:t>
            </w:r>
          </w:p>
        </w:tc>
        <w:tc>
          <w:tcPr>
            <w:tcW w:type="dxa" w:w="1440"/>
          </w:tcPr>
          <w:p>
            <w:r>
              <w:t>$88,824.62</w:t>
            </w:r>
          </w:p>
        </w:tc>
        <w:tc>
          <w:tcPr>
            <w:tcW w:type="dxa" w:w="1440"/>
          </w:tcPr>
          <w:p>
            <w:r>
              <w:t>$42,868.28</w:t>
            </w:r>
          </w:p>
        </w:tc>
        <w:tc>
          <w:tcPr>
            <w:tcW w:type="dxa" w:w="1440"/>
          </w:tcPr>
          <w:p>
            <w:r>
              <w:t>67.45%</w:t>
            </w:r>
          </w:p>
        </w:tc>
        <w:tc>
          <w:tcPr>
            <w:tcW w:type="dxa" w:w="1440"/>
          </w:tcPr>
          <w:p>
            <w:r>
              <w:t>92.88%</w:t>
            </w:r>
          </w:p>
        </w:tc>
      </w:tr>
      <w:tr>
        <w:tc>
          <w:tcPr>
            <w:tcW w:type="dxa" w:w="1440"/>
          </w:tcPr>
          <w:p>
            <w:r>
              <w:t>Other</w:t>
            </w:r>
          </w:p>
        </w:tc>
        <w:tc>
          <w:tcPr>
            <w:tcW w:type="dxa" w:w="1440"/>
          </w:tcPr>
          <w:p>
            <w:r>
              <w:t>$9,663.25</w:t>
            </w:r>
          </w:p>
        </w:tc>
        <w:tc>
          <w:tcPr>
            <w:tcW w:type="dxa" w:w="1440"/>
          </w:tcPr>
          <w:p>
            <w:r>
              <w:t>$4,333.45</w:t>
            </w:r>
          </w:p>
        </w:tc>
        <w:tc>
          <w:tcPr>
            <w:tcW w:type="dxa" w:w="1440"/>
          </w:tcPr>
          <w:p>
            <w:r>
              <w:t>$5,329.80</w:t>
            </w:r>
          </w:p>
        </w:tc>
        <w:tc>
          <w:tcPr>
            <w:tcW w:type="dxa" w:w="1440"/>
          </w:tcPr>
          <w:p>
            <w:r>
              <w:t>44.84%</w:t>
            </w:r>
          </w:p>
        </w:tc>
        <w:tc>
          <w:tcPr>
            <w:tcW w:type="dxa" w:w="1440"/>
          </w:tcPr>
          <w:p>
            <w:r>
              <w:t>6.82%</w:t>
            </w:r>
          </w:p>
        </w:tc>
      </w:tr>
      <w:tr>
        <w:tc>
          <w:tcPr>
            <w:tcW w:type="dxa" w:w="1440"/>
          </w:tcPr>
          <w:p>
            <w:r>
              <w:t>Sugar</w:t>
            </w:r>
          </w:p>
        </w:tc>
        <w:tc>
          <w:tcPr>
            <w:tcW w:type="dxa" w:w="1440"/>
          </w:tcPr>
          <w:p>
            <w:r>
              <w:t>$427.48</w:t>
            </w:r>
          </w:p>
        </w:tc>
        <w:tc>
          <w:tcPr>
            <w:tcW w:type="dxa" w:w="1440"/>
          </w:tcPr>
          <w:p>
            <w:r>
              <w:t>$284.73</w:t>
            </w:r>
          </w:p>
        </w:tc>
        <w:tc>
          <w:tcPr>
            <w:tcW w:type="dxa" w:w="1440"/>
          </w:tcPr>
          <w:p>
            <w:r>
              <w:t>$142.75</w:t>
            </w:r>
          </w:p>
        </w:tc>
        <w:tc>
          <w:tcPr>
            <w:tcW w:type="dxa" w:w="1440"/>
          </w:tcPr>
          <w:p>
            <w:r>
              <w:t>66.61%</w:t>
            </w:r>
          </w:p>
        </w:tc>
        <w:tc>
          <w:tcPr>
            <w:tcW w:type="dxa" w:w="1440"/>
          </w:tcPr>
          <w:p>
            <w:r>
              <w:t>0.30%</w:t>
            </w:r>
          </w:p>
        </w:tc>
      </w:tr>
    </w:tbl>
    <w:p>
      <w:r>
        <w:t>Chocolate contributes 92.88% of total sales and has a weighted gross margin of 67.45%. This concentration suggests that recommendations affecting chocolate products deserve careful capacity and service-level checks. The Other division has a lower weighted gross margin than Chocolate in this dataset; this is a review signal, not proof that factory reassignment will improve it.</w:t>
      </w:r>
    </w:p>
    <w:p>
      <w:pPr>
        <w:pStyle w:val="Heading2"/>
      </w:pPr>
      <w:r>
        <w:t>4.3 Highest-sales products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Product</w:t>
            </w:r>
          </w:p>
        </w:tc>
        <w:tc>
          <w:tcPr>
            <w:tcW w:type="dxa" w:w="2880"/>
          </w:tcPr>
          <w:p>
            <w:r>
              <w:t>Sales</w:t>
            </w:r>
          </w:p>
        </w:tc>
        <w:tc>
          <w:tcPr>
            <w:tcW w:type="dxa" w:w="2880"/>
          </w:tcPr>
          <w:p>
            <w:r>
              <w:t>Gross profit</w:t>
            </w:r>
          </w:p>
        </w:tc>
      </w:tr>
      <w:tr>
        <w:tc>
          <w:tcPr>
            <w:tcW w:type="dxa" w:w="2880"/>
          </w:tcPr>
          <w:p>
            <w:r>
              <w:t>Wonka Bar - Triple Dazzle Caramel</w:t>
            </w:r>
          </w:p>
        </w:tc>
        <w:tc>
          <w:tcPr>
            <w:tcW w:type="dxa" w:w="2880"/>
          </w:tcPr>
          <w:p>
            <w:r>
              <w:t>$28,485.00</w:t>
            </w:r>
          </w:p>
        </w:tc>
        <w:tc>
          <w:tcPr>
            <w:tcW w:type="dxa" w:w="2880"/>
          </w:tcPr>
          <w:p>
            <w:r>
              <w:t>$18,610.20</w:t>
            </w:r>
          </w:p>
        </w:tc>
      </w:tr>
      <w:tr>
        <w:tc>
          <w:tcPr>
            <w:tcW w:type="dxa" w:w="2880"/>
          </w:tcPr>
          <w:p>
            <w:r>
              <w:t>Wonka Bar -Scrumdiddlyumptious</w:t>
            </w:r>
          </w:p>
        </w:tc>
        <w:tc>
          <w:tcPr>
            <w:tcW w:type="dxa" w:w="2880"/>
          </w:tcPr>
          <w:p>
            <w:r>
              <w:t>$27,874.80</w:t>
            </w:r>
          </w:p>
        </w:tc>
        <w:tc>
          <w:tcPr>
            <w:tcW w:type="dxa" w:w="2880"/>
          </w:tcPr>
          <w:p>
            <w:r>
              <w:t>$19,357.50</w:t>
            </w:r>
          </w:p>
        </w:tc>
      </w:tr>
      <w:tr>
        <w:tc>
          <w:tcPr>
            <w:tcW w:type="dxa" w:w="2880"/>
          </w:tcPr>
          <w:p>
            <w:r>
              <w:t>Wonka Bar - Milk Chocolate</w:t>
            </w:r>
          </w:p>
        </w:tc>
        <w:tc>
          <w:tcPr>
            <w:tcW w:type="dxa" w:w="2880"/>
          </w:tcPr>
          <w:p>
            <w:r>
              <w:t>$26,867.75</w:t>
            </w:r>
          </w:p>
        </w:tc>
        <w:tc>
          <w:tcPr>
            <w:tcW w:type="dxa" w:w="2880"/>
          </w:tcPr>
          <w:p>
            <w:r>
              <w:t>$17,443.37</w:t>
            </w:r>
          </w:p>
        </w:tc>
      </w:tr>
      <w:tr>
        <w:tc>
          <w:tcPr>
            <w:tcW w:type="dxa" w:w="2880"/>
          </w:tcPr>
          <w:p>
            <w:r>
              <w:t>Wonka Bar - Fudge Mallows</w:t>
            </w:r>
          </w:p>
        </w:tc>
        <w:tc>
          <w:tcPr>
            <w:tcW w:type="dxa" w:w="2880"/>
          </w:tcPr>
          <w:p>
            <w:r>
              <w:t>$24,890.40</w:t>
            </w:r>
          </w:p>
        </w:tc>
        <w:tc>
          <w:tcPr>
            <w:tcW w:type="dxa" w:w="2880"/>
          </w:tcPr>
          <w:p>
            <w:r>
              <w:t>$16,593.60</w:t>
            </w:r>
          </w:p>
        </w:tc>
      </w:tr>
      <w:tr>
        <w:tc>
          <w:tcPr>
            <w:tcW w:type="dxa" w:w="2880"/>
          </w:tcPr>
          <w:p>
            <w:r>
              <w:t>Wonka Bar - Nutty Crunch Surprise</w:t>
            </w:r>
          </w:p>
        </w:tc>
        <w:tc>
          <w:tcPr>
            <w:tcW w:type="dxa" w:w="2880"/>
          </w:tcPr>
          <w:p>
            <w:r>
              <w:t>$23,574.95</w:t>
            </w:r>
          </w:p>
        </w:tc>
        <w:tc>
          <w:tcPr>
            <w:tcW w:type="dxa" w:w="2880"/>
          </w:tcPr>
          <w:p>
            <w:r>
              <w:t>$16,819.95</w:t>
            </w:r>
          </w:p>
        </w:tc>
      </w:tr>
    </w:tbl>
    <w:p>
      <w:pPr>
        <w:pStyle w:val="Heading2"/>
      </w:pPr>
      <w:r>
        <w:t>4.4 Date quality and target validity</w:t>
      </w:r>
    </w:p>
    <w:p>
      <w:r>
        <w:t>The order-to-ship date difference has a median of 1,274 days, a minimum of 904 days, and a maximum of 1,642 days. These intervals are unusually long for a conventional shipping-lead-time target and should be checked with the dataset owner before any regression model is trained. Potential causes include date parsing conventions, shifted dates, synthetic data, or a different meaning for the ship-date field. The project must not quietly reinterpret these values.</w:t>
      </w:r>
    </w:p>
    <w:p>
      <w:r>
        <w:t>No missing cells or exact duplicate rows were detected in the supplied CSV, but completeness at the cell level does not establish that the data definitions or date values are operationally valid.</w:t>
      </w:r>
    </w:p>
    <w:p>
      <w:pPr>
        <w:pStyle w:val="Heading1"/>
      </w:pPr>
      <w:r>
        <w:t>5. Proposed Methodology</w:t>
      </w:r>
    </w:p>
    <w:p>
      <w:pPr>
        <w:pStyle w:val="Heading2"/>
      </w:pPr>
      <w:r>
        <w:t>5.1 Data preparation</w:t>
      </w:r>
    </w:p>
    <w:p>
      <w:pPr>
        <w:pStyle w:val="ListBullet"/>
      </w:pPr>
      <w:r>
        <w:t>Parse date fields using a documented format and verify the date definitions with the data owner.</w:t>
      </w:r>
    </w:p>
    <w:p>
      <w:pPr>
        <w:pStyle w:val="ListBullet"/>
      </w:pPr>
      <w:r>
        <w:t>Check financial reconciliation: sales minus cost should reconcile to gross profit within a stated rounding tolerance.</w:t>
      </w:r>
    </w:p>
    <w:p>
      <w:pPr>
        <w:pStyle w:val="ListBullet"/>
      </w:pPr>
      <w:r>
        <w:t>Validate product IDs/names, factory mapping, destination geography, and ship-mode categories.</w:t>
      </w:r>
    </w:p>
    <w:p>
      <w:pPr>
        <w:pStyle w:val="ListBullet"/>
      </w:pPr>
      <w:r>
        <w:t>Investigate extreme values before excluding them; a long lead time may represent the operational problem the system is intended to detect.</w:t>
      </w:r>
    </w:p>
    <w:p>
      <w:pPr>
        <w:pStyle w:val="ListBullet"/>
      </w:pPr>
      <w:r>
        <w:t>Encode categorical variables such as product, factory, region/state, and ship mode. Scale numerical variables for models that benefit from scaling; tree-based models generally do not require numerical normalization.</w:t>
      </w:r>
    </w:p>
    <w:p>
      <w:pPr>
        <w:pStyle w:val="ListBullet"/>
      </w:pPr>
      <w:r>
        <w:t>Create a time-aware training/validation/test split after the lead-time target is verified, to reduce temporal leakage.</w:t>
      </w:r>
    </w:p>
    <w:p>
      <w:pPr>
        <w:pStyle w:val="Heading2"/>
      </w:pPr>
      <w:r>
        <w:t>5.2 Predictive modeling plan</w:t>
      </w:r>
    </w:p>
    <w:p>
      <w:r>
        <w:t>The proposed target is a validated lead-time measure, such as delivery date minus order date, or another agreed operational interval. The currently supplied file only contains order and ship dates; it does not provide a separate delivery date. A model trained on the present dates would risk learning a questionable target, so no model-performance scores are claimed in this submission.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Candidate model</w:t>
            </w:r>
          </w:p>
        </w:tc>
        <w:tc>
          <w:tcPr>
            <w:tcW w:type="dxa" w:w="2880"/>
          </w:tcPr>
          <w:p>
            <w:r>
              <w:t>Purpose</w:t>
            </w:r>
          </w:p>
        </w:tc>
        <w:tc>
          <w:tcPr>
            <w:tcW w:type="dxa" w:w="2880"/>
          </w:tcPr>
          <w:p>
            <w:r>
              <w:t>Notes</w:t>
            </w:r>
          </w:p>
        </w:tc>
      </w:tr>
      <w:tr>
        <w:tc>
          <w:tcPr>
            <w:tcW w:type="dxa" w:w="2880"/>
          </w:tcPr>
          <w:p>
            <w:r>
              <w:t>Linear Regression</w:t>
            </w:r>
          </w:p>
        </w:tc>
        <w:tc>
          <w:tcPr>
            <w:tcW w:type="dxa" w:w="2880"/>
          </w:tcPr>
          <w:p>
            <w:r>
              <w:t>Interpretable baseline</w:t>
            </w:r>
          </w:p>
        </w:tc>
        <w:tc>
          <w:tcPr>
            <w:tcW w:type="dxa" w:w="2880"/>
          </w:tcPr>
          <w:p>
            <w:r>
              <w:t>Provides a simple reference and directional relationships.</w:t>
            </w:r>
          </w:p>
        </w:tc>
      </w:tr>
      <w:tr>
        <w:tc>
          <w:tcPr>
            <w:tcW w:type="dxa" w:w="2880"/>
          </w:tcPr>
          <w:p>
            <w:r>
              <w:t>Random Forest Regressor</w:t>
            </w:r>
          </w:p>
        </w:tc>
        <w:tc>
          <w:tcPr>
            <w:tcW w:type="dxa" w:w="2880"/>
          </w:tcPr>
          <w:p>
            <w:r>
              <w:t>Non-linear baseline</w:t>
            </w:r>
          </w:p>
        </w:tc>
        <w:tc>
          <w:tcPr>
            <w:tcW w:type="dxa" w:w="2880"/>
          </w:tcPr>
          <w:p>
            <w:r>
              <w:t>Can capture interactions without requiring feature scaling.</w:t>
            </w:r>
          </w:p>
        </w:tc>
      </w:tr>
      <w:tr>
        <w:tc>
          <w:tcPr>
            <w:tcW w:type="dxa" w:w="2880"/>
          </w:tcPr>
          <w:p>
            <w:r>
              <w:t>Gradient Boosting Regressor</w:t>
            </w:r>
          </w:p>
        </w:tc>
        <w:tc>
          <w:tcPr>
            <w:tcW w:type="dxa" w:w="2880"/>
          </w:tcPr>
          <w:p>
            <w:r>
              <w:t>Non-linear candidate</w:t>
            </w:r>
          </w:p>
        </w:tc>
        <w:tc>
          <w:tcPr>
            <w:tcW w:type="dxa" w:w="2880"/>
          </w:tcPr>
          <w:p>
            <w:r>
              <w:t>May improve accuracy; requires validation and tuning.</w:t>
            </w:r>
          </w:p>
        </w:tc>
      </w:tr>
    </w:tbl>
    <w:p>
      <w:r>
        <w:t>Compare models using MAE, RMSE, and R² on the same held-out observations. MAE communicates average absolute error; RMSE penalizes larger misses more strongly; R² describes explained variance relative to a baseline. Model selection should consider error, stability, interpretability, and whether the training data represent candidate factory configurations.</w:t>
      </w:r>
    </w:p>
    <w:p>
      <w:pPr>
        <w:pStyle w:val="Heading2"/>
      </w:pPr>
      <w:r>
        <w:t>5.3 Route clustering</w:t>
      </w:r>
    </w:p>
    <w:p>
      <w:r>
        <w:t>Once route-level observations are available, construct route features such as median lead time, lead-time variability, shipment volume, mode mix, and cost per shipment. Standardize these features when using distance-based clustering, evaluate cluster stability, and label clusters based on observed patterns. Clustering is exploratory: a cluster is not automatically evidence of congestion or a causal explanation.</w:t>
      </w:r>
    </w:p>
    <w:p>
      <w:pPr>
        <w:pStyle w:val="Heading2"/>
      </w:pPr>
      <w:r>
        <w:t>5.4 Scenario simulation and optimization</w:t>
      </w:r>
    </w:p>
    <w:p>
      <w:r>
        <w:t>For a selected product and destination, enumerate alternative factories only if the product can actually be made there and capacity/inventory constraints permit the assignment. Estimate distance using verified coordinates; use actual lane-level freight rates and validated transit-time data whenever possible. The current prototype uses approximate state-centre coordinates and assumed mode speeds and per-kilometre rates. Its outputs are labelled proxies, not actual carrier quotes or trained-model predictions.</w:t>
      </w:r>
    </w:p>
    <w:p>
      <w:r>
        <w:t>A future decision score can combine normalized lead-time, shipping-cost, and risk objectives. The speed-versus-profit slider should control the relative weights, while hard constraints—product compatibility, capacity, service commitments, and minimum margin—must remain mandatory regardless of the slider.</w:t>
      </w:r>
    </w:p>
    <w:p>
      <w:pPr>
        <w:pStyle w:val="Heading1"/>
      </w:pPr>
      <w:r>
        <w:t>6. Dashboard Design</w:t>
      </w:r>
    </w:p>
    <w:p>
      <w:pPr>
        <w:pStyle w:val="ListBullet"/>
      </w:pPr>
      <w:r>
        <w:t>Factory Optimization Simulator: product, region/state, and ship-mode controls; compare factory distance, estimated transit, and proxy cost.</w:t>
      </w:r>
    </w:p>
    <w:p>
      <w:pPr>
        <w:pStyle w:val="ListBullet"/>
      </w:pPr>
      <w:r>
        <w:t>What-If Scenario Analysis: compare the configured current assignment with a candidate and show absolute and percentage changes.</w:t>
      </w:r>
    </w:p>
    <w:p>
      <w:pPr>
        <w:pStyle w:val="ListBullet"/>
      </w:pPr>
      <w:r>
        <w:t>Recommendation Dashboard: rank alternatives under the selected objective weights and disclose the assumptions behind each rank.</w:t>
      </w:r>
    </w:p>
    <w:p>
      <w:pPr>
        <w:pStyle w:val="ListBullet"/>
      </w:pPr>
      <w:r>
        <w:t>Risk &amp; Impact Panel: highlight missing assignments, low product margin, suspicious dates, unsupported factory capacity, and proxy-based estimates.</w:t>
      </w:r>
    </w:p>
    <w:p>
      <w:pPr>
        <w:pStyle w:val="Heading1"/>
      </w:pPr>
      <w:r>
        <w:t>7. Key Performance Indicators</w:t>
      </w:r>
    </w:p>
    <w:tbl>
      <w:tblPr>
        <w:tblStyle w:val="LightShading-Accent1"/>
        <w:tblW w:type="auto" w:w="0"/>
        <w:tblLook w:firstColumn="1" w:firstRow="1" w:lastColumn="0" w:lastRow="0" w:noHBand="0" w:noVBand="1" w:val="04A0"/>
      </w:tblPr>
      <w:tblGrid>
        <w:gridCol w:w="4320"/>
        <w:gridCol w:w="4320"/>
      </w:tblGrid>
      <w:tr>
        <w:tc>
          <w:tcPr>
            <w:tcW w:type="dxa" w:w="4320"/>
          </w:tcPr>
          <w:p>
            <w:r>
              <w:t>KPI</w:t>
            </w:r>
          </w:p>
        </w:tc>
        <w:tc>
          <w:tcPr>
            <w:tcW w:type="dxa" w:w="4320"/>
          </w:tcPr>
          <w:p>
            <w:r>
              <w:t>Definition / reporting rule</w:t>
            </w:r>
          </w:p>
        </w:tc>
      </w:tr>
      <w:tr>
        <w:tc>
          <w:tcPr>
            <w:tcW w:type="dxa" w:w="4320"/>
          </w:tcPr>
          <w:p>
            <w:r>
              <w:t>Lead Time Reduction (%)</w:t>
            </w:r>
          </w:p>
        </w:tc>
        <w:tc>
          <w:tcPr>
            <w:tcW w:type="dxa" w:w="4320"/>
          </w:tcPr>
          <w:p>
            <w:r>
              <w:t>100 × (baseline lead time − scenario lead time) / baseline lead time; only report as an estimate until validated.</w:t>
            </w:r>
          </w:p>
        </w:tc>
      </w:tr>
      <w:tr>
        <w:tc>
          <w:tcPr>
            <w:tcW w:type="dxa" w:w="4320"/>
          </w:tcPr>
          <w:p>
            <w:r>
              <w:t>Profit Impact</w:t>
            </w:r>
          </w:p>
        </w:tc>
        <w:tc>
          <w:tcPr>
            <w:tcW w:type="dxa" w:w="4320"/>
          </w:tcPr>
          <w:p>
            <w:r>
              <w:t>Estimated incremental profit after actual incremental production and logistics costs; proxy cost is not enough for a final claim.</w:t>
            </w:r>
          </w:p>
        </w:tc>
      </w:tr>
      <w:tr>
        <w:tc>
          <w:tcPr>
            <w:tcW w:type="dxa" w:w="4320"/>
          </w:tcPr>
          <w:p>
            <w:r>
              <w:t>Scenario Confidence</w:t>
            </w:r>
          </w:p>
        </w:tc>
        <w:tc>
          <w:tcPr>
            <w:tcW w:type="dxa" w:w="4320"/>
          </w:tcPr>
          <w:p>
            <w:r>
              <w:t>A documented indicator based on data coverage, model error, and distance from training examples; not an arbitrary probability.</w:t>
            </w:r>
          </w:p>
        </w:tc>
      </w:tr>
      <w:tr>
        <w:tc>
          <w:tcPr>
            <w:tcW w:type="dxa" w:w="4320"/>
          </w:tcPr>
          <w:p>
            <w:r>
              <w:t>Recommendation Coverage (%)</w:t>
            </w:r>
          </w:p>
        </w:tc>
        <w:tc>
          <w:tcPr>
            <w:tcW w:type="dxa" w:w="4320"/>
          </w:tcPr>
          <w:p>
            <w:r>
              <w:t>Eligible product-destination cases with at least one feasible, data-supported alternative divided by all eligible cases.</w:t>
            </w:r>
          </w:p>
        </w:tc>
      </w:tr>
    </w:tbl>
    <w:p>
      <w:pPr>
        <w:pStyle w:val="Heading1"/>
      </w:pPr>
      <w:r>
        <w:t>8. Results and Interpretation</w:t>
      </w:r>
    </w:p>
    <w:p>
      <w:r>
        <w:t>The descriptive results establish a commercial baseline but do not establish the effectiveness of a factory reassignment. The dashboard can compare geographic distance proxies using the factory coordinates and state-centre approximations. Any observed proxy improvement is conditional on the assumed transit speed, shipping rate, current mapping, and state-centre destination. It must not be described as a measured reduction in lead time or realized savings.</w:t>
      </w:r>
    </w:p>
    <w:p>
      <w:pPr>
        <w:pStyle w:val="Heading1"/>
      </w:pPr>
      <w:r>
        <w:t>9. Recommendations</w:t>
      </w:r>
    </w:p>
    <w:p>
      <w:pPr>
        <w:pStyle w:val="ListNumber"/>
      </w:pPr>
      <w:r>
        <w:t>First validate order, ship, and delivery date definitions and correct the unusually large date intervals if they are data errors.</w:t>
      </w:r>
    </w:p>
    <w:p>
      <w:pPr>
        <w:pStyle w:val="ListNumber"/>
      </w:pPr>
      <w:r>
        <w:t>Collect shipment-level actual origin factory, destination address/postal code, dispatch date, delivery date, actual freight charge, and product/quantity.</w:t>
      </w:r>
    </w:p>
    <w:p>
      <w:pPr>
        <w:pStyle w:val="ListNumber"/>
      </w:pPr>
      <w:r>
        <w:t>Obtain factory product-eligibility rules, production capacity, inventory availability, and service-level commitments.</w:t>
      </w:r>
    </w:p>
    <w:p>
      <w:pPr>
        <w:pStyle w:val="ListNumber"/>
      </w:pPr>
      <w:r>
        <w:t>Validate the supplied product-to-factory mapping with an operations owner, especially the missing Kazookles assignment.</w:t>
      </w:r>
    </w:p>
    <w:p>
      <w:pPr>
        <w:pStyle w:val="ListNumber"/>
      </w:pPr>
      <w:r>
        <w:t>Train and compare regression models only after a reliable target is defined; report MAE, RMSE, R², time-split design, and limitations.</w:t>
      </w:r>
    </w:p>
    <w:p>
      <w:pPr>
        <w:pStyle w:val="ListNumber"/>
      </w:pPr>
      <w:r>
        <w:t>Run a retrospective simulation on held-out shipments and compare recommended assignments against actual outcomes before any pilot.</w:t>
      </w:r>
    </w:p>
    <w:p>
      <w:pPr>
        <w:pStyle w:val="ListNumber"/>
      </w:pPr>
      <w:r>
        <w:t>Keep a human approval step, a recommendation log, and an audit trail for assumptions, model version, selected weights, and final decisions.</w:t>
      </w:r>
    </w:p>
    <w:p>
      <w:pPr>
        <w:pStyle w:val="Heading1"/>
      </w:pPr>
      <w:r>
        <w:t>10. Limitations and Ethical Use</w:t>
      </w:r>
    </w:p>
    <w:p>
      <w:r>
        <w:t>This is a prototype based on a supplied dataset and a project-provided factory configuration. It does not have the operational inputs needed to prove actual shipping savings, forecast real delivery performance, or guarantee feasible reassignment. Geographic distance is not equivalent to road distance or carrier transit time; state centroids are not customer addresses; assumed cost-per-kilometre values are illustrative; and no model has been trained or evaluated in this deliverable. Decision-makers should not use the prototype as an automated production allocation system until data, constraints, model performance, and financial assumptions are independently verified.</w:t>
      </w:r>
    </w:p>
    <w:p>
      <w:pPr>
        <w:pStyle w:val="Heading1"/>
      </w:pPr>
      <w:r>
        <w:t>Conclusion</w:t>
      </w:r>
    </w:p>
    <w:p>
      <w:r>
        <w:t>The project provides a structured path from descriptive analytics to decision support: validate data, build a defensible lead-time target, benchmark predictive models, explore route patterns, simulate feasible factory alternatives, and rank recommendations under transparent objectives. The supplied data support initial commercial profiling and a demonstrator dashboard, while reliable operational optimization remains contingent on better shipment, factory, and cost data.</w:t>
      </w:r>
    </w:p>
    <w:p>
      <w:pPr>
        <w:pStyle w:val="Heading1"/>
      </w:pPr>
      <w:r>
        <w:t>Reproducibility Note</w:t>
      </w:r>
    </w:p>
    <w:p>
      <w:r>
        <w:t>The accompanying Streamlit application and README document the assumptions used by the current prototype. Reproduce results with the bundled CSV and Python requirements, and record any changes to coordinates, rates, mappings, and model logic.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