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PRODUCT LINE PROFITABILITY AND MARGIN PERFORMANCE ANALYSIS</w:t>
        <w:br/>
        <w:t>FOR NASSAU CANDY DISTRIBUTOR</w:t>
      </w:r>
    </w:p>
    <w:p>
      <w:pPr>
        <w:jc w:val="center"/>
      </w:pPr>
      <w:r>
        <w:rPr>
          <w:i/>
        </w:rPr>
        <w:t>An Exploratory Business Analytics Case Study</w:t>
      </w:r>
    </w:p>
    <w:p>
      <w:r>
        <w:t>Prepared from the supplied 10,194-row transaction-level CSV and the accompanying exploratory Python notebook.</w:t>
      </w:r>
    </w:p>
    <w:p>
      <w:pPr>
        <w:pStyle w:val="Heading1"/>
      </w:pPr>
      <w:r>
        <w:t>Abstract</w:t>
      </w:r>
    </w:p>
    <w:p>
      <w:r>
        <w:t>This study evaluates product-line profitability and gross-margin performance in a supplied Nassau Candy Distributor dataset containing 10,194 transaction rows and 18 fields. The analysis uses descriptive analytics, data-quality checks, product- and division-level aggregation, margin decomposition, revenue concentration analysis, and monthly trend review. Recorded sales total $141,783.63, gross profit totals $93,442.80, and cost totals $48,340.83, producing a sales-weighted gross margin of 65.91%. The Chocolate division contributes 92.88% of recorded sales and 95.06% of recorded gross profit, with a weighted margin of 67.45%. The Other division has a lower weighted margin of 44.84%, and Kazookles has a 7.69% product-level margin on $1,205.75 in sales. These are screening signals for commercial review, not sufficient grounds for automatic price changes or product discontinuation. A critical data-quality issue is that ship dates are 904–1,642 days after order dates, with a median lag of 1,274 days. The paper therefore excludes operational shipping conclusions and recommends validating date provenance before using fulfillment metrics. A Streamlit dashboard is proposed to make the analysis interactive and reproducible.</w:t>
      </w:r>
    </w:p>
    <w:p>
      <w:r>
        <w:t>Keywords: business analytics, product profitability, gross margin, exploratory data analysis, Pareto analysis, Streamlit, data quality</w:t>
      </w:r>
    </w:p>
    <w:p>
      <w:pPr>
        <w:pStyle w:val="Heading1"/>
      </w:pPr>
      <w:r>
        <w:t>1. Introduction</w:t>
      </w:r>
    </w:p>
    <w:p>
      <w:r>
        <w:t>Revenue alone does not establish commercial performance. A high-sales product can contribute less gross profit per sales dollar than a smaller product, while a high percentage margin on a very small sales base may have little financial impact. This case study investigates the product and division mix behind recorded sales and gross profit and translates the results into practical questions for management. The analysis is descriptive and diagnostic: it identifies patterns and review priorities but does not estimate causal effects or forecast future demand.</w:t>
      </w:r>
    </w:p>
    <w:p>
      <w:pPr>
        <w:pStyle w:val="Heading2"/>
      </w:pPr>
      <w:r>
        <w:t>1.1 Research questions</w:t>
      </w:r>
    </w:p>
    <w:p>
      <w:pPr>
        <w:pStyle w:val="ListNumber"/>
      </w:pPr>
      <w:r>
        <w:t>What are the dataset’s overall recorded sales, cost, gross profit, and weighted gross margin?</w:t>
      </w:r>
    </w:p>
    <w:p>
      <w:pPr>
        <w:pStyle w:val="ListNumber"/>
      </w:pPr>
      <w:r>
        <w:t>Which divisions and products contribute most to sales and gross profit?</w:t>
      </w:r>
    </w:p>
    <w:p>
      <w:pPr>
        <w:pStyle w:val="ListNumber"/>
      </w:pPr>
      <w:r>
        <w:t>Which products warrant review because their gross margins are low relative to the rest of the portfolio?</w:t>
      </w:r>
    </w:p>
    <w:p>
      <w:pPr>
        <w:pStyle w:val="ListNumber"/>
      </w:pPr>
      <w:r>
        <w:t>How concentrated is recorded revenue across products, and how does weighted gross margin vary by month?</w:t>
      </w:r>
    </w:p>
    <w:p>
      <w:pPr>
        <w:pStyle w:val="ListNumber"/>
      </w:pPr>
      <w:r>
        <w:t>Which data-quality limitations should be resolved before operational decisions are made?</w:t>
      </w:r>
    </w:p>
    <w:p>
      <w:pPr>
        <w:pStyle w:val="Heading1"/>
      </w:pPr>
      <w:r>
        <w:t>2. Dataset and methodology</w:t>
      </w:r>
    </w:p>
    <w:p>
      <w:r>
        <w:t>The supplied CSV contains 10,194 rows and 18 columns, including order and ship dates, order and customer identifiers, geography, division, product identifiers and names, sales, units, gross profit, and cost. Order dates parse from 2 January 2024 through 31 December 2025. The file has no missing cells, no duplicate full rows, and no duplicate Row ID values. Repeated Order IDs are expected in line-item data and are not treated as duplicates without additional evidence.</w:t>
      </w:r>
    </w:p>
    <w:p>
      <w:pPr>
        <w:pStyle w:val="Heading2"/>
      </w:pPr>
      <w:r>
        <w:t>2.1 Validation and reconciliation</w:t>
      </w:r>
    </w:p>
    <w:p>
      <w:r>
        <w:t>Numeric fields were checked for missing, zero, and negative values. The arithmetic relationship Sales − Cost = Gross Profit reconciles for all rows within a tolerance of $0.011. These checks confirm internal arithmetic consistency, but they do not independently verify whether source values reflect the company’s accounting system.</w:t>
      </w:r>
    </w:p>
    <w:p>
      <w:pPr>
        <w:pStyle w:val="Heading2"/>
      </w:pPr>
      <w:r>
        <w:t>2.2 Analytical definitions</w:t>
      </w:r>
    </w:p>
    <w:p>
      <w:pPr>
        <w:pStyle w:val="ListBullet"/>
      </w:pPr>
      <w:r>
        <w:t>Gross profit = recorded Sales − recorded Cost; the analysis also checks this against the supplied Gross Profit field.</w:t>
      </w:r>
    </w:p>
    <w:p>
      <w:pPr>
        <w:pStyle w:val="ListBullet"/>
      </w:pPr>
      <w:r>
        <w:t>Product/division gross margin (%) = aggregated Gross Profit ÷ aggregated Sales × 100.</w:t>
      </w:r>
    </w:p>
    <w:p>
      <w:pPr>
        <w:pStyle w:val="ListBullet"/>
      </w:pPr>
      <w:r>
        <w:t>Weighted company gross margin (%) = total Gross Profit ÷ total Sales × 100.</w:t>
      </w:r>
    </w:p>
    <w:p>
      <w:pPr>
        <w:pStyle w:val="ListBullet"/>
      </w:pPr>
      <w:r>
        <w:t>Profit contribution (%) = product gross profit ÷ total gross profit × 100.</w:t>
      </w:r>
    </w:p>
    <w:p>
      <w:pPr>
        <w:pStyle w:val="ListBullet"/>
      </w:pPr>
      <w:r>
        <w:t>Revenue concentration is assessed by sorting products by sales and calculating cumulative sales share.</w:t>
      </w:r>
    </w:p>
    <w:p>
      <w:pPr>
        <w:pStyle w:val="ListBullet"/>
      </w:pPr>
      <w:r>
        <w:t>Monthly margin is calculated as each month’s total gross profit divided by that month’s total sales, rather than averaging row-level or product-level percentages.</w:t>
      </w:r>
    </w:p>
    <w:p>
      <w:r>
        <w:t>Product summaries should group by both Product ID and Product Name. The original notebook’s use of Product Name alone could combine separate SKUs if names collide. The descriptive statistics in this paper are reproduced from the supplied CSV, rather than assumed from prior notebook outputs.</w:t>
      </w:r>
    </w:p>
    <w:p>
      <w:pPr>
        <w:pStyle w:val="Heading1"/>
      </w:pPr>
      <w:r>
        <w:t>3. Results</w:t>
      </w:r>
    </w:p>
    <w:p>
      <w:pPr>
        <w:pStyle w:val="Heading2"/>
      </w:pPr>
      <w:r>
        <w:t>3.1 Portfolio-level performance</w:t>
      </w:r>
    </w:p>
    <w:p>
      <w:r>
        <w:t>Across 10,194 records, recorded sales are $141,783.63, gross profit is $93,442.80, cost is $48,340.83, and volume is 38,654 units. The weighted gross margin is 65.91%. This is a gross margin measure, not net profit: the file does not provide a complete allocation of operating expenses, freight, overhead, returns, promotions, inventory holding costs, or other potentially relevant expenses.</w:t>
      </w:r>
    </w:p>
    <w:tbl>
      <w:tblPr>
        <w:tblStyle w:val="LightShading-Accent1"/>
        <w:tblW w:type="auto" w:w="0"/>
        <w:tblLook w:firstColumn="1" w:firstRow="1" w:lastColumn="0" w:lastRow="0" w:noHBand="0" w:noVBand="1" w:val="04A0"/>
      </w:tblPr>
      <w:tblGrid>
        <w:gridCol w:w="4896"/>
        <w:gridCol w:w="4896"/>
      </w:tblGrid>
      <w:tr>
        <w:tc>
          <w:tcPr>
            <w:tcW w:type="dxa" w:w="4896"/>
          </w:tcPr>
          <w:p>
            <w:r>
              <w:t>Metric</w:t>
            </w:r>
          </w:p>
        </w:tc>
        <w:tc>
          <w:tcPr>
            <w:tcW w:type="dxa" w:w="4896"/>
          </w:tcPr>
          <w:p>
            <w:r>
              <w:t>Recorded value</w:t>
            </w:r>
          </w:p>
        </w:tc>
      </w:tr>
      <w:tr>
        <w:tc>
          <w:tcPr>
            <w:tcW w:type="dxa" w:w="4896"/>
          </w:tcPr>
          <w:p>
            <w:r>
              <w:t>Transaction rows</w:t>
            </w:r>
          </w:p>
        </w:tc>
        <w:tc>
          <w:tcPr>
            <w:tcW w:type="dxa" w:w="4896"/>
          </w:tcPr>
          <w:p>
            <w:r>
              <w:t>10,194</w:t>
            </w:r>
          </w:p>
        </w:tc>
      </w:tr>
      <w:tr>
        <w:tc>
          <w:tcPr>
            <w:tcW w:type="dxa" w:w="4896"/>
          </w:tcPr>
          <w:p>
            <w:r>
              <w:t>Sales</w:t>
            </w:r>
          </w:p>
        </w:tc>
        <w:tc>
          <w:tcPr>
            <w:tcW w:type="dxa" w:w="4896"/>
          </w:tcPr>
          <w:p>
            <w:r>
              <w:t>$141,783.63</w:t>
            </w:r>
          </w:p>
        </w:tc>
      </w:tr>
      <w:tr>
        <w:tc>
          <w:tcPr>
            <w:tcW w:type="dxa" w:w="4896"/>
          </w:tcPr>
          <w:p>
            <w:r>
              <w:t>Gross profit</w:t>
            </w:r>
          </w:p>
        </w:tc>
        <w:tc>
          <w:tcPr>
            <w:tcW w:type="dxa" w:w="4896"/>
          </w:tcPr>
          <w:p>
            <w:r>
              <w:t>$93,442.80</w:t>
            </w:r>
          </w:p>
        </w:tc>
      </w:tr>
      <w:tr>
        <w:tc>
          <w:tcPr>
            <w:tcW w:type="dxa" w:w="4896"/>
          </w:tcPr>
          <w:p>
            <w:r>
              <w:t>Cost</w:t>
            </w:r>
          </w:p>
        </w:tc>
        <w:tc>
          <w:tcPr>
            <w:tcW w:type="dxa" w:w="4896"/>
          </w:tcPr>
          <w:p>
            <w:r>
              <w:t>$48,340.83</w:t>
            </w:r>
          </w:p>
        </w:tc>
      </w:tr>
      <w:tr>
        <w:tc>
          <w:tcPr>
            <w:tcW w:type="dxa" w:w="4896"/>
          </w:tcPr>
          <w:p>
            <w:r>
              <w:t>Units</w:t>
            </w:r>
          </w:p>
        </w:tc>
        <w:tc>
          <w:tcPr>
            <w:tcW w:type="dxa" w:w="4896"/>
          </w:tcPr>
          <w:p>
            <w:r>
              <w:t>38,654</w:t>
            </w:r>
          </w:p>
        </w:tc>
      </w:tr>
      <w:tr>
        <w:tc>
          <w:tcPr>
            <w:tcW w:type="dxa" w:w="4896"/>
          </w:tcPr>
          <w:p>
            <w:r>
              <w:t>Weighted gross margin</w:t>
            </w:r>
          </w:p>
        </w:tc>
        <w:tc>
          <w:tcPr>
            <w:tcW w:type="dxa" w:w="4896"/>
          </w:tcPr>
          <w:p>
            <w:r>
              <w:t>65.91%</w:t>
            </w:r>
          </w:p>
        </w:tc>
      </w:tr>
      <w:tr>
        <w:tc>
          <w:tcPr>
            <w:tcW w:type="dxa" w:w="4896"/>
          </w:tcPr>
          <w:p>
            <w:r>
              <w:t>Order date range</w:t>
            </w:r>
          </w:p>
        </w:tc>
        <w:tc>
          <w:tcPr>
            <w:tcW w:type="dxa" w:w="4896"/>
          </w:tcPr>
          <w:p>
            <w:r>
              <w:t>2024-01-02 to 2025-12-31</w:t>
            </w:r>
          </w:p>
        </w:tc>
      </w:tr>
    </w:tbl>
    <w:p>
      <w:pPr>
        <w:pStyle w:val="Heading2"/>
      </w:pPr>
      <w:r>
        <w:t>3.2 Division-level performance</w:t>
      </w:r>
    </w:p>
    <w:p>
      <w:r>
        <w:t>Chocolate is the economic center of the recorded portfolio: $131,692.90 in sales, $88,824.62 in gross profit, and a 67.45% weighted margin. It contributes 92.88% of sales and 95.06% of gross profit. Other records $9,663.25 in sales, $4,333.45 in gross profit, and a 44.84% margin. Sugar has a 66.61% margin, but its sales are only $427.48 (0.30% of portfolio sales); therefore, its high margin should not be interpreted as a major financial driver.</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Division</w:t>
            </w:r>
          </w:p>
        </w:tc>
        <w:tc>
          <w:tcPr>
            <w:tcW w:type="dxa" w:w="1958"/>
          </w:tcPr>
          <w:p>
            <w:r>
              <w:t>Sales</w:t>
            </w:r>
          </w:p>
        </w:tc>
        <w:tc>
          <w:tcPr>
            <w:tcW w:type="dxa" w:w="1958"/>
          </w:tcPr>
          <w:p>
            <w:r>
              <w:t>Gross profit</w:t>
            </w:r>
          </w:p>
        </w:tc>
        <w:tc>
          <w:tcPr>
            <w:tcW w:type="dxa" w:w="1958"/>
          </w:tcPr>
          <w:p>
            <w:r>
              <w:t>Weighted margin</w:t>
            </w:r>
          </w:p>
        </w:tc>
        <w:tc>
          <w:tcPr>
            <w:tcW w:type="dxa" w:w="1958"/>
          </w:tcPr>
          <w:p>
            <w:r>
              <w:t>Sales share</w:t>
            </w:r>
          </w:p>
        </w:tc>
      </w:tr>
      <w:tr>
        <w:tc>
          <w:tcPr>
            <w:tcW w:type="dxa" w:w="1958"/>
          </w:tcPr>
          <w:p>
            <w:r>
              <w:t>Chocolate</w:t>
            </w:r>
          </w:p>
        </w:tc>
        <w:tc>
          <w:tcPr>
            <w:tcW w:type="dxa" w:w="1958"/>
          </w:tcPr>
          <w:p>
            <w:r>
              <w:t>$131,692.90</w:t>
            </w:r>
          </w:p>
        </w:tc>
        <w:tc>
          <w:tcPr>
            <w:tcW w:type="dxa" w:w="1958"/>
          </w:tcPr>
          <w:p>
            <w:r>
              <w:t>$88,824.62</w:t>
            </w:r>
          </w:p>
        </w:tc>
        <w:tc>
          <w:tcPr>
            <w:tcW w:type="dxa" w:w="1958"/>
          </w:tcPr>
          <w:p>
            <w:r>
              <w:t>67.45%</w:t>
            </w:r>
          </w:p>
        </w:tc>
        <w:tc>
          <w:tcPr>
            <w:tcW w:type="dxa" w:w="1958"/>
          </w:tcPr>
          <w:p>
            <w:r>
              <w:t>92.88%</w:t>
            </w:r>
          </w:p>
        </w:tc>
      </w:tr>
      <w:tr>
        <w:tc>
          <w:tcPr>
            <w:tcW w:type="dxa" w:w="1958"/>
          </w:tcPr>
          <w:p>
            <w:r>
              <w:t>Other</w:t>
            </w:r>
          </w:p>
        </w:tc>
        <w:tc>
          <w:tcPr>
            <w:tcW w:type="dxa" w:w="1958"/>
          </w:tcPr>
          <w:p>
            <w:r>
              <w:t>$9,663.25</w:t>
            </w:r>
          </w:p>
        </w:tc>
        <w:tc>
          <w:tcPr>
            <w:tcW w:type="dxa" w:w="1958"/>
          </w:tcPr>
          <w:p>
            <w:r>
              <w:t>$4,333.45</w:t>
            </w:r>
          </w:p>
        </w:tc>
        <w:tc>
          <w:tcPr>
            <w:tcW w:type="dxa" w:w="1958"/>
          </w:tcPr>
          <w:p>
            <w:r>
              <w:t>44.84%</w:t>
            </w:r>
          </w:p>
        </w:tc>
        <w:tc>
          <w:tcPr>
            <w:tcW w:type="dxa" w:w="1958"/>
          </w:tcPr>
          <w:p>
            <w:r>
              <w:t>6.82%</w:t>
            </w:r>
          </w:p>
        </w:tc>
      </w:tr>
      <w:tr>
        <w:tc>
          <w:tcPr>
            <w:tcW w:type="dxa" w:w="1958"/>
          </w:tcPr>
          <w:p>
            <w:r>
              <w:t>Sugar</w:t>
            </w:r>
          </w:p>
        </w:tc>
        <w:tc>
          <w:tcPr>
            <w:tcW w:type="dxa" w:w="1958"/>
          </w:tcPr>
          <w:p>
            <w:r>
              <w:t>$427.48</w:t>
            </w:r>
          </w:p>
        </w:tc>
        <w:tc>
          <w:tcPr>
            <w:tcW w:type="dxa" w:w="1958"/>
          </w:tcPr>
          <w:p>
            <w:r>
              <w:t>$284.73</w:t>
            </w:r>
          </w:p>
        </w:tc>
        <w:tc>
          <w:tcPr>
            <w:tcW w:type="dxa" w:w="1958"/>
          </w:tcPr>
          <w:p>
            <w:r>
              <w:t>66.61%</w:t>
            </w:r>
          </w:p>
        </w:tc>
        <w:tc>
          <w:tcPr>
            <w:tcW w:type="dxa" w:w="1958"/>
          </w:tcPr>
          <w:p>
            <w:r>
              <w:t>0.30%</w:t>
            </w:r>
          </w:p>
        </w:tc>
      </w:tr>
    </w:tbl>
    <w:p>
      <w:r>
        <w:t>Management implication: protect service and availability for the Chocolate core while monitoring product concentration. For Other, prioritize a SKU-level review of supplier costs, price realization, discounting, product mix, and any costs omitted from the file. Sugar requires a small-sample caution because its revenue base is minimal.</w:t>
      </w:r>
    </w:p>
    <w:p>
      <w:pPr>
        <w:pStyle w:val="Heading2"/>
      </w:pPr>
      <w:r>
        <w:t>3.3 Product-level profitability</w:t>
      </w:r>
    </w:p>
    <w:p>
      <w:r>
        <w:t>The five Chocolate bars are the largest sales products. Triple Dazzle Caramel leads sales at $28,485.00, while Wonka Bar -Scrumdiddlyumptious produces the highest recorded gross profit at $19,357.50 and a 69.44% margin. Nutty Crunch Surprise records a 71.35% margin, while Milk Chocolate records 64.92%. These comparisons show why sales ranking and margin ranking should be reviewed together.</w:t>
      </w:r>
    </w:p>
    <w:p>
      <w:r>
        <w:t>Kazookles is the clearest margin-review candidate among products with a meaningful sales base in this dataset: $1,205.75 in sales, $92.75 in gross profit, and a 7.69% margin. Lickable Wallpaper has a 50.00% margin on $7,860 in sales. Lower-margin Sugar products have very small sales bases, so their percentages should not be over-interpreted. Everlasting Gobstopper has an 80% margin but only $130 in sales; a high percentage margin at low volume does not establish a meaningful portfolio impact.</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Product</w:t>
            </w:r>
          </w:p>
        </w:tc>
        <w:tc>
          <w:tcPr>
            <w:tcW w:type="dxa" w:w="2448"/>
          </w:tcPr>
          <w:p>
            <w:r>
              <w:t>Sales</w:t>
            </w:r>
          </w:p>
        </w:tc>
        <w:tc>
          <w:tcPr>
            <w:tcW w:type="dxa" w:w="2448"/>
          </w:tcPr>
          <w:p>
            <w:r>
              <w:t>Gross profit</w:t>
            </w:r>
          </w:p>
        </w:tc>
        <w:tc>
          <w:tcPr>
            <w:tcW w:type="dxa" w:w="2448"/>
          </w:tcPr>
          <w:p>
            <w:r>
              <w:t>Margin</w:t>
            </w:r>
          </w:p>
        </w:tc>
      </w:tr>
      <w:tr>
        <w:tc>
          <w:tcPr>
            <w:tcW w:type="dxa" w:w="2448"/>
          </w:tcPr>
          <w:p>
            <w:r>
              <w:t>Wonka Bar - Triple Dazzle Caramel</w:t>
            </w:r>
          </w:p>
        </w:tc>
        <w:tc>
          <w:tcPr>
            <w:tcW w:type="dxa" w:w="2448"/>
          </w:tcPr>
          <w:p>
            <w:r>
              <w:t>$28,485.00</w:t>
            </w:r>
          </w:p>
        </w:tc>
        <w:tc>
          <w:tcPr>
            <w:tcW w:type="dxa" w:w="2448"/>
          </w:tcPr>
          <w:p>
            <w:r>
              <w:t>$18,610.20</w:t>
            </w:r>
          </w:p>
        </w:tc>
        <w:tc>
          <w:tcPr>
            <w:tcW w:type="dxa" w:w="2448"/>
          </w:tcPr>
          <w:p>
            <w:r>
              <w:t>65.33%</w:t>
            </w:r>
          </w:p>
        </w:tc>
      </w:tr>
      <w:tr>
        <w:tc>
          <w:tcPr>
            <w:tcW w:type="dxa" w:w="2448"/>
          </w:tcPr>
          <w:p>
            <w:r>
              <w:t>Wonka Bar -Scrumdiddlyumptious</w:t>
            </w:r>
          </w:p>
        </w:tc>
        <w:tc>
          <w:tcPr>
            <w:tcW w:type="dxa" w:w="2448"/>
          </w:tcPr>
          <w:p>
            <w:r>
              <w:t>$27,874.80</w:t>
            </w:r>
          </w:p>
        </w:tc>
        <w:tc>
          <w:tcPr>
            <w:tcW w:type="dxa" w:w="2448"/>
          </w:tcPr>
          <w:p>
            <w:r>
              <w:t>$19,357.50</w:t>
            </w:r>
          </w:p>
        </w:tc>
        <w:tc>
          <w:tcPr>
            <w:tcW w:type="dxa" w:w="2448"/>
          </w:tcPr>
          <w:p>
            <w:r>
              <w:t>69.44%</w:t>
            </w:r>
          </w:p>
        </w:tc>
      </w:tr>
      <w:tr>
        <w:tc>
          <w:tcPr>
            <w:tcW w:type="dxa" w:w="2448"/>
          </w:tcPr>
          <w:p>
            <w:r>
              <w:t>Wonka Bar - Milk Chocolate</w:t>
            </w:r>
          </w:p>
        </w:tc>
        <w:tc>
          <w:tcPr>
            <w:tcW w:type="dxa" w:w="2448"/>
          </w:tcPr>
          <w:p>
            <w:r>
              <w:t>$26,867.75</w:t>
            </w:r>
          </w:p>
        </w:tc>
        <w:tc>
          <w:tcPr>
            <w:tcW w:type="dxa" w:w="2448"/>
          </w:tcPr>
          <w:p>
            <w:r>
              <w:t>$17,443.37</w:t>
            </w:r>
          </w:p>
        </w:tc>
        <w:tc>
          <w:tcPr>
            <w:tcW w:type="dxa" w:w="2448"/>
          </w:tcPr>
          <w:p>
            <w:r>
              <w:t>64.92%</w:t>
            </w:r>
          </w:p>
        </w:tc>
      </w:tr>
      <w:tr>
        <w:tc>
          <w:tcPr>
            <w:tcW w:type="dxa" w:w="2448"/>
          </w:tcPr>
          <w:p>
            <w:r>
              <w:t>Kazookles</w:t>
            </w:r>
          </w:p>
        </w:tc>
        <w:tc>
          <w:tcPr>
            <w:tcW w:type="dxa" w:w="2448"/>
          </w:tcPr>
          <w:p>
            <w:r>
              <w:t>$1,205.75</w:t>
            </w:r>
          </w:p>
        </w:tc>
        <w:tc>
          <w:tcPr>
            <w:tcW w:type="dxa" w:w="2448"/>
          </w:tcPr>
          <w:p>
            <w:r>
              <w:t>$92.75</w:t>
            </w:r>
          </w:p>
        </w:tc>
        <w:tc>
          <w:tcPr>
            <w:tcW w:type="dxa" w:w="2448"/>
          </w:tcPr>
          <w:p>
            <w:r>
              <w:t>7.69%</w:t>
            </w:r>
          </w:p>
        </w:tc>
      </w:tr>
      <w:tr>
        <w:tc>
          <w:tcPr>
            <w:tcW w:type="dxa" w:w="2448"/>
          </w:tcPr>
          <w:p>
            <w:r>
              <w:t>Lickable Wallpaper</w:t>
            </w:r>
          </w:p>
        </w:tc>
        <w:tc>
          <w:tcPr>
            <w:tcW w:type="dxa" w:w="2448"/>
          </w:tcPr>
          <w:p>
            <w:r>
              <w:t>$7,860.00</w:t>
            </w:r>
          </w:p>
        </w:tc>
        <w:tc>
          <w:tcPr>
            <w:tcW w:type="dxa" w:w="2448"/>
          </w:tcPr>
          <w:p>
            <w:r>
              <w:t>$3,930.00</w:t>
            </w:r>
          </w:p>
        </w:tc>
        <w:tc>
          <w:tcPr>
            <w:tcW w:type="dxa" w:w="2448"/>
          </w:tcPr>
          <w:p>
            <w:r>
              <w:t>50.00%</w:t>
            </w:r>
          </w:p>
        </w:tc>
      </w:tr>
      <w:tr>
        <w:tc>
          <w:tcPr>
            <w:tcW w:type="dxa" w:w="2448"/>
          </w:tcPr>
          <w:p>
            <w:r>
              <w:t>Everlasting Gobstopper</w:t>
            </w:r>
          </w:p>
        </w:tc>
        <w:tc>
          <w:tcPr>
            <w:tcW w:type="dxa" w:w="2448"/>
          </w:tcPr>
          <w:p>
            <w:r>
              <w:t>$130.00</w:t>
            </w:r>
          </w:p>
        </w:tc>
        <w:tc>
          <w:tcPr>
            <w:tcW w:type="dxa" w:w="2448"/>
          </w:tcPr>
          <w:p>
            <w:r>
              <w:t>$104.00</w:t>
            </w:r>
          </w:p>
        </w:tc>
        <w:tc>
          <w:tcPr>
            <w:tcW w:type="dxa" w:w="2448"/>
          </w:tcPr>
          <w:p>
            <w:r>
              <w:t>80.00%</w:t>
            </w:r>
          </w:p>
        </w:tc>
      </w:tr>
    </w:tbl>
    <w:p>
      <w:pPr>
        <w:pStyle w:val="Heading2"/>
      </w:pPr>
      <w:r>
        <w:t>3.4 Revenue concentration and monthly trend</w:t>
      </w:r>
    </w:p>
    <w:p>
      <w:r>
        <w:t>The five largest sales products are the five Chocolate bars, demonstrating a highly concentrated recorded revenue mix. The Pareto chart in the dashboard ranks products by sales and shows the cumulative share. Concentration can help prioritize account planning, forecasting, inventory protection, and contingency planning, but a small product portfolio means the conventional 80/20 rule should not be assumed without examining the actual cumulative curve.</w:t>
      </w:r>
    </w:p>
    <w:p>
      <w:r>
        <w:t>Monthly weighted gross margin is comparatively stable in the supplied data, ranging from approximately 64.54% to 66.75% across the 24 calendar months. The highest monthly margin is January 2025 (66.75%); the lowest is March 2024 (64.54%). These differences are modest and should be interpreted alongside monthly sales mix and volume. A single monthly percentage does not identify its cause.</w:t>
      </w:r>
    </w:p>
    <w:p>
      <w:pPr>
        <w:pStyle w:val="Heading1"/>
      </w:pPr>
      <w:r>
        <w:t>4. Data-quality and code-review findings</w:t>
      </w:r>
    </w:p>
    <w:p>
      <w:r>
        <w:t>The most consequential anomaly is the ship-date field. Order dates range from 2024-01-02 to 2025-12-31, while ship dates range from 2026-06-30 to 2030-06-28. Every calculated ship lag is between 904 and 1,642 days, with a median of 1,274 days. This is implausible for ordinary fulfillment and may reflect synthetic data, an incorrect date field, or a transformation issue. The source should be checked before reporting delivery performance.</w:t>
      </w:r>
    </w:p>
    <w:p>
      <w:r>
        <w:t>The original notebook is useful as an exploratory prototype, but its calculations and charting are repeated across cells. A variable named avg_margin is first assigned the mean product margin and later overwritten by the mean division margin; out-of-order cell execution can change the interpretation of a downstream filter. The profit-contribution column is named `Profit Contribution(%)` in one cell and referenced as `Profit Contribution (%)` in another, which can cause a KeyError. The notebook also uses simple average product margins for some screening logic and includes a low-sales/low-profit discontinuation screen that should not be treated as an automatic decision.</w:t>
      </w:r>
    </w:p>
    <w:p>
      <w:r>
        <w:t>Recommended remediation: use one canonical data-loading/validation function; parse dates once and report invalid values; name metrics by level; aggregate product data by Product ID and Product Name; use weighted margins for company and division results; standardize column names; eliminate duplicated summary code; and turn static narrative into current, data-driven findings.</w:t>
      </w:r>
    </w:p>
    <w:p>
      <w:pPr>
        <w:pStyle w:val="Heading1"/>
      </w:pPr>
      <w:r>
        <w:t>5. Recommendations</w:t>
      </w:r>
    </w:p>
    <w:p>
      <w:pPr>
        <w:pStyle w:val="ListNumber"/>
      </w:pPr>
      <w:r>
        <w:rPr>
          <w:b/>
        </w:rPr>
        <w:t xml:space="preserve">Priority 1 — Verify dates and data lineage: </w:t>
      </w:r>
      <w:r>
        <w:t>Confirm the meaning and provenance of Ship Date. Correct or document the issue before publishing shipping KPIs. Preserve an audit trail of source values and parsing rules.</w:t>
      </w:r>
    </w:p>
    <w:p>
      <w:pPr>
        <w:pStyle w:val="ListNumber"/>
      </w:pPr>
      <w:r>
        <w:rPr>
          <w:b/>
        </w:rPr>
        <w:t xml:space="preserve">Priority 2 — Conduct a Kazookles margin bridge: </w:t>
      </w:r>
      <w:r>
        <w:t>Check unit price, unit cost, discounts, rebates, freight treatment, and supplier terms. Model scenarios only after confirming whether cost is complete and comparable.</w:t>
      </w:r>
    </w:p>
    <w:p>
      <w:pPr>
        <w:pStyle w:val="ListNumber"/>
      </w:pPr>
      <w:r>
        <w:rPr>
          <w:b/>
        </w:rPr>
        <w:t xml:space="preserve">Priority 3 — Review the Other division: </w:t>
      </w:r>
      <w:r>
        <w:t>Break the 44.84% weighted margin down by SKU, customer, region, order size, and discount where those fields are available. Prioritize by gross-profit dollars and sales exposure, not margin percentage alone.</w:t>
      </w:r>
    </w:p>
    <w:p>
      <w:pPr>
        <w:pStyle w:val="ListNumber"/>
      </w:pPr>
      <w:r>
        <w:rPr>
          <w:b/>
        </w:rPr>
        <w:t xml:space="preserve">Priority 4 — Protect the Chocolate core: </w:t>
      </w:r>
      <w:r>
        <w:t>Monitor stock availability, supplier continuity, and demand for the five largest sales products. Their concentration means disruption to a leading SKU could materially affect recorded revenue.</w:t>
      </w:r>
    </w:p>
    <w:p>
      <w:pPr>
        <w:pStyle w:val="ListNumber"/>
      </w:pPr>
      <w:r>
        <w:rPr>
          <w:b/>
        </w:rPr>
        <w:t xml:space="preserve">Priority 5 — Establish a margin dashboard and review cadence: </w:t>
      </w:r>
      <w:r>
        <w:t>Track weighted gross margin, gross-profit dollars, sales mix, low-margin review candidates, monthly trends, and data-quality exceptions. Review exceptions monthly and assign a business owner.</w:t>
      </w:r>
    </w:p>
    <w:p>
      <w:pPr>
        <w:pStyle w:val="ListNumber"/>
      </w:pPr>
      <w:r>
        <w:rPr>
          <w:b/>
        </w:rPr>
        <w:t xml:space="preserve">Priority 6 — Improve decision context: </w:t>
      </w:r>
      <w:r>
        <w:t>Add promotions, returns, freight, operating expense allocation, inventory, price history, and customer-level profitability if available. Do not label gross profit as net profit or recommend discontinuation from this dataset alone.</w:t>
      </w:r>
    </w:p>
    <w:p>
      <w:pPr>
        <w:pStyle w:val="Heading1"/>
      </w:pPr>
      <w:r>
        <w:t>6. Proposed Streamlit dashboard</w:t>
      </w:r>
    </w:p>
    <w:p>
      <w:r>
        <w:t>The companion Streamlit app provides five views: Executive overview, Product profitability, Division performance, Trends &amp; concentration, and Data quality. Sidebar filters support division, product, date range, and CSV upload. KPI cards display sales, gross profit, weighted gross margin, cost, and units. Interactive charts and downloadable summary CSVs support reproducibility. Automated checks expose missing values, duplicate rows, reconciliation mismatches, invalid dates, and long ship lags. The dashboard labels low-margin products as review candidates rather than automated recommendations.</w:t>
      </w:r>
    </w:p>
    <w:p>
      <w:r>
        <w:t>To run: install dependencies from requirements.txt, place the CSV beside app.py or upload it through the interface, and execute `streamlit run app.py`. Before public deployment, confirm data-sharing permission and avoid placing confidential data in a public GitHub repository.</w:t>
      </w:r>
    </w:p>
    <w:p>
      <w:pPr>
        <w:pStyle w:val="Heading1"/>
      </w:pPr>
      <w:r>
        <w:t>7. Limitations</w:t>
      </w:r>
    </w:p>
    <w:p>
      <w:pPr>
        <w:pStyle w:val="ListBullet"/>
      </w:pPr>
      <w:r>
        <w:t>The dataset’s business provenance and representativeness are not independently verified.</w:t>
      </w:r>
    </w:p>
    <w:p>
      <w:pPr>
        <w:pStyle w:val="ListBullet"/>
      </w:pPr>
      <w:r>
        <w:t>Gross margin excludes any costs not present or correctly allocated in the supplied data; it is not net profitability.</w:t>
      </w:r>
    </w:p>
    <w:p>
      <w:pPr>
        <w:pStyle w:val="ListBullet"/>
      </w:pPr>
      <w:r>
        <w:t>No causal analysis, forecasting, price elasticity estimation, statistical hypothesis testing, or uncertainty intervals are performed.</w:t>
      </w:r>
    </w:p>
    <w:p>
      <w:pPr>
        <w:pStyle w:val="ListBullet"/>
      </w:pPr>
      <w:r>
        <w:t>Monthly patterns can be influenced by mix, seasonality, discounts, or data generation; the dataset alone does not establish the cause.</w:t>
      </w:r>
    </w:p>
    <w:p>
      <w:pPr>
        <w:pStyle w:val="ListBullet"/>
      </w:pPr>
      <w:r>
        <w:t>The ship-date anomaly limits operational interpretation and should be resolved before any fulfillment analysis.</w:t>
      </w:r>
    </w:p>
    <w:p>
      <w:pPr>
        <w:pStyle w:val="ListBullet"/>
      </w:pPr>
      <w:r>
        <w:t>The dataset has only 15 product IDs in the supplied profile, so product-level percentage rankings can be sensitive to small sales bases.</w:t>
      </w:r>
    </w:p>
    <w:p>
      <w:pPr>
        <w:pStyle w:val="Heading1"/>
      </w:pPr>
      <w:r>
        <w:t>8. Conclusion</w:t>
      </w:r>
    </w:p>
    <w:p>
      <w:r>
        <w:t>The supplied records show a portfolio with a 65.91% weighted gross margin, highly concentrated sales in Chocolate, and a lower-margin Other division. The most actionable initial investigation is Kazookles’ 7.69% margin, followed by a SKU-level assessment of the Other division and monitoring of the top Chocolate products. Small-volume products with high percentage margins should not be prioritized solely on margin rate. The original notebook should be refactored to reduce duplicated calculations, prevent variable/column naming errors, and distinguish screening flags from business decisions. Most importantly, the implausible ship-date lag must be verified. A Streamlit dashboard can make these analyses accessible, repeatable, and easier to discuss with business stakeholders, provided that data-quality limitations and gross-margin definitions remain explicit.</w:t>
      </w:r>
    </w:p>
    <w:p>
      <w:pPr>
        <w:pStyle w:val="Heading1"/>
      </w:pPr>
      <w:r>
        <w:t>References and analytical framing</w:t>
      </w:r>
    </w:p>
    <w:p>
      <w:pPr>
        <w:pStyle w:val="ListBullet"/>
      </w:pPr>
      <w:r>
        <w:t>Chapman, P., Clinton, J., Kerber, R., Khabaza, T., Reinartz, T., Shearer, C., &amp; Wirth, R. (2000). CRISP-DM 1.0: Step-by-step data mining guide. SPSS.</w:t>
      </w:r>
    </w:p>
    <w:p>
      <w:pPr>
        <w:pStyle w:val="ListBullet"/>
      </w:pPr>
      <w:r>
        <w:t>Few, S. (2006). Information Dashboard Design: The Effective Visual Communication of Data. O’Reilly Media.</w:t>
      </w:r>
    </w:p>
    <w:p>
      <w:pPr>
        <w:pStyle w:val="ListBullet"/>
      </w:pPr>
      <w:r>
        <w:t>Provost, F., &amp; Fawcett, T. (2013). Data Science for Business: What You Need to Know about Data Mining and Data-Analytic Thinking. O’Reilly Media.</w:t>
      </w:r>
    </w:p>
    <w:p>
      <w:pPr>
        <w:pStyle w:val="ListBullet"/>
      </w:pPr>
      <w:r>
        <w:t>Pareto analysis in this paper is used as a descriptive cumulative-contribution technique; no claim is made that the observed data must follow an 80/20 distribution.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