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728699" cy="566928"/>
            <wp:docPr id="1" name="Picture 1"/>
            <wp:cNvGraphicFramePr>
              <a:graphicFrameLocks noChangeAspect="1"/>
            </wp:cNvGraphicFramePr>
            <a:graphic>
              <a:graphicData uri="http://schemas.openxmlformats.org/drawingml/2006/picture">
                <pic:pic>
                  <pic:nvPicPr>
                    <pic:cNvPr id="0" name="qcrm-logo.png"/>
                    <pic:cNvPicPr/>
                  </pic:nvPicPr>
                  <pic:blipFill>
                    <a:blip r:embed="rId9"/>
                    <a:stretch>
                      <a:fillRect/>
                    </a:stretch>
                  </pic:blipFill>
                  <pic:spPr>
                    <a:xfrm>
                      <a:off x="0" y="0"/>
                      <a:ext cx="728699" cy="566928"/>
                    </a:xfrm>
                    <a:prstGeom prst="rect"/>
                  </pic:spPr>
                </pic:pic>
              </a:graphicData>
            </a:graphic>
          </wp:inline>
        </w:drawing>
      </w:r>
    </w:p>
    <w:p>
      <w:pPr>
        <w:keepNext/>
        <w:spacing w:before="320" w:after="160"/>
        <w:pBdr>
          <w:bottom w:val="single" w:sz="12" w:space="4" w:color="1F4E79"/>
        </w:pBdr>
      </w:pPr>
      <w:r>
        <w:rPr>
          <w:b/>
          <w:color w:val="1F4E79"/>
          <w:sz w:val="40"/>
        </w:rPr>
        <w:t>Q‑CRM — Opportunity Workflow &amp; Dashboard FAQ</w:t>
      </w:r>
    </w:p>
    <w:p>
      <w:pPr>
        <w:shd w:val="clear" w:color="auto" w:fill="F4F8FB"/>
        <w:pBdr>
          <w:top w:val="single" w:sz="6" w:space="6" w:color="9CC3E5"/>
          <w:left w:val="single" w:sz="6" w:space="6" w:color="9CC3E5"/>
          <w:bottom w:val="single" w:sz="6" w:space="6" w:color="9CC3E5"/>
          <w:right w:val="single" w:sz="6" w:space="6" w:color="9CC3E5"/>
        </w:pBdr>
        <w:spacing w:before="80" w:after="160"/>
        <w:ind w:left="160" w:right="160"/>
      </w:pPr>
      <w:r>
        <w:rPr>
          <w:b/>
          <w:i/>
          <w:color w:val="1F4E79"/>
        </w:rPr>
        <w:t>Application:</w:t>
      </w:r>
      <w:r>
        <w:rPr>
          <w:i/>
          <w:color w:val="1F4E79"/>
        </w:rPr>
        <w:t xml:space="preserve"> https://qcrm.qbadvisory.com </w:t>
      </w:r>
      <w:r>
        <w:rPr>
          <w:b/>
          <w:i/>
          <w:color w:val="1F4E79"/>
        </w:rPr>
        <w:t>Audience:</w:t>
      </w:r>
      <w:r>
        <w:rPr>
          <w:i/>
          <w:color w:val="1F4E79"/>
        </w:rPr>
        <w:t xml:space="preserve"> Sales, Presales, Managers, Management, Admins, and read‑only stakeholders </w:t>
      </w:r>
      <w:r>
        <w:rPr>
          <w:b/>
          <w:i/>
          <w:color w:val="1F4E79"/>
        </w:rPr>
        <w:t>Scope:</w:t>
      </w:r>
      <w:r>
        <w:rPr>
          <w:i/>
          <w:color w:val="1F4E79"/>
        </w:rPr>
        <w:t xml:space="preserve"> How an opportunity moves from creation to a won/lost outcome, the gates and back‑and‑forth loops along the way, and how to read the Dashboard. </w:t>
      </w:r>
      <w:r>
        <w:rPr>
          <w:b/>
          <w:i/>
          <w:color w:val="1F4E79"/>
        </w:rPr>
        <w:t>Last reviewed:</w:t>
      </w:r>
      <w:r>
        <w:rPr>
          <w:i/>
          <w:color w:val="1F4E79"/>
        </w:rPr>
        <w:t xml:space="preserve"> June 3, 2026</w:t>
      </w:r>
    </w:p>
    <w:p>
      <w:r>
        <w:t>This document is written as a set of frequently asked questions. It is grouped into sections so you can jump to the area you care about:</w:t>
      </w:r>
    </w:p>
    <w:p>
      <w:pPr>
        <w:pStyle w:val="ListNumber"/>
        <w:spacing w:after="40"/>
        <w:ind w:left="432"/>
      </w:pPr>
      <w:r>
        <w:t>Getting Started &amp; Concepts</w:t>
      </w:r>
    </w:p>
    <w:p>
      <w:pPr>
        <w:pStyle w:val="ListNumber"/>
        <w:spacing w:after="40"/>
        <w:ind w:left="432"/>
      </w:pPr>
      <w:r>
        <w:t>The Opportunity Workflow</w:t>
      </w:r>
    </w:p>
    <w:p>
      <w:pPr>
        <w:pStyle w:val="ListNumber"/>
        <w:spacing w:after="40"/>
        <w:ind w:left="432"/>
      </w:pPr>
      <w:r>
        <w:t>Pipeline Stage (Project Details)</w:t>
      </w:r>
    </w:p>
    <w:p>
      <w:pPr>
        <w:pStyle w:val="ListNumber"/>
        <w:spacing w:after="40"/>
        <w:ind w:left="432"/>
      </w:pPr>
      <w:r>
        <w:t>Presales Stage (Estimation &amp; GOM)</w:t>
      </w:r>
    </w:p>
    <w:p>
      <w:pPr>
        <w:pStyle w:val="ListNumber"/>
        <w:spacing w:after="40"/>
        <w:ind w:left="432"/>
      </w:pPr>
      <w:r>
        <w:t>Sales Stage (Proposal, Negotiation, Re‑estimate)</w:t>
      </w:r>
    </w:p>
    <w:p>
      <w:pPr>
        <w:pStyle w:val="ListNumber"/>
        <w:spacing w:after="40"/>
        <w:ind w:left="432"/>
      </w:pPr>
      <w:r>
        <w:t>Closing: Won, Lost &amp; Convert to Project</w:t>
      </w:r>
    </w:p>
    <w:p>
      <w:pPr>
        <w:pStyle w:val="ListNumber"/>
        <w:spacing w:after="40"/>
        <w:ind w:left="432"/>
      </w:pPr>
      <w:r>
        <w:t>SOW Studio &amp; Approvals</w:t>
      </w:r>
    </w:p>
    <w:p>
      <w:pPr>
        <w:pStyle w:val="ListNumber"/>
        <w:spacing w:after="40"/>
        <w:ind w:left="432"/>
      </w:pPr>
      <w:r>
        <w:t>Roles &amp; Who Can Do What</w:t>
      </w:r>
    </w:p>
    <w:p>
      <w:pPr>
        <w:pStyle w:val="ListNumber"/>
        <w:spacing w:after="40"/>
        <w:ind w:left="432"/>
      </w:pPr>
      <w:r>
        <w:t>The Dashboard</w:t>
      </w:r>
    </w:p>
    <w:p>
      <w:pPr>
        <w:pStyle w:val="ListNumber"/>
        <w:spacing w:after="40"/>
        <w:ind w:left="432"/>
      </w:pPr>
      <w:r>
        <w:t>Notifications &amp; Email</w:t>
      </w:r>
    </w:p>
    <w:p>
      <w:pPr>
        <w:pStyle w:val="ListNumber"/>
        <w:spacing w:after="40"/>
        <w:ind w:left="432"/>
      </w:pPr>
      <w:r>
        <w:t>Troubleshooting</w:t>
      </w:r>
    </w:p>
    <w:p>
      <w:pPr>
        <w:keepNext/>
        <w:spacing w:before="280" w:after="120"/>
      </w:pPr>
      <w:r>
        <w:rPr>
          <w:b/>
          <w:color w:val="2E74B5"/>
          <w:sz w:val="30"/>
        </w:rPr>
        <w:t>1. Getting Started &amp; Concepts</w:t>
      </w:r>
    </w:p>
    <w:p>
      <w:pPr>
        <w:spacing w:before="160"/>
      </w:pPr>
      <w:r>
        <w:rPr>
          <w:b/>
          <w:color w:val="1F4E79"/>
          <w:sz w:val="22"/>
        </w:rPr>
        <w:t>Q: What is an "opportunity" in Q‑CRM?</w:t>
      </w:r>
      <w:r>
        <w:t xml:space="preserve">  </w:t>
      </w:r>
      <w:r>
        <w:t>An opportunity is a single potential deal — a client, a piece of work, a value, and the people working it. It is the central record in the system. Everything else (estimation, GOM, the proposal, the SOW, approvals, the eventual project) hangs off the opportunity.</w:t>
      </w:r>
    </w:p>
    <w:p>
      <w:pPr>
        <w:spacing w:before="160"/>
      </w:pPr>
      <w:r>
        <w:rPr>
          <w:b/>
          <w:color w:val="1F4E79"/>
          <w:sz w:val="22"/>
        </w:rPr>
        <w:t>Q: What are the two views I'll use most?</w:t>
      </w:r>
    </w:p>
    <w:p>
      <w:pPr>
        <w:pStyle w:val="ListBullet"/>
        <w:spacing w:after="40"/>
        <w:ind w:left="432"/>
      </w:pPr>
      <w:r>
        <w:rPr>
          <w:b/>
        </w:rPr>
        <w:t>The Dashboard</w:t>
      </w:r>
      <w:r>
        <w:t xml:space="preserve"> (</w:t>
      </w:r>
      <w:r>
        <w:rPr>
          <w:rFonts w:ascii="Consolas" w:hAnsi="Consolas"/>
          <w:color w:val="0B3D2E"/>
          <w:sz w:val="20"/>
          <w:shd w:val="clear" w:color="auto" w:fill="EEF1F4"/>
        </w:rPr>
        <w:t>/dashboard</w:t>
      </w:r>
      <w:r>
        <w:t>) — a read‑at‑a‑glance summary of the whole pipeline: KPIs, charts, your pending actions, and deal‑health insights.</w:t>
      </w:r>
    </w:p>
    <w:p>
      <w:pPr>
        <w:pStyle w:val="ListBullet"/>
        <w:spacing w:after="40"/>
        <w:ind w:left="432"/>
      </w:pPr>
      <w:r>
        <w:rPr>
          <w:b/>
        </w:rPr>
        <w:t>The Opportunity Detail page</w:t>
      </w:r>
      <w:r>
        <w:t xml:space="preserve"> (</w:t>
      </w:r>
      <w:r>
        <w:rPr>
          <w:rFonts w:ascii="Consolas" w:hAnsi="Consolas"/>
          <w:color w:val="0B3D2E"/>
          <w:sz w:val="20"/>
          <w:shd w:val="clear" w:color="auto" w:fill="EEF1F4"/>
        </w:rPr>
        <w:t>/dashboard/opportunities/{id}</w:t>
      </w:r>
      <w:r>
        <w:t>) — the working surface for a single deal. It has a 4‑step stepper (Pipeline → Presales → Sales → Project) and is where the actual workflow happens.</w:t>
      </w:r>
    </w:p>
    <w:p>
      <w:pPr>
        <w:spacing w:before="160"/>
      </w:pPr>
      <w:r>
        <w:rPr>
          <w:b/>
          <w:color w:val="1F4E79"/>
          <w:sz w:val="22"/>
        </w:rPr>
        <w:t>Q: What's the difference between a "stage" and the "stepper steps"?</w:t>
      </w:r>
      <w:r>
        <w:t xml:space="preserve">  </w:t>
      </w:r>
      <w:r>
        <w:t>There are two related concepts:</w:t>
      </w:r>
    </w:p>
    <w:p>
      <w:pPr>
        <w:pStyle w:val="ListBullet"/>
        <w:spacing w:after="40"/>
        <w:ind w:left="432"/>
      </w:pPr>
      <w:r>
        <w:rPr>
          <w:b/>
        </w:rPr>
        <w:t>Workflow steps (the stepper):</w:t>
      </w:r>
      <w:r>
        <w:t xml:space="preserve"> four high‑level phases shown across the top of the detail page — </w:t>
      </w:r>
      <w:r>
        <w:rPr>
          <w:b/>
        </w:rPr>
        <w:t>Pipeline → Presales → Sales → Project</w:t>
      </w:r>
      <w:r>
        <w:t>. This is what most people mean by "the workflow."</w:t>
      </w:r>
    </w:p>
    <w:p>
      <w:pPr>
        <w:pStyle w:val="ListBullet"/>
        <w:spacing w:after="40"/>
        <w:ind w:left="432"/>
      </w:pPr>
      <w:r>
        <w:rPr>
          <w:b/>
        </w:rPr>
        <w:t>Pipeline stages (the underlying status):</w:t>
      </w:r>
      <w:r>
        <w:t xml:space="preserve"> the finer‑grained status the deal sits in — </w:t>
      </w:r>
      <w:r>
        <w:rPr>
          <w:b/>
        </w:rPr>
        <w:t>Discovery, Qualification, Proposal, Negotiation, Closed Won, Closed Lost</w:t>
      </w:r>
      <w:r>
        <w:t xml:space="preserve"> (plus special statuses like *Proposal Lost*). These drive probability, health, and reporting.</w:t>
      </w:r>
    </w:p>
    <w:p>
      <w:r>
        <w:t>The stepper step is derived from the underlying stage. Roughly: Pipeline ≈ Discovery, Presales ≈ Qualification, Sales ≈ Proposal/Negotiation, Project ≈ Closed Won / delivery.</w:t>
      </w:r>
    </w:p>
    <w:p>
      <w:pPr>
        <w:spacing w:before="160"/>
      </w:pPr>
      <w:r>
        <w:rPr>
          <w:b/>
          <w:color w:val="1F4E79"/>
          <w:sz w:val="22"/>
        </w:rPr>
        <w:t>Q: What do the percentages next to each stage mean?</w:t>
      </w:r>
      <w:r>
        <w:t xml:space="preserve">  </w:t>
      </w:r>
      <w:r>
        <w:t xml:space="preserve">They are the </w:t>
      </w:r>
      <w:r>
        <w:rPr>
          <w:b/>
        </w:rPr>
        <w:t>base win probability</w:t>
      </w:r>
      <w:r>
        <w:t xml:space="preserve"> for a deal in that stage: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shd w:val="clear" w:color="auto" w:fill="1F4E79"/>
          </w:tcPr>
          <w:p>
            <w:pPr>
              <w:spacing w:after="40" w:before="40"/>
            </w:pPr>
            <w:r>
              <w:rPr>
                <w:b/>
                <w:color w:val="FFFFFF"/>
                <w:sz w:val="19"/>
              </w:rPr>
              <w:t>Stage</w:t>
            </w:r>
          </w:p>
        </w:tc>
        <w:tc>
          <w:tcPr>
            <w:tcW w:type="dxa" w:w="4824"/>
            <w:shd w:val="clear" w:color="auto" w:fill="1F4E79"/>
          </w:tcPr>
          <w:p>
            <w:pPr>
              <w:spacing w:after="40" w:before="40"/>
            </w:pPr>
            <w:r>
              <w:rPr>
                <w:b/>
                <w:color w:val="FFFFFF"/>
                <w:sz w:val="19"/>
              </w:rPr>
              <w:t>Base probability</w:t>
            </w:r>
          </w:p>
        </w:tc>
      </w:tr>
      <w:tr>
        <w:tc>
          <w:tcPr>
            <w:tcW w:type="dxa" w:w="4824"/>
          </w:tcPr>
          <w:p>
            <w:pPr>
              <w:spacing w:after="40" w:before="40"/>
            </w:pPr>
            <w:r>
              <w:rPr>
                <w:sz w:val="19"/>
              </w:rPr>
              <w:t>Discovery</w:t>
            </w:r>
          </w:p>
        </w:tc>
        <w:tc>
          <w:tcPr>
            <w:tcW w:type="dxa" w:w="4824"/>
          </w:tcPr>
          <w:p>
            <w:pPr>
              <w:spacing w:after="40" w:before="40"/>
            </w:pPr>
            <w:r>
              <w:rPr>
                <w:sz w:val="19"/>
              </w:rPr>
              <w:t>10%</w:t>
            </w:r>
          </w:p>
        </w:tc>
      </w:tr>
      <w:tr>
        <w:tc>
          <w:tcPr>
            <w:tcW w:type="dxa" w:w="4824"/>
            <w:shd w:val="clear" w:color="auto" w:fill="EEF3F9"/>
          </w:tcPr>
          <w:p>
            <w:pPr>
              <w:spacing w:after="40" w:before="40"/>
            </w:pPr>
            <w:r>
              <w:rPr>
                <w:sz w:val="19"/>
              </w:rPr>
              <w:t>Qualification</w:t>
            </w:r>
          </w:p>
        </w:tc>
        <w:tc>
          <w:tcPr>
            <w:tcW w:type="dxa" w:w="4824"/>
            <w:shd w:val="clear" w:color="auto" w:fill="EEF3F9"/>
          </w:tcPr>
          <w:p>
            <w:pPr>
              <w:spacing w:after="40" w:before="40"/>
            </w:pPr>
            <w:r>
              <w:rPr>
                <w:sz w:val="19"/>
              </w:rPr>
              <w:t>25%</w:t>
            </w:r>
          </w:p>
        </w:tc>
      </w:tr>
      <w:tr>
        <w:tc>
          <w:tcPr>
            <w:tcW w:type="dxa" w:w="4824"/>
          </w:tcPr>
          <w:p>
            <w:pPr>
              <w:spacing w:after="40" w:before="40"/>
            </w:pPr>
            <w:r>
              <w:rPr>
                <w:sz w:val="19"/>
              </w:rPr>
              <w:t>Proposal</w:t>
            </w:r>
          </w:p>
        </w:tc>
        <w:tc>
          <w:tcPr>
            <w:tcW w:type="dxa" w:w="4824"/>
          </w:tcPr>
          <w:p>
            <w:pPr>
              <w:spacing w:after="40" w:before="40"/>
            </w:pPr>
            <w:r>
              <w:rPr>
                <w:sz w:val="19"/>
              </w:rPr>
              <w:t>50%</w:t>
            </w:r>
          </w:p>
        </w:tc>
      </w:tr>
      <w:tr>
        <w:tc>
          <w:tcPr>
            <w:tcW w:type="dxa" w:w="4824"/>
            <w:shd w:val="clear" w:color="auto" w:fill="EEF3F9"/>
          </w:tcPr>
          <w:p>
            <w:pPr>
              <w:spacing w:after="40" w:before="40"/>
            </w:pPr>
            <w:r>
              <w:rPr>
                <w:sz w:val="19"/>
              </w:rPr>
              <w:t>Negotiation</w:t>
            </w:r>
          </w:p>
        </w:tc>
        <w:tc>
          <w:tcPr>
            <w:tcW w:type="dxa" w:w="4824"/>
            <w:shd w:val="clear" w:color="auto" w:fill="EEF3F9"/>
          </w:tcPr>
          <w:p>
            <w:pPr>
              <w:spacing w:after="40" w:before="40"/>
            </w:pPr>
            <w:r>
              <w:rPr>
                <w:sz w:val="19"/>
              </w:rPr>
              <w:t>75%</w:t>
            </w:r>
          </w:p>
        </w:tc>
      </w:tr>
      <w:tr>
        <w:tc>
          <w:tcPr>
            <w:tcW w:type="dxa" w:w="4824"/>
          </w:tcPr>
          <w:p>
            <w:pPr>
              <w:spacing w:after="40" w:before="40"/>
            </w:pPr>
            <w:r>
              <w:rPr>
                <w:sz w:val="19"/>
              </w:rPr>
              <w:t>Closed Won</w:t>
            </w:r>
          </w:p>
        </w:tc>
        <w:tc>
          <w:tcPr>
            <w:tcW w:type="dxa" w:w="4824"/>
          </w:tcPr>
          <w:p>
            <w:pPr>
              <w:spacing w:after="40" w:before="40"/>
            </w:pPr>
            <w:r>
              <w:rPr>
                <w:sz w:val="19"/>
              </w:rPr>
              <w:t>100%</w:t>
            </w:r>
          </w:p>
        </w:tc>
      </w:tr>
      <w:tr>
        <w:tc>
          <w:tcPr>
            <w:tcW w:type="dxa" w:w="4824"/>
            <w:shd w:val="clear" w:color="auto" w:fill="EEF3F9"/>
          </w:tcPr>
          <w:p>
            <w:pPr>
              <w:spacing w:after="40" w:before="40"/>
            </w:pPr>
            <w:r>
              <w:rPr>
                <w:sz w:val="19"/>
              </w:rPr>
              <w:t>Closed Lost</w:t>
            </w:r>
          </w:p>
        </w:tc>
        <w:tc>
          <w:tcPr>
            <w:tcW w:type="dxa" w:w="4824"/>
            <w:shd w:val="clear" w:color="auto" w:fill="EEF3F9"/>
          </w:tcPr>
          <w:p>
            <w:pPr>
              <w:spacing w:after="40" w:before="40"/>
            </w:pPr>
            <w:r>
              <w:rPr>
                <w:sz w:val="19"/>
              </w:rPr>
              <w:t>0%</w:t>
            </w:r>
          </w:p>
        </w:tc>
      </w:tr>
    </w:tbl>
    <w:p>
      <w:pPr>
        <w:spacing w:after="40"/>
      </w:pPr>
    </w:p>
    <w:p>
      <w:r>
        <w:t>The displayed probability can rise a little above the base (up to +15%) as the deal record gets more complete (description, region, estimation data, rate, duration, expected close date all filled in).</w:t>
      </w:r>
    </w:p>
    <w:p>
      <w:pPr>
        <w:keepNext/>
        <w:spacing w:before="280" w:after="120"/>
      </w:pPr>
      <w:r>
        <w:rPr>
          <w:b/>
          <w:color w:val="2E74B5"/>
          <w:sz w:val="30"/>
        </w:rPr>
        <w:t>2. The Opportunity Workflow</w:t>
      </w:r>
    </w:p>
    <w:p>
      <w:pPr>
        <w:spacing w:before="160"/>
      </w:pPr>
      <w:r>
        <w:rPr>
          <w:b/>
          <w:color w:val="1F4E79"/>
          <w:sz w:val="22"/>
        </w:rPr>
        <w:t>Q: What is the overall flow, start to finish?</w:t>
      </w:r>
    </w:p>
    <w:p>
      <w:pPr>
        <w:spacing w:before="80" w:after="160" w:line="240" w:lineRule="auto"/>
        <w:shd w:val="clear" w:color="auto" w:fill="F2F4F7"/>
        <w:pBdr>
          <w:top w:val="single" w:sz="6" w:space="6" w:color="D0D7DE"/>
          <w:left w:val="single" w:sz="6" w:space="6" w:color="D0D7DE"/>
          <w:bottom w:val="single" w:sz="6" w:space="6" w:color="D0D7DE"/>
          <w:right w:val="single" w:sz="6" w:space="6" w:color="D0D7DE"/>
        </w:pBdr>
        <w:ind w:left="120" w:right="120"/>
      </w:pPr>
      <w:r>
        <w:rPr>
          <w:rFonts w:ascii="Consolas" w:hAnsi="Consolas" w:cs="Consolas"/>
          <w:color w:val="0B3D2E"/>
          <w:sz w:val="17"/>
        </w:rPr>
        <w:t>DISCOVERY ──► QUALIFICATION ──► PROPOSAL ──► NEGOTIATION ──► CLOSED WON</w:t>
        <w:br/>
      </w:r>
      <w:r>
        <w:rPr>
          <w:rFonts w:ascii="Consolas" w:hAnsi="Consolas" w:cs="Consolas"/>
          <w:color w:val="0B3D2E"/>
          <w:sz w:val="17"/>
        </w:rPr>
        <w:t xml:space="preserve"> (10%)          (25%)            (50%)         (75%)           (100%)</w:t>
        <w:br/>
      </w:r>
      <w:r>
        <w:rPr>
          <w:rFonts w:ascii="Consolas" w:hAnsi="Consolas" w:cs="Consolas"/>
          <w:color w:val="0B3D2E"/>
          <w:sz w:val="17"/>
        </w:rPr>
        <w:t xml:space="preserve">   │              │  ▲             │  ▲           │</w:t>
        <w:br/>
      </w:r>
      <w:r>
        <w:rPr>
          <w:rFonts w:ascii="Consolas" w:hAnsi="Consolas" w:cs="Consolas"/>
          <w:color w:val="0B3D2E"/>
          <w:sz w:val="17"/>
        </w:rPr>
        <w:t xml:space="preserve">   │              │  │ Re-estimate │  │           │</w:t>
        <w:br/>
      </w:r>
      <w:r>
        <w:rPr>
          <w:rFonts w:ascii="Consolas" w:hAnsi="Consolas" w:cs="Consolas"/>
          <w:color w:val="0B3D2E"/>
          <w:sz w:val="17"/>
        </w:rPr>
        <w:t xml:space="preserve">   │              │  └─────────────┘  │           │</w:t>
        <w:br/>
      </w:r>
      <w:r>
        <w:rPr>
          <w:rFonts w:ascii="Consolas" w:hAnsi="Consolas" w:cs="Consolas"/>
          <w:color w:val="0B3D2E"/>
          <w:sz w:val="17"/>
        </w:rPr>
        <w:t xml:space="preserve">   │              │                   │           │</w:t>
        <w:br/>
      </w:r>
      <w:r>
        <w:rPr>
          <w:rFonts w:ascii="Consolas" w:hAnsi="Consolas" w:cs="Consolas"/>
          <w:color w:val="0B3D2E"/>
          <w:sz w:val="17"/>
        </w:rPr>
        <w:t xml:space="preserve">   │       GOM Approval Gate    ◄── Re-estimate ──┘</w:t>
        <w:br/>
      </w:r>
      <w:r>
        <w:rPr>
          <w:rFonts w:ascii="Consolas" w:hAnsi="Consolas" w:cs="Consolas"/>
          <w:color w:val="0B3D2E"/>
          <w:sz w:val="17"/>
        </w:rPr>
        <w:t xml:space="preserve">   │       (must pass before</w:t>
        <w:br/>
      </w:r>
      <w:r>
        <w:rPr>
          <w:rFonts w:ascii="Consolas" w:hAnsi="Consolas" w:cs="Consolas"/>
          <w:color w:val="0B3D2E"/>
          <w:sz w:val="17"/>
        </w:rPr>
        <w:t xml:space="preserve">   │        moving to Proposal)</w:t>
        <w:br/>
      </w:r>
      <w:r>
        <w:rPr>
          <w:rFonts w:ascii="Consolas" w:hAnsi="Consolas" w:cs="Consolas"/>
          <w:color w:val="0B3D2E"/>
          <w:sz w:val="17"/>
        </w:rPr>
        <w:t xml:space="preserve">   ▼</w:t>
        <w:br/>
      </w:r>
      <w:r>
        <w:rPr>
          <w:rFonts w:ascii="Consolas" w:hAnsi="Consolas" w:cs="Consolas"/>
          <w:color w:val="0B3D2E"/>
          <w:sz w:val="17"/>
        </w:rPr>
        <w:t>CLOSED LOST (0%)  ◄── can happen from any open stage</w:t>
      </w:r>
    </w:p>
    <w:p>
      <w:r>
        <w:t xml:space="preserve">In stepper terms: you fill in </w:t>
      </w:r>
      <w:r>
        <w:rPr>
          <w:b/>
        </w:rPr>
        <w:t>Pipeline</w:t>
      </w:r>
      <w:r>
        <w:t xml:space="preserve"> details, hand off to </w:t>
      </w:r>
      <w:r>
        <w:rPr>
          <w:b/>
        </w:rPr>
        <w:t>Presales</w:t>
      </w:r>
      <w:r>
        <w:t xml:space="preserve"> for estimation + GOM, move to </w:t>
      </w:r>
      <w:r>
        <w:rPr>
          <w:b/>
        </w:rPr>
        <w:t>Sales</w:t>
      </w:r>
      <w:r>
        <w:t xml:space="preserve"> to build and negotiate the proposal, then </w:t>
      </w:r>
      <w:r>
        <w:rPr>
          <w:b/>
        </w:rPr>
        <w:t>Convert to Project</w:t>
      </w:r>
      <w:r>
        <w:t xml:space="preserve"> on win.</w:t>
      </w:r>
    </w:p>
    <w:p>
      <w:pPr>
        <w:spacing w:before="160"/>
      </w:pPr>
      <w:r>
        <w:rPr>
          <w:b/>
          <w:color w:val="1F4E79"/>
          <w:sz w:val="22"/>
        </w:rPr>
        <w:t>Q: Is the workflow strictly linear?</w:t>
      </w:r>
      <w:r>
        <w:t xml:space="preserve">  </w:t>
      </w:r>
      <w:r>
        <w:t xml:space="preserve">No. Q‑CRM is intentionally </w:t>
      </w:r>
      <w:r>
        <w:rPr>
          <w:b/>
        </w:rPr>
        <w:t>not</w:t>
      </w:r>
      <w:r>
        <w:t xml:space="preserve"> a one‑way pipeline. There are several feedback loops that push a deal backward:</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spacing w:after="40" w:before="40"/>
            </w:pPr>
            <w:r>
              <w:rPr>
                <w:b/>
                <w:color w:val="FFFFFF"/>
                <w:sz w:val="19"/>
              </w:rPr>
              <w:t>Loop</w:t>
            </w:r>
          </w:p>
        </w:tc>
        <w:tc>
          <w:tcPr>
            <w:tcW w:type="dxa" w:w="2412"/>
            <w:shd w:val="clear" w:color="auto" w:fill="1F4E79"/>
          </w:tcPr>
          <w:p>
            <w:pPr>
              <w:spacing w:after="40" w:before="40"/>
            </w:pPr>
            <w:r>
              <w:rPr>
                <w:b/>
                <w:color w:val="FFFFFF"/>
                <w:sz w:val="19"/>
              </w:rPr>
              <w:t>From → To</w:t>
            </w:r>
          </w:p>
        </w:tc>
        <w:tc>
          <w:tcPr>
            <w:tcW w:type="dxa" w:w="2412"/>
            <w:shd w:val="clear" w:color="auto" w:fill="1F4E79"/>
          </w:tcPr>
          <w:p>
            <w:pPr>
              <w:spacing w:after="40" w:before="40"/>
            </w:pPr>
            <w:r>
              <w:rPr>
                <w:b/>
                <w:color w:val="FFFFFF"/>
                <w:sz w:val="19"/>
              </w:rPr>
              <w:t>Who triggers it</w:t>
            </w:r>
          </w:p>
        </w:tc>
        <w:tc>
          <w:tcPr>
            <w:tcW w:type="dxa" w:w="2412"/>
            <w:shd w:val="clear" w:color="auto" w:fill="1F4E79"/>
          </w:tcPr>
          <w:p>
            <w:pPr>
              <w:spacing w:after="40" w:before="40"/>
            </w:pPr>
            <w:r>
              <w:rPr>
                <w:b/>
                <w:color w:val="FFFFFF"/>
                <w:sz w:val="19"/>
              </w:rPr>
              <w:t>What it does</w:t>
            </w:r>
          </w:p>
        </w:tc>
      </w:tr>
      <w:tr>
        <w:tc>
          <w:tcPr>
            <w:tcW w:type="dxa" w:w="2412"/>
          </w:tcPr>
          <w:p>
            <w:pPr>
              <w:spacing w:after="40" w:before="40"/>
            </w:pPr>
            <w:r>
              <w:rPr>
                <w:b/>
                <w:sz w:val="19"/>
              </w:rPr>
              <w:t>Re‑estimate</w:t>
            </w:r>
          </w:p>
        </w:tc>
        <w:tc>
          <w:tcPr>
            <w:tcW w:type="dxa" w:w="2412"/>
          </w:tcPr>
          <w:p>
            <w:pPr>
              <w:spacing w:after="40" w:before="40"/>
            </w:pPr>
            <w:r>
              <w:rPr>
                <w:sz w:val="19"/>
              </w:rPr>
              <w:t>Proposal / Negotiation → Qualification</w:t>
            </w:r>
          </w:p>
        </w:tc>
        <w:tc>
          <w:tcPr>
            <w:tcW w:type="dxa" w:w="2412"/>
          </w:tcPr>
          <w:p>
            <w:pPr>
              <w:spacing w:after="40" w:before="40"/>
            </w:pPr>
            <w:r>
              <w:rPr>
                <w:sz w:val="19"/>
              </w:rPr>
              <w:t>Sales</w:t>
            </w:r>
          </w:p>
        </w:tc>
        <w:tc>
          <w:tcPr>
            <w:tcW w:type="dxa" w:w="2412"/>
          </w:tcPr>
          <w:p>
            <w:pPr>
              <w:spacing w:after="40" w:before="40"/>
            </w:pPr>
            <w:r>
              <w:rPr>
                <w:sz w:val="19"/>
              </w:rPr>
              <w:t>Sends the deal back to Presales to re‑estimate; resets GOM approval; increments the re‑estimate counter</w:t>
            </w:r>
          </w:p>
        </w:tc>
      </w:tr>
      <w:tr>
        <w:tc>
          <w:tcPr>
            <w:tcW w:type="dxa" w:w="2412"/>
            <w:shd w:val="clear" w:color="auto" w:fill="EEF3F9"/>
          </w:tcPr>
          <w:p>
            <w:pPr>
              <w:spacing w:after="40" w:before="40"/>
            </w:pPr>
            <w:r>
              <w:rPr>
                <w:b/>
                <w:sz w:val="19"/>
              </w:rPr>
              <w:t>GOM rejection</w:t>
            </w:r>
          </w:p>
        </w:tc>
        <w:tc>
          <w:tcPr>
            <w:tcW w:type="dxa" w:w="2412"/>
            <w:shd w:val="clear" w:color="auto" w:fill="EEF3F9"/>
          </w:tcPr>
          <w:p>
            <w:pPr>
              <w:spacing w:after="40" w:before="40"/>
            </w:pPr>
            <w:r>
              <w:rPr>
                <w:sz w:val="19"/>
              </w:rPr>
              <w:t>Manager → Presales (within Qualification)</w:t>
            </w:r>
          </w:p>
        </w:tc>
        <w:tc>
          <w:tcPr>
            <w:tcW w:type="dxa" w:w="2412"/>
            <w:shd w:val="clear" w:color="auto" w:fill="EEF3F9"/>
          </w:tcPr>
          <w:p>
            <w:pPr>
              <w:spacing w:after="40" w:before="40"/>
            </w:pPr>
            <w:r>
              <w:rPr>
                <w:sz w:val="19"/>
              </w:rPr>
              <w:t>Manager</w:t>
            </w:r>
          </w:p>
        </w:tc>
        <w:tc>
          <w:tcPr>
            <w:tcW w:type="dxa" w:w="2412"/>
            <w:shd w:val="clear" w:color="auto" w:fill="EEF3F9"/>
          </w:tcPr>
          <w:p>
            <w:pPr>
              <w:spacing w:after="40" w:before="40"/>
            </w:pPr>
            <w:r>
              <w:rPr>
                <w:sz w:val="19"/>
              </w:rPr>
              <w:t>Rejects the GOM; Presales revises and resubmits</w:t>
            </w:r>
          </w:p>
        </w:tc>
      </w:tr>
      <w:tr>
        <w:tc>
          <w:tcPr>
            <w:tcW w:type="dxa" w:w="2412"/>
          </w:tcPr>
          <w:p>
            <w:pPr>
              <w:spacing w:after="40" w:before="40"/>
            </w:pPr>
            <w:r>
              <w:rPr>
                <w:b/>
                <w:sz w:val="19"/>
              </w:rPr>
              <w:t>Discount rejection</w:t>
            </w:r>
          </w:p>
        </w:tc>
        <w:tc>
          <w:tcPr>
            <w:tcW w:type="dxa" w:w="2412"/>
          </w:tcPr>
          <w:p>
            <w:pPr>
              <w:spacing w:after="40" w:before="40"/>
            </w:pPr>
            <w:r>
              <w:rPr>
                <w:sz w:val="19"/>
              </w:rPr>
              <w:t>Finance → Sales (within Negotiation)</w:t>
            </w:r>
          </w:p>
        </w:tc>
        <w:tc>
          <w:tcPr>
            <w:tcW w:type="dxa" w:w="2412"/>
          </w:tcPr>
          <w:p>
            <w:pPr>
              <w:spacing w:after="40" w:before="40"/>
            </w:pPr>
            <w:r>
              <w:rPr>
                <w:sz w:val="19"/>
              </w:rPr>
              <w:t>Finance approver</w:t>
            </w:r>
          </w:p>
        </w:tc>
        <w:tc>
          <w:tcPr>
            <w:tcW w:type="dxa" w:w="2412"/>
          </w:tcPr>
          <w:p>
            <w:pPr>
              <w:spacing w:after="40" w:before="40"/>
            </w:pPr>
            <w:r>
              <w:rPr>
                <w:sz w:val="19"/>
              </w:rPr>
              <w:t>Rejects a discount request; Sales adjusts pricing</w:t>
            </w:r>
          </w:p>
        </w:tc>
      </w:tr>
      <w:tr>
        <w:tc>
          <w:tcPr>
            <w:tcW w:type="dxa" w:w="2412"/>
            <w:shd w:val="clear" w:color="auto" w:fill="EEF3F9"/>
          </w:tcPr>
          <w:p>
            <w:pPr>
              <w:spacing w:after="40" w:before="40"/>
            </w:pPr>
            <w:r>
              <w:rPr>
                <w:b/>
                <w:sz w:val="19"/>
              </w:rPr>
              <w:t>SOW review rejection</w:t>
            </w:r>
          </w:p>
        </w:tc>
        <w:tc>
          <w:tcPr>
            <w:tcW w:type="dxa" w:w="2412"/>
            <w:shd w:val="clear" w:color="auto" w:fill="EEF3F9"/>
          </w:tcPr>
          <w:p>
            <w:pPr>
              <w:spacing w:after="40" w:before="40"/>
            </w:pPr>
            <w:r>
              <w:rPr>
                <w:sz w:val="19"/>
              </w:rPr>
              <w:t>Any reviewer → Author</w:t>
            </w:r>
          </w:p>
        </w:tc>
        <w:tc>
          <w:tcPr>
            <w:tcW w:type="dxa" w:w="2412"/>
            <w:shd w:val="clear" w:color="auto" w:fill="EEF3F9"/>
          </w:tcPr>
          <w:p>
            <w:pPr>
              <w:spacing w:after="40" w:before="40"/>
            </w:pPr>
            <w:r>
              <w:rPr>
                <w:sz w:val="19"/>
              </w:rPr>
              <w:t>SOW reviewer</w:t>
            </w:r>
          </w:p>
        </w:tc>
        <w:tc>
          <w:tcPr>
            <w:tcW w:type="dxa" w:w="2412"/>
            <w:shd w:val="clear" w:color="auto" w:fill="EEF3F9"/>
          </w:tcPr>
          <w:p>
            <w:pPr>
              <w:spacing w:after="40" w:before="40"/>
            </w:pPr>
            <w:r>
              <w:rPr>
                <w:sz w:val="19"/>
              </w:rPr>
              <w:t>SOW reverts to Drafting; author fixes and resubmits</w:t>
            </w:r>
          </w:p>
        </w:tc>
      </w:tr>
      <w:tr>
        <w:tc>
          <w:tcPr>
            <w:tcW w:type="dxa" w:w="2412"/>
          </w:tcPr>
          <w:p>
            <w:pPr>
              <w:spacing w:after="40" w:before="40"/>
            </w:pPr>
            <w:r>
              <w:rPr>
                <w:b/>
                <w:sz w:val="19"/>
              </w:rPr>
              <w:t>SOW client revision</w:t>
            </w:r>
          </w:p>
        </w:tc>
        <w:tc>
          <w:tcPr>
            <w:tcW w:type="dxa" w:w="2412"/>
          </w:tcPr>
          <w:p>
            <w:pPr>
              <w:spacing w:after="40" w:before="40"/>
            </w:pPr>
            <w:r>
              <w:rPr>
                <w:sz w:val="19"/>
              </w:rPr>
              <w:t>Client → Author</w:t>
            </w:r>
          </w:p>
        </w:tc>
        <w:tc>
          <w:tcPr>
            <w:tcW w:type="dxa" w:w="2412"/>
          </w:tcPr>
          <w:p>
            <w:pPr>
              <w:spacing w:after="40" w:before="40"/>
            </w:pPr>
            <w:r>
              <w:rPr>
                <w:sz w:val="19"/>
              </w:rPr>
              <w:t>Client feedback</w:t>
            </w:r>
          </w:p>
        </w:tc>
        <w:tc>
          <w:tcPr>
            <w:tcW w:type="dxa" w:w="2412"/>
          </w:tcPr>
          <w:p>
            <w:pPr>
              <w:spacing w:after="40" w:before="40"/>
            </w:pPr>
            <w:r>
              <w:rPr>
                <w:sz w:val="19"/>
              </w:rPr>
              <w:t>SOW set to "Revision Requested"; author revises and re‑shares</w:t>
            </w:r>
          </w:p>
        </w:tc>
      </w:tr>
    </w:tbl>
    <w:p>
      <w:pPr>
        <w:spacing w:after="40"/>
      </w:pPr>
    </w:p>
    <w:p>
      <w:pPr>
        <w:spacing w:before="160"/>
      </w:pPr>
      <w:r>
        <w:rPr>
          <w:b/>
          <w:color w:val="1F4E79"/>
          <w:sz w:val="22"/>
        </w:rPr>
        <w:t>Q: What are the "gates" in the workflow?</w:t>
      </w:r>
      <w:r>
        <w:t xml:space="preserve">  </w:t>
      </w:r>
      <w:r>
        <w:t>A gate is a checkpoint you must pass before the deal can advance:</w:t>
      </w:r>
    </w:p>
    <w:p>
      <w:pPr>
        <w:pStyle w:val="ListBullet"/>
        <w:spacing w:after="40"/>
        <w:ind w:left="432"/>
      </w:pPr>
      <w:r>
        <w:rPr>
          <w:b/>
        </w:rPr>
        <w:t>GOM Approval Gate</w:t>
      </w:r>
      <w:r>
        <w:t xml:space="preserve"> — a deal cannot move from Qualification to Proposal until its GOM (Gross Operating Margin) is approved (either auto‑approved above the threshold, or approved by the reporting manager).</w:t>
      </w:r>
    </w:p>
    <w:p>
      <w:pPr>
        <w:pStyle w:val="ListBullet"/>
        <w:spacing w:after="40"/>
        <w:ind w:left="432"/>
      </w:pPr>
      <w:r>
        <w:rPr>
          <w:b/>
        </w:rPr>
        <w:t>SOW gate to Sales</w:t>
      </w:r>
      <w:r>
        <w:t xml:space="preserve"> — fixed‑price deals require a Statement of Work before they can be marked as moving to Sales. </w:t>
      </w:r>
      <w:r>
        <w:rPr>
          <w:b/>
        </w:rPr>
        <w:t>Time &amp; Material (T&amp;M) deals are exempt</w:t>
      </w:r>
      <w:r>
        <w:t xml:space="preserve"> from the mandatory‑SOW gate.</w:t>
      </w:r>
    </w:p>
    <w:p>
      <w:pPr>
        <w:spacing w:before="160"/>
      </w:pPr>
      <w:r>
        <w:rPr>
          <w:b/>
          <w:color w:val="1F4E79"/>
          <w:sz w:val="22"/>
        </w:rPr>
        <w:t>Q: How do I move a deal to the next step?</w:t>
      </w:r>
      <w:r>
        <w:t xml:space="preserve">  </w:t>
      </w:r>
      <w:r>
        <w:t>Use the action button in the header of the detail page. The button changes depending on the current step and your role:</w:t>
      </w:r>
    </w:p>
    <w:p>
      <w:pPr>
        <w:pStyle w:val="ListBullet"/>
        <w:spacing w:after="40"/>
        <w:ind w:left="432"/>
      </w:pPr>
      <w:r>
        <w:t xml:space="preserve">In </w:t>
      </w:r>
      <w:r>
        <w:rPr>
          <w:b/>
        </w:rPr>
        <w:t>Pipeline</w:t>
      </w:r>
      <w:r>
        <w:t xml:space="preserve">: </w:t>
      </w:r>
      <w:r>
        <w:rPr>
          <w:b/>
        </w:rPr>
        <w:t>"Move to Presales"</w:t>
      </w:r>
      <w:r>
        <w:t xml:space="preserve"> (and </w:t>
      </w:r>
      <w:r>
        <w:rPr>
          <w:b/>
        </w:rPr>
        <w:t>"Mark as Lost"</w:t>
      </w:r>
      <w:r>
        <w:t>).</w:t>
      </w:r>
    </w:p>
    <w:p>
      <w:pPr>
        <w:pStyle w:val="ListBullet"/>
        <w:spacing w:after="40"/>
        <w:ind w:left="432"/>
      </w:pPr>
      <w:r>
        <w:t xml:space="preserve">In </w:t>
      </w:r>
      <w:r>
        <w:rPr>
          <w:b/>
        </w:rPr>
        <w:t>Presales</w:t>
      </w:r>
      <w:r>
        <w:t xml:space="preserve">: </w:t>
      </w:r>
      <w:r>
        <w:rPr>
          <w:b/>
        </w:rPr>
        <w:t>"Move to Sales"</w:t>
      </w:r>
      <w:r>
        <w:t xml:space="preserve"> (enabled once estimation/GOM is in place).</w:t>
      </w:r>
    </w:p>
    <w:p>
      <w:pPr>
        <w:pStyle w:val="ListBullet"/>
        <w:spacing w:after="40"/>
        <w:ind w:left="432"/>
      </w:pPr>
      <w:r>
        <w:t xml:space="preserve">In </w:t>
      </w:r>
      <w:r>
        <w:rPr>
          <w:b/>
        </w:rPr>
        <w:t>Sales / Proposal</w:t>
      </w:r>
      <w:r>
        <w:t xml:space="preserve">: proposal actions and </w:t>
      </w:r>
      <w:r>
        <w:rPr>
          <w:b/>
        </w:rPr>
        <w:t>"Send for Re‑estimate"</w:t>
      </w:r>
      <w:r>
        <w:t>.</w:t>
      </w:r>
    </w:p>
    <w:p>
      <w:pPr>
        <w:pStyle w:val="ListBullet"/>
        <w:spacing w:after="40"/>
        <w:ind w:left="432"/>
      </w:pPr>
      <w:r>
        <w:t xml:space="preserve">In </w:t>
      </w:r>
      <w:r>
        <w:rPr>
          <w:b/>
        </w:rPr>
        <w:t>Sales / Negotiation</w:t>
      </w:r>
      <w:r>
        <w:t xml:space="preserve">: </w:t>
      </w:r>
      <w:r>
        <w:rPr>
          <w:b/>
        </w:rPr>
        <w:t>"Move to Project"</w:t>
      </w:r>
      <w:r>
        <w:t xml:space="preserve"> (convert on win) and </w:t>
      </w:r>
      <w:r>
        <w:rPr>
          <w:b/>
        </w:rPr>
        <w:t>"Mark as Lost"</w:t>
      </w:r>
      <w:r>
        <w:t>.</w:t>
      </w:r>
    </w:p>
    <w:p>
      <w:r>
        <w:t>You can only act on steps your role and the deal's current stage allow.</w:t>
      </w:r>
    </w:p>
    <w:p>
      <w:pPr>
        <w:keepNext/>
        <w:spacing w:before="280" w:after="120"/>
      </w:pPr>
      <w:r>
        <w:rPr>
          <w:b/>
          <w:color w:val="2E74B5"/>
          <w:sz w:val="30"/>
        </w:rPr>
        <w:t>3. Pipeline Stage (Project Details)</w:t>
      </w:r>
    </w:p>
    <w:p>
      <w:pPr>
        <w:spacing w:before="160"/>
      </w:pPr>
      <w:r>
        <w:rPr>
          <w:b/>
          <w:color w:val="1F4E79"/>
          <w:sz w:val="22"/>
        </w:rPr>
        <w:t>Q: What happens in the Pipeline step?</w:t>
      </w:r>
      <w:r>
        <w:t xml:space="preserve">  </w:t>
      </w:r>
      <w:r>
        <w:t>This is the intake/qualification of the deal. You capture the basic shape of the work:</w:t>
      </w:r>
    </w:p>
    <w:p>
      <w:pPr>
        <w:pStyle w:val="ListBullet"/>
        <w:spacing w:after="40"/>
        <w:ind w:left="432"/>
      </w:pPr>
      <w:r>
        <w:t>Client, Region, Project Type, Practice</w:t>
      </w:r>
    </w:p>
    <w:p>
      <w:pPr>
        <w:pStyle w:val="ListBullet"/>
        <w:spacing w:after="40"/>
        <w:ind w:left="432"/>
      </w:pPr>
      <w:r>
        <w:t>Sales Rep, Technology, Date range and Duration</w:t>
      </w:r>
    </w:p>
    <w:p>
      <w:pPr>
        <w:pStyle w:val="ListBullet"/>
        <w:spacing w:after="40"/>
        <w:ind w:left="432"/>
      </w:pPr>
      <w:r>
        <w:t>Pricing Model, Expected Day Rate, Description</w:t>
      </w:r>
    </w:p>
    <w:p>
      <w:pPr>
        <w:spacing w:before="160"/>
      </w:pPr>
      <w:r>
        <w:rPr>
          <w:b/>
          <w:color w:val="1F4E79"/>
          <w:sz w:val="22"/>
        </w:rPr>
        <w:t>Q: Are any fields auto‑calculated here?</w:t>
      </w:r>
      <w:r>
        <w:t xml:space="preserve">  </w:t>
      </w:r>
      <w:r>
        <w:t>Yes:</w:t>
      </w:r>
    </w:p>
    <w:p>
      <w:pPr>
        <w:pStyle w:val="ListBullet"/>
        <w:spacing w:after="40"/>
        <w:ind w:left="432"/>
      </w:pPr>
      <w:r>
        <w:rPr>
          <w:b/>
        </w:rPr>
        <w:t>End Date</w:t>
      </w:r>
      <w:r>
        <w:t xml:space="preserve"> = Start Date + Duration (months)</w:t>
      </w:r>
    </w:p>
    <w:p>
      <w:pPr>
        <w:pStyle w:val="ListBullet"/>
        <w:spacing w:after="40"/>
        <w:ind w:left="432"/>
      </w:pPr>
      <w:r>
        <w:rPr>
          <w:b/>
        </w:rPr>
        <w:t>Estimated Value</w:t>
      </w:r>
      <w:r>
        <w:t xml:space="preserve"> ≈ daily rate × ~20 working days × duration in months</w:t>
      </w:r>
    </w:p>
    <w:p>
      <w:pPr>
        <w:spacing w:before="160"/>
      </w:pPr>
      <w:r>
        <w:rPr>
          <w:b/>
          <w:color w:val="1F4E79"/>
          <w:sz w:val="22"/>
        </w:rPr>
        <w:t>Q: Who can edit Pipeline fields?</w:t>
      </w:r>
      <w:r>
        <w:t xml:space="preserve">  </w:t>
      </w:r>
      <w:r>
        <w:t>Sales and Manager (and Admin) while the deal is in the Pipeline step. Once the deal advances past Pipeline, most fields become read‑only to preserve the agreed baseline. Client/country are only editable in the very first step.</w:t>
      </w:r>
    </w:p>
    <w:p>
      <w:pPr>
        <w:spacing w:before="160"/>
      </w:pPr>
      <w:r>
        <w:rPr>
          <w:b/>
          <w:color w:val="1F4E79"/>
          <w:sz w:val="22"/>
        </w:rPr>
        <w:t>Q: What does "Move to Presales" do?</w:t>
      </w:r>
      <w:r>
        <w:t xml:space="preserve">  </w:t>
      </w:r>
      <w:r>
        <w:t>It hands the opportunity to the Presales team for estimation. The deal's status advances and the Presales sub‑tabs (Budget Assumptions, Resource Assignment, Estimation, GOM) unlock.</w:t>
      </w:r>
    </w:p>
    <w:p>
      <w:pPr>
        <w:keepNext/>
        <w:spacing w:before="280" w:after="120"/>
      </w:pPr>
      <w:r>
        <w:rPr>
          <w:b/>
          <w:color w:val="2E74B5"/>
          <w:sz w:val="30"/>
        </w:rPr>
        <w:t>4. Presales Stage (Estimation &amp; GOM)</w:t>
      </w:r>
    </w:p>
    <w:p>
      <w:pPr>
        <w:spacing w:before="160"/>
      </w:pPr>
      <w:r>
        <w:rPr>
          <w:b/>
          <w:color w:val="1F4E79"/>
          <w:sz w:val="22"/>
        </w:rPr>
        <w:t>Q: What does Presales do on a deal?</w:t>
      </w:r>
      <w:r>
        <w:t xml:space="preserve">  </w:t>
      </w:r>
      <w:r>
        <w:t>Presales builds the cost/effort estimate and computes the deal's profitability (GOM). The Presales step has four sub‑areas:</w:t>
      </w:r>
    </w:p>
    <w:p>
      <w:pPr>
        <w:pStyle w:val="ListNumber"/>
        <w:spacing w:after="40"/>
        <w:ind w:left="432"/>
      </w:pPr>
      <w:r>
        <w:rPr>
          <w:b/>
        </w:rPr>
        <w:t>Budget Assumptions</w:t>
      </w:r>
      <w:r>
        <w:t xml:space="preserve"> — the parameters (margin %, bench %, working days, loadings, etc.) used in the math.</w:t>
      </w:r>
    </w:p>
    <w:p>
      <w:pPr>
        <w:pStyle w:val="ListNumber"/>
        <w:spacing w:after="40"/>
        <w:ind w:left="432"/>
      </w:pPr>
      <w:r>
        <w:rPr>
          <w:b/>
        </w:rPr>
        <w:t>Resource Assignment</w:t>
      </w:r>
      <w:r>
        <w:t xml:space="preserve"> — the people/roles on the deal with their monthly effort.</w:t>
      </w:r>
    </w:p>
    <w:p>
      <w:pPr>
        <w:pStyle w:val="ListNumber"/>
        <w:spacing w:after="40"/>
        <w:ind w:left="432"/>
      </w:pPr>
      <w:r>
        <w:rPr>
          <w:b/>
        </w:rPr>
        <w:t>Estimation</w:t>
      </w:r>
      <w:r>
        <w:t xml:space="preserve"> — the line‑by‑line build of cost and revenue.</w:t>
      </w:r>
    </w:p>
    <w:p>
      <w:pPr>
        <w:pStyle w:val="ListNumber"/>
        <w:spacing w:after="40"/>
        <w:ind w:left="432"/>
      </w:pPr>
      <w:r>
        <w:rPr>
          <w:b/>
        </w:rPr>
        <w:t>GOM Calculator</w:t>
      </w:r>
      <w:r>
        <w:t xml:space="preserve"> — the resulting Gross Operating Margin breakdown.</w:t>
      </w:r>
    </w:p>
    <w:p>
      <w:pPr>
        <w:spacing w:before="160"/>
      </w:pPr>
      <w:r>
        <w:rPr>
          <w:b/>
          <w:color w:val="1F4E79"/>
          <w:sz w:val="22"/>
        </w:rPr>
        <w:t>Q: What is GOM?</w:t>
      </w:r>
      <w:r>
        <w:t xml:space="preserve">  </w:t>
      </w:r>
      <w:r>
        <w:rPr>
          <w:b/>
        </w:rPr>
        <w:t>Gross Operating Margin</w:t>
      </w:r>
      <w:r>
        <w:t xml:space="preserve"> — the profitability of the deal after loaded delivery costs. Per resource line, roughly:</w:t>
      </w:r>
    </w:p>
    <w:p>
      <w:pPr>
        <w:spacing w:before="80" w:after="160" w:line="240" w:lineRule="auto"/>
        <w:shd w:val="clear" w:color="auto" w:fill="F2F4F7"/>
        <w:pBdr>
          <w:top w:val="single" w:sz="6" w:space="6" w:color="D0D7DE"/>
          <w:left w:val="single" w:sz="6" w:space="6" w:color="D0D7DE"/>
          <w:bottom w:val="single" w:sz="6" w:space="6" w:color="D0D7DE"/>
          <w:right w:val="single" w:sz="6" w:space="6" w:color="D0D7DE"/>
        </w:pBdr>
        <w:ind w:left="120" w:right="120"/>
      </w:pPr>
      <w:r>
        <w:rPr>
          <w:rFonts w:ascii="Consolas" w:hAnsi="Consolas" w:cs="Consolas"/>
          <w:color w:val="0B3D2E"/>
          <w:sz w:val="17"/>
        </w:rPr>
        <w:t>Revenue   = days × dailyRate</w:t>
        <w:br/>
      </w:r>
      <w:r>
        <w:rPr>
          <w:rFonts w:ascii="Consolas" w:hAnsi="Consolas" w:cs="Consolas"/>
          <w:color w:val="0B3D2E"/>
          <w:sz w:val="17"/>
        </w:rPr>
        <w:t>Salary    = days × dailyCost</w:t>
        <w:br/>
      </w:r>
      <w:r>
        <w:rPr>
          <w:rFonts w:ascii="Consolas" w:hAnsi="Consolas" w:cs="Consolas"/>
          <w:color w:val="0B3D2E"/>
          <w:sz w:val="17"/>
        </w:rPr>
        <w:t>+ loadings (bonus, indirect, welfare, training, bench, etc.)</w:t>
        <w:br/>
      </w:r>
      <w:r>
        <w:rPr>
          <w:rFonts w:ascii="Consolas" w:hAnsi="Consolas" w:cs="Consolas"/>
          <w:color w:val="0B3D2E"/>
          <w:sz w:val="17"/>
        </w:rPr>
        <w:t>GOM%      = (Revenue − loaded cost) / Revenue</w:t>
      </w:r>
    </w:p>
    <w:p>
      <w:pPr>
        <w:spacing w:before="160"/>
      </w:pPr>
      <w:r>
        <w:rPr>
          <w:b/>
          <w:color w:val="1F4E79"/>
          <w:sz w:val="22"/>
        </w:rPr>
        <w:t>Q: What is the GOM Approval Gate?</w:t>
      </w:r>
      <w:r>
        <w:t xml:space="preserve">  </w:t>
      </w:r>
      <w:r>
        <w:t>Once the GOM is calculated in Qualification, it must be approved before the deal can move to Proposal:</w:t>
      </w:r>
    </w:p>
    <w:p>
      <w:pPr>
        <w:pStyle w:val="ListBullet"/>
        <w:spacing w:after="40"/>
        <w:ind w:left="432"/>
      </w:pPr>
      <w:r>
        <w:rPr>
          <w:b/>
        </w:rPr>
        <w:t>Auto‑approve:</w:t>
      </w:r>
      <w:r>
        <w:t xml:space="preserve"> if GOM% is at or above the configured threshold, it's approved automatically.</w:t>
      </w:r>
    </w:p>
    <w:p>
      <w:pPr>
        <w:pStyle w:val="ListBullet"/>
        <w:spacing w:after="40"/>
        <w:ind w:left="432"/>
      </w:pPr>
      <w:r>
        <w:rPr>
          <w:b/>
        </w:rPr>
        <w:t>Manual:</w:t>
      </w:r>
      <w:r>
        <w:t xml:space="preserve"> otherwise the </w:t>
      </w:r>
      <w:r>
        <w:rPr>
          <w:b/>
        </w:rPr>
        <w:t>Reporting Manager</w:t>
      </w:r>
      <w:r>
        <w:t xml:space="preserve"> reviews and either approves or rejects with feedback. On rejection, Presales revises the estimate and resubmits.</w:t>
      </w:r>
    </w:p>
    <w:p>
      <w:pPr>
        <w:spacing w:before="160"/>
      </w:pPr>
      <w:r>
        <w:rPr>
          <w:b/>
          <w:color w:val="1F4E79"/>
          <w:sz w:val="22"/>
        </w:rPr>
        <w:t>Q: Can the Pipeline manager / offshore manager be assigned here?</w:t>
      </w:r>
      <w:r>
        <w:t xml:space="preserve">  </w:t>
      </w:r>
      <w:r>
        <w:t xml:space="preserve">Yes — assignment of the Offshore Manager is allowed in the Pipeline tab on edit. Presales assignment is done via the </w:t>
      </w:r>
      <w:r>
        <w:rPr>
          <w:b/>
        </w:rPr>
        <w:t>Assign Presales</w:t>
      </w:r>
      <w:r>
        <w:t xml:space="preserve"> action, which routes the estimation work and notifies the assignee.</w:t>
      </w:r>
    </w:p>
    <w:p>
      <w:pPr>
        <w:spacing w:before="160"/>
      </w:pPr>
      <w:r>
        <w:rPr>
          <w:b/>
          <w:color w:val="1F4E79"/>
          <w:sz w:val="22"/>
        </w:rPr>
        <w:t>Q: What happens when Presales submits the estimation?</w:t>
      </w:r>
      <w:r>
        <w:t xml:space="preserve">  </w:t>
      </w:r>
      <w:r>
        <w:t>The estimation is saved to the opportunity, the deal's detailed status reflects *"Estimation Submitted,"* and (if it passed the GOM gate) it can advance to Sales. Submitted estimations become read‑only to lock the numbers.</w:t>
      </w:r>
    </w:p>
    <w:p>
      <w:pPr>
        <w:keepNext/>
        <w:spacing w:before="280" w:after="120"/>
      </w:pPr>
      <w:r>
        <w:rPr>
          <w:b/>
          <w:color w:val="2E74B5"/>
          <w:sz w:val="30"/>
        </w:rPr>
        <w:t>5. Sales Stage (Proposal, Negotiation, Re‑estimate)</w:t>
      </w:r>
    </w:p>
    <w:p>
      <w:pPr>
        <w:spacing w:before="160"/>
      </w:pPr>
      <w:r>
        <w:rPr>
          <w:b/>
          <w:color w:val="1F4E79"/>
          <w:sz w:val="22"/>
        </w:rPr>
        <w:t>Q: What does the Sales step contain?</w:t>
      </w:r>
      <w:r>
        <w:t xml:space="preserve">  </w:t>
      </w:r>
      <w:r>
        <w:t>A read‑only summary of the Pipeline and Presales data (so Sales has full context), plus the sales‑specific actions: build/send the proposal, negotiate, request discounts, and either close‑won or close‑lost.</w:t>
      </w:r>
    </w:p>
    <w:p>
      <w:pPr>
        <w:spacing w:before="160"/>
      </w:pPr>
      <w:r>
        <w:rPr>
          <w:b/>
          <w:color w:val="1F4E79"/>
          <w:sz w:val="22"/>
        </w:rPr>
        <w:t>Q: What is the Re‑estimate loop and when do I use it?</w:t>
      </w:r>
      <w:r>
        <w:t xml:space="preserve">  </w:t>
      </w:r>
      <w:r>
        <w:t xml:space="preserve">If, during Proposal or Negotiation, the numbers no longer work (scope changed, client pushback, pricing needs a rethink), Sales clicks </w:t>
      </w:r>
      <w:r>
        <w:rPr>
          <w:b/>
        </w:rPr>
        <w:t>"Send for Re‑estimate."</w:t>
      </w:r>
      <w:r>
        <w:t xml:space="preserve"> This:</w:t>
      </w:r>
    </w:p>
    <w:p>
      <w:pPr>
        <w:pStyle w:val="ListNumber"/>
        <w:spacing w:after="40"/>
        <w:ind w:left="432"/>
      </w:pPr>
      <w:r>
        <w:t xml:space="preserve">Sends the deal </w:t>
      </w:r>
      <w:r>
        <w:rPr>
          <w:b/>
        </w:rPr>
        <w:t>back to Qualification</w:t>
      </w:r>
      <w:r>
        <w:t>.</w:t>
      </w:r>
    </w:p>
    <w:p>
      <w:pPr>
        <w:pStyle w:val="ListNumber"/>
        <w:spacing w:after="40"/>
        <w:ind w:left="432"/>
      </w:pPr>
      <w:r>
        <w:rPr>
          <w:b/>
        </w:rPr>
        <w:t>Resets GOM approval</w:t>
      </w:r>
      <w:r>
        <w:t xml:space="preserve"> (it must pass the gate again).</w:t>
      </w:r>
    </w:p>
    <w:p>
      <w:pPr>
        <w:pStyle w:val="ListNumber"/>
        <w:spacing w:after="40"/>
        <w:ind w:left="432"/>
      </w:pPr>
      <w:r>
        <w:rPr>
          <w:b/>
        </w:rPr>
        <w:t>Increments the re‑estimate count</w:t>
      </w:r>
      <w:r>
        <w:t xml:space="preserve"> (tracked and reported on the dashboard).</w:t>
      </w:r>
    </w:p>
    <w:p>
      <w:pPr>
        <w:pStyle w:val="ListNumber"/>
        <w:spacing w:after="40"/>
        <w:ind w:left="432"/>
      </w:pPr>
      <w:r>
        <w:t>Sets detailed status to *"Sent for Re‑estimate"* and notifies Presales + Manager.</w:t>
      </w:r>
    </w:p>
    <w:p>
      <w:r>
        <w:t>Presales re‑works the estimate, re‑passes the GOM gate, and on resubmit the deal returns to Proposal (status *"Re‑estimation Submitted"*).</w:t>
      </w:r>
    </w:p>
    <w:p>
      <w:pPr>
        <w:spacing w:before="160"/>
      </w:pPr>
      <w:r>
        <w:rPr>
          <w:b/>
          <w:color w:val="1F4E79"/>
          <w:sz w:val="22"/>
        </w:rPr>
        <w:t>Q: What is the Discount Approval flow?</w:t>
      </w:r>
      <w:r>
        <w:t xml:space="preserve">  </w:t>
      </w:r>
      <w:r>
        <w:t xml:space="preserve">When Sales applies a discount, the system checks the guardrail: </w:t>
      </w:r>
      <w:r>
        <w:rPr>
          <w:b/>
        </w:rPr>
        <w:t>if discount &gt; 15% AND margin &lt; 20%</w:t>
      </w:r>
      <w:r>
        <w:t xml:space="preserve">, it must be approved by the </w:t>
      </w:r>
      <w:r>
        <w:rPr>
          <w:b/>
        </w:rPr>
        <w:t>Finance Manager</w:t>
      </w:r>
      <w:r>
        <w:t>. Otherwise it's auto‑approved and Sales proceeds. On rejection, Sales adjusts pricing and resubmits.</w:t>
      </w:r>
    </w:p>
    <w:p>
      <w:pPr>
        <w:spacing w:before="160"/>
      </w:pPr>
      <w:r>
        <w:rPr>
          <w:b/>
          <w:color w:val="1F4E79"/>
          <w:sz w:val="22"/>
        </w:rPr>
        <w:t>Q: What's the difference between "Proposal Submitted," "Under Negotiation," and "SOW Approved"?</w:t>
      </w:r>
      <w:r>
        <w:t xml:space="preserve">  </w:t>
      </w:r>
      <w:r>
        <w:t>These are status badges derived from where the deal sits:</w:t>
      </w:r>
    </w:p>
    <w:p>
      <w:pPr>
        <w:pStyle w:val="ListBullet"/>
        <w:spacing w:after="40"/>
        <w:ind w:left="432"/>
      </w:pPr>
      <w:r>
        <w:rPr>
          <w:b/>
        </w:rPr>
        <w:t>Proposal Submitted</w:t>
      </w:r>
      <w:r>
        <w:t xml:space="preserve"> — in the Sales step, Proposal stage.</w:t>
      </w:r>
    </w:p>
    <w:p>
      <w:pPr>
        <w:pStyle w:val="ListBullet"/>
        <w:spacing w:after="40"/>
        <w:ind w:left="432"/>
      </w:pPr>
      <w:r>
        <w:rPr>
          <w:b/>
        </w:rPr>
        <w:t>Under Negotiation</w:t>
      </w:r>
      <w:r>
        <w:t xml:space="preserve"> — in the Sales step, Negotiation stage.</w:t>
      </w:r>
    </w:p>
    <w:p>
      <w:pPr>
        <w:pStyle w:val="ListBullet"/>
        <w:spacing w:after="40"/>
        <w:ind w:left="432"/>
      </w:pPr>
      <w:r>
        <w:rPr>
          <w:b/>
        </w:rPr>
        <w:t>SOW Approved</w:t>
      </w:r>
      <w:r>
        <w:t xml:space="preserve"> — the deal has reached the Project step (converted/won).</w:t>
      </w:r>
    </w:p>
    <w:p>
      <w:pPr>
        <w:keepNext/>
        <w:spacing w:before="280" w:after="120"/>
      </w:pPr>
      <w:r>
        <w:rPr>
          <w:b/>
          <w:color w:val="2E74B5"/>
          <w:sz w:val="30"/>
        </w:rPr>
        <w:t>6. Closing: Won, Lost &amp; Convert to Project</w:t>
      </w:r>
    </w:p>
    <w:p>
      <w:pPr>
        <w:spacing w:before="160"/>
      </w:pPr>
      <w:r>
        <w:rPr>
          <w:b/>
          <w:color w:val="1F4E79"/>
          <w:sz w:val="22"/>
        </w:rPr>
        <w:t>Q: How do I mark a deal as Won?</w:t>
      </w:r>
      <w:r>
        <w:t xml:space="preserve">  </w:t>
      </w:r>
      <w:r>
        <w:t xml:space="preserve">From the Sales step (Negotiation stage), click </w:t>
      </w:r>
      <w:r>
        <w:rPr>
          <w:b/>
        </w:rPr>
        <w:t>"Move to Project."</w:t>
      </w:r>
      <w:r>
        <w:t xml:space="preserve"> This converts the opportunity:</w:t>
      </w:r>
    </w:p>
    <w:p>
      <w:pPr>
        <w:pStyle w:val="ListBullet"/>
        <w:spacing w:after="40"/>
        <w:ind w:left="432"/>
      </w:pPr>
      <w:r>
        <w:t xml:space="preserve">Stage becomes </w:t>
      </w:r>
      <w:r>
        <w:rPr>
          <w:b/>
        </w:rPr>
        <w:t>Closed Won</w:t>
      </w:r>
      <w:r>
        <w:t>.</w:t>
      </w:r>
    </w:p>
    <w:p>
      <w:pPr>
        <w:pStyle w:val="ListBullet"/>
        <w:spacing w:after="40"/>
        <w:ind w:left="432"/>
      </w:pPr>
      <w:r>
        <w:t xml:space="preserve">Detailed status becomes </w:t>
      </w:r>
      <w:r>
        <w:rPr>
          <w:b/>
        </w:rPr>
        <w:t>SOW Approved</w:t>
      </w:r>
      <w:r>
        <w:t>.</w:t>
      </w:r>
    </w:p>
    <w:p>
      <w:pPr>
        <w:pStyle w:val="ListBullet"/>
        <w:spacing w:after="40"/>
        <w:ind w:left="432"/>
      </w:pPr>
      <w:r>
        <w:t xml:space="preserve">A linked </w:t>
      </w:r>
      <w:r>
        <w:rPr>
          <w:b/>
        </w:rPr>
        <w:t>Project</w:t>
      </w:r>
      <w:r>
        <w:t xml:space="preserve"> record is created and the Project step becomes visible.</w:t>
      </w:r>
    </w:p>
    <w:p>
      <w:r>
        <w:t>If the deal was already converted, the system handles it gracefully (no duplicate project).</w:t>
      </w:r>
    </w:p>
    <w:p>
      <w:pPr>
        <w:spacing w:before="160"/>
      </w:pPr>
      <w:r>
        <w:rPr>
          <w:b/>
          <w:color w:val="1F4E79"/>
          <w:sz w:val="22"/>
        </w:rPr>
        <w:t>Q: How do I mark a deal as Lost?</w:t>
      </w:r>
      <w:r>
        <w:t xml:space="preserve">  </w:t>
      </w:r>
      <w:r>
        <w:t xml:space="preserve">Click </w:t>
      </w:r>
      <w:r>
        <w:rPr>
          <w:b/>
        </w:rPr>
        <w:t>"Mark as Lost."</w:t>
      </w:r>
      <w:r>
        <w:t xml:space="preserve"> A modal opens requiring a </w:t>
      </w:r>
      <w:r>
        <w:rPr>
          <w:b/>
        </w:rPr>
        <w:t>reason/remarks</w:t>
      </w:r>
      <w:r>
        <w:t xml:space="preserve"> (mandatory). Two flavors exist depending on where you are:</w:t>
      </w:r>
    </w:p>
    <w:p>
      <w:pPr>
        <w:pStyle w:val="ListBullet"/>
        <w:spacing w:after="40"/>
        <w:ind w:left="432"/>
      </w:pPr>
      <w:r>
        <w:rPr>
          <w:b/>
        </w:rPr>
        <w:t>Closed Lost</w:t>
      </w:r>
      <w:r>
        <w:t xml:space="preserve"> — the deal is dead.</w:t>
      </w:r>
    </w:p>
    <w:p>
      <w:pPr>
        <w:pStyle w:val="ListBullet"/>
        <w:spacing w:after="40"/>
        <w:ind w:left="432"/>
      </w:pPr>
      <w:r>
        <w:rPr>
          <w:b/>
        </w:rPr>
        <w:t>Proposal Lost</w:t>
      </w:r>
      <w:r>
        <w:t xml:space="preserve"> — lost at the proposal stage specifically.</w:t>
      </w:r>
    </w:p>
    <w:p>
      <w:r>
        <w:t>After marking lost, a lost banner shows the timestamp and remarks, and the action buttons are hidden. A lost deal counts as 0% probability and 0 health.</w:t>
      </w:r>
    </w:p>
    <w:p>
      <w:pPr>
        <w:spacing w:before="160"/>
      </w:pPr>
      <w:r>
        <w:rPr>
          <w:b/>
          <w:color w:val="1F4E79"/>
          <w:sz w:val="22"/>
        </w:rPr>
        <w:t>Q: Can a deal be marked Lost from any stage?</w:t>
      </w:r>
      <w:r>
        <w:t xml:space="preserve">  </w:t>
      </w:r>
      <w:r>
        <w:t>Yes — a deal can be closed‑lost from any open stage. It will not, however, count toward closed/won revenue.</w:t>
      </w:r>
    </w:p>
    <w:p>
      <w:pPr>
        <w:spacing w:before="160"/>
      </w:pPr>
      <w:r>
        <w:rPr>
          <w:b/>
          <w:color w:val="1F4E79"/>
          <w:sz w:val="22"/>
        </w:rPr>
        <w:t>Q: What is the Project step?</w:t>
      </w:r>
      <w:r>
        <w:t xml:space="preserve">  </w:t>
      </w:r>
      <w:r>
        <w:t>After conversion it displays the linked project's details. This is the handoff point from "selling the work" to "delivering the work."</w:t>
      </w:r>
    </w:p>
    <w:p>
      <w:pPr>
        <w:keepNext/>
        <w:spacing w:before="280" w:after="120"/>
      </w:pPr>
      <w:r>
        <w:rPr>
          <w:b/>
          <w:color w:val="2E74B5"/>
          <w:sz w:val="30"/>
        </w:rPr>
        <w:t>7. SOW Studio &amp; Approvals</w:t>
      </w:r>
    </w:p>
    <w:p>
      <w:pPr>
        <w:spacing w:before="160"/>
      </w:pPr>
      <w:r>
        <w:rPr>
          <w:b/>
          <w:color w:val="1F4E79"/>
          <w:sz w:val="22"/>
        </w:rPr>
        <w:t>Q: What is the SOW Studio?</w:t>
      </w:r>
      <w:r>
        <w:t xml:space="preserve">  </w:t>
      </w:r>
      <w:r>
        <w:t xml:space="preserve">It's where the </w:t>
      </w:r>
      <w:r>
        <w:rPr>
          <w:b/>
        </w:rPr>
        <w:t>Statement of Work</w:t>
      </w:r>
      <w:r>
        <w:t xml:space="preserve"> document is drafted, reviewed internally, shared with the client, and finalized. It supports AI‑assisted drafting and a readiness check for missing inputs.</w:t>
      </w:r>
    </w:p>
    <w:p>
      <w:pPr>
        <w:spacing w:before="160"/>
      </w:pPr>
      <w:r>
        <w:rPr>
          <w:b/>
          <w:color w:val="1F4E79"/>
          <w:sz w:val="22"/>
        </w:rPr>
        <w:t>Q: What is the SOW document lifecycle?</w:t>
      </w:r>
    </w:p>
    <w:p>
      <w:pPr>
        <w:spacing w:before="80" w:after="160" w:line="240" w:lineRule="auto"/>
        <w:shd w:val="clear" w:color="auto" w:fill="F2F4F7"/>
        <w:pBdr>
          <w:top w:val="single" w:sz="6" w:space="6" w:color="D0D7DE"/>
          <w:left w:val="single" w:sz="6" w:space="6" w:color="D0D7DE"/>
          <w:bottom w:val="single" w:sz="6" w:space="6" w:color="D0D7DE"/>
          <w:right w:val="single" w:sz="6" w:space="6" w:color="D0D7DE"/>
        </w:pBdr>
        <w:ind w:left="120" w:right="120"/>
      </w:pPr>
      <w:r>
        <w:rPr>
          <w:rFonts w:ascii="Consolas" w:hAnsi="Consolas" w:cs="Consolas"/>
          <w:color w:val="0B3D2E"/>
          <w:sz w:val="17"/>
        </w:rPr>
        <w:t>Drafting → AI Generated → In Review → (Approved Internally → Shared with Client</w:t>
        <w:br/>
      </w:r>
      <w:r>
        <w:rPr>
          <w:rFonts w:ascii="Consolas" w:hAnsi="Consolas" w:cs="Consolas"/>
          <w:color w:val="0B3D2E"/>
          <w:sz w:val="17"/>
        </w:rPr>
        <w:t xml:space="preserve">        → Finalized → Signed/Archived)</w:t>
        <w:br/>
      </w:r>
      <w:r>
        <w:rPr>
          <w:rFonts w:ascii="Consolas" w:hAnsi="Consolas" w:cs="Consolas"/>
          <w:color w:val="0B3D2E"/>
          <w:sz w:val="17"/>
        </w:rPr>
        <w:t xml:space="preserve">                   └─ Requires Inputs / Revision Requested loop back to Drafting</w:t>
      </w:r>
    </w:p>
    <w:p>
      <w:pPr>
        <w:pStyle w:val="ListBullet"/>
        <w:spacing w:after="40"/>
        <w:ind w:left="432"/>
      </w:pPr>
      <w:r>
        <w:rPr>
          <w:b/>
        </w:rPr>
        <w:t>Requires Inputs</w:t>
      </w:r>
      <w:r>
        <w:t xml:space="preserve"> — the readiness engine found missing data; the author fills the gaps and resubmits.</w:t>
      </w:r>
    </w:p>
    <w:p>
      <w:pPr>
        <w:pStyle w:val="ListBullet"/>
        <w:spacing w:after="40"/>
        <w:ind w:left="432"/>
      </w:pPr>
      <w:r>
        <w:rPr>
          <w:b/>
        </w:rPr>
        <w:t>Revision Requested</w:t>
      </w:r>
      <w:r>
        <w:t xml:space="preserve"> — the client asked for changes; the author revises and re‑shares.</w:t>
      </w:r>
    </w:p>
    <w:p>
      <w:pPr>
        <w:spacing w:before="160"/>
      </w:pPr>
      <w:r>
        <w:rPr>
          <w:b/>
          <w:color w:val="1F4E79"/>
          <w:sz w:val="22"/>
        </w:rPr>
        <w:t>Q: What is the SOW Approval chain?</w:t>
      </w:r>
      <w:r>
        <w:t xml:space="preserve">  </w:t>
      </w:r>
      <w:r>
        <w:t xml:space="preserve">A configurable, multi‑step review: </w:t>
      </w:r>
      <w:r>
        <w:rPr>
          <w:b/>
        </w:rPr>
        <w:t>Sales → Presales → Manager → Finance → Legal.</w:t>
      </w:r>
      <w:r>
        <w:t xml:space="preserve"> Each step has reviewer role(s), an optional escalation timer, and a required/optional flag. </w:t>
      </w:r>
      <w:r>
        <w:rPr>
          <w:b/>
        </w:rPr>
        <w:t>A rejection at any step sends the SOW back to Drafting</w:t>
      </w:r>
      <w:r>
        <w:t>, and after fixes the chain restarts from step 1.</w:t>
      </w:r>
    </w:p>
    <w:p>
      <w:pPr>
        <w:spacing w:before="160"/>
      </w:pPr>
      <w:r>
        <w:rPr>
          <w:b/>
          <w:color w:val="1F4E79"/>
          <w:sz w:val="22"/>
        </w:rPr>
        <w:t>Q: Is an SOW always required to move to Sales?</w:t>
      </w:r>
      <w:r>
        <w:t xml:space="preserve">  </w:t>
      </w:r>
      <w:r>
        <w:t xml:space="preserve">For fixed‑price deals, yes. </w:t>
      </w:r>
      <w:r>
        <w:rPr>
          <w:b/>
        </w:rPr>
        <w:t>Time &amp; Material (T&amp;M) deals are exempt</w:t>
      </w:r>
      <w:r>
        <w:t xml:space="preserve"> from the mandatory‑SOW gate and can move to Sales without one.</w:t>
      </w:r>
    </w:p>
    <w:p>
      <w:pPr>
        <w:spacing w:before="160"/>
      </w:pPr>
      <w:r>
        <w:rPr>
          <w:b/>
          <w:color w:val="1F4E79"/>
          <w:sz w:val="22"/>
        </w:rPr>
        <w:t>Q: What are the three approval types in the system?</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4E79"/>
          </w:tcPr>
          <w:p>
            <w:pPr>
              <w:spacing w:after="40" w:before="40"/>
            </w:pPr>
            <w:r>
              <w:rPr>
                <w:b/>
                <w:color w:val="FFFFFF"/>
                <w:sz w:val="19"/>
              </w:rPr>
              <w:t>Approval</w:t>
            </w:r>
          </w:p>
        </w:tc>
        <w:tc>
          <w:tcPr>
            <w:tcW w:type="dxa" w:w="1930"/>
            <w:shd w:val="clear" w:color="auto" w:fill="1F4E79"/>
          </w:tcPr>
          <w:p>
            <w:pPr>
              <w:spacing w:after="40" w:before="40"/>
            </w:pPr>
            <w:r>
              <w:rPr>
                <w:b/>
                <w:color w:val="FFFFFF"/>
                <w:sz w:val="19"/>
              </w:rPr>
              <w:t>Trigger</w:t>
            </w:r>
          </w:p>
        </w:tc>
        <w:tc>
          <w:tcPr>
            <w:tcW w:type="dxa" w:w="1930"/>
            <w:shd w:val="clear" w:color="auto" w:fill="1F4E79"/>
          </w:tcPr>
          <w:p>
            <w:pPr>
              <w:spacing w:after="40" w:before="40"/>
            </w:pPr>
            <w:r>
              <w:rPr>
                <w:b/>
                <w:color w:val="FFFFFF"/>
                <w:sz w:val="19"/>
              </w:rPr>
              <w:t>Auto‑approve</w:t>
            </w:r>
          </w:p>
        </w:tc>
        <w:tc>
          <w:tcPr>
            <w:tcW w:type="dxa" w:w="1930"/>
            <w:shd w:val="clear" w:color="auto" w:fill="1F4E79"/>
          </w:tcPr>
          <w:p>
            <w:pPr>
              <w:spacing w:after="40" w:before="40"/>
            </w:pPr>
            <w:r>
              <w:rPr>
                <w:b/>
                <w:color w:val="FFFFFF"/>
                <w:sz w:val="19"/>
              </w:rPr>
              <w:t>Reviewer</w:t>
            </w:r>
          </w:p>
        </w:tc>
        <w:tc>
          <w:tcPr>
            <w:tcW w:type="dxa" w:w="1930"/>
            <w:shd w:val="clear" w:color="auto" w:fill="1F4E79"/>
          </w:tcPr>
          <w:p>
            <w:pPr>
              <w:spacing w:after="40" w:before="40"/>
            </w:pPr>
            <w:r>
              <w:rPr>
                <w:b/>
                <w:color w:val="FFFFFF"/>
                <w:sz w:val="19"/>
              </w:rPr>
              <w:t>Blocks a stage?</w:t>
            </w:r>
          </w:p>
        </w:tc>
      </w:tr>
      <w:tr>
        <w:tc>
          <w:tcPr>
            <w:tcW w:type="dxa" w:w="1930"/>
          </w:tcPr>
          <w:p>
            <w:pPr>
              <w:spacing w:after="40" w:before="40"/>
            </w:pPr>
            <w:r>
              <w:rPr>
                <w:b/>
                <w:sz w:val="19"/>
              </w:rPr>
              <w:t>GOM Approval</w:t>
            </w:r>
          </w:p>
        </w:tc>
        <w:tc>
          <w:tcPr>
            <w:tcW w:type="dxa" w:w="1930"/>
          </w:tcPr>
          <w:p>
            <w:pPr>
              <w:spacing w:after="40" w:before="40"/>
            </w:pPr>
            <w:r>
              <w:rPr>
                <w:sz w:val="19"/>
              </w:rPr>
              <w:t>GOM% calculated in Qualification</w:t>
            </w:r>
          </w:p>
        </w:tc>
        <w:tc>
          <w:tcPr>
            <w:tcW w:type="dxa" w:w="1930"/>
          </w:tcPr>
          <w:p>
            <w:pPr>
              <w:spacing w:after="40" w:before="40"/>
            </w:pPr>
            <w:r>
              <w:rPr>
                <w:sz w:val="19"/>
              </w:rPr>
              <w:t>GOM% ≥ threshold</w:t>
            </w:r>
          </w:p>
        </w:tc>
        <w:tc>
          <w:tcPr>
            <w:tcW w:type="dxa" w:w="1930"/>
          </w:tcPr>
          <w:p>
            <w:pPr>
              <w:spacing w:after="40" w:before="40"/>
            </w:pPr>
            <w:r>
              <w:rPr>
                <w:sz w:val="19"/>
              </w:rPr>
              <w:t>Reporting Manager</w:t>
            </w:r>
          </w:p>
        </w:tc>
        <w:tc>
          <w:tcPr>
            <w:tcW w:type="dxa" w:w="1930"/>
          </w:tcPr>
          <w:p>
            <w:pPr>
              <w:spacing w:after="40" w:before="40"/>
            </w:pPr>
            <w:r>
              <w:rPr>
                <w:b/>
                <w:sz w:val="19"/>
              </w:rPr>
              <w:t>Yes</w:t>
            </w:r>
            <w:r>
              <w:rPr>
                <w:sz w:val="19"/>
              </w:rPr>
              <w:t xml:space="preserve"> — blocks Proposal</w:t>
            </w:r>
          </w:p>
        </w:tc>
      </w:tr>
      <w:tr>
        <w:tc>
          <w:tcPr>
            <w:tcW w:type="dxa" w:w="1930"/>
            <w:shd w:val="clear" w:color="auto" w:fill="EEF3F9"/>
          </w:tcPr>
          <w:p>
            <w:pPr>
              <w:spacing w:after="40" w:before="40"/>
            </w:pPr>
            <w:r>
              <w:rPr>
                <w:b/>
                <w:sz w:val="19"/>
              </w:rPr>
              <w:t>Discount Approval</w:t>
            </w:r>
          </w:p>
        </w:tc>
        <w:tc>
          <w:tcPr>
            <w:tcW w:type="dxa" w:w="1930"/>
            <w:shd w:val="clear" w:color="auto" w:fill="EEF3F9"/>
          </w:tcPr>
          <w:p>
            <w:pPr>
              <w:spacing w:after="40" w:before="40"/>
            </w:pPr>
            <w:r>
              <w:rPr>
                <w:sz w:val="19"/>
              </w:rPr>
              <w:t>Discount &gt; 15% AND margin &lt; 20%</w:t>
            </w:r>
          </w:p>
        </w:tc>
        <w:tc>
          <w:tcPr>
            <w:tcW w:type="dxa" w:w="1930"/>
            <w:shd w:val="clear" w:color="auto" w:fill="EEF3F9"/>
          </w:tcPr>
          <w:p>
            <w:pPr>
              <w:spacing w:after="40" w:before="40"/>
            </w:pPr>
            <w:r>
              <w:rPr>
                <w:sz w:val="19"/>
              </w:rPr>
              <w:t>Otherwise auto</w:t>
            </w:r>
          </w:p>
        </w:tc>
        <w:tc>
          <w:tcPr>
            <w:tcW w:type="dxa" w:w="1930"/>
            <w:shd w:val="clear" w:color="auto" w:fill="EEF3F9"/>
          </w:tcPr>
          <w:p>
            <w:pPr>
              <w:spacing w:after="40" w:before="40"/>
            </w:pPr>
            <w:r>
              <w:rPr>
                <w:sz w:val="19"/>
              </w:rPr>
              <w:t>Finance Manager</w:t>
            </w:r>
          </w:p>
        </w:tc>
        <w:tc>
          <w:tcPr>
            <w:tcW w:type="dxa" w:w="1930"/>
            <w:shd w:val="clear" w:color="auto" w:fill="EEF3F9"/>
          </w:tcPr>
          <w:p>
            <w:pPr>
              <w:spacing w:after="40" w:before="40"/>
            </w:pPr>
            <w:r>
              <w:rPr>
                <w:sz w:val="19"/>
              </w:rPr>
              <w:t>No</w:t>
            </w:r>
          </w:p>
        </w:tc>
      </w:tr>
      <w:tr>
        <w:tc>
          <w:tcPr>
            <w:tcW w:type="dxa" w:w="1930"/>
          </w:tcPr>
          <w:p>
            <w:pPr>
              <w:spacing w:after="40" w:before="40"/>
            </w:pPr>
            <w:r>
              <w:rPr>
                <w:b/>
                <w:sz w:val="19"/>
              </w:rPr>
              <w:t>SOW Approval</w:t>
            </w:r>
          </w:p>
        </w:tc>
        <w:tc>
          <w:tcPr>
            <w:tcW w:type="dxa" w:w="1930"/>
          </w:tcPr>
          <w:p>
            <w:pPr>
              <w:spacing w:after="40" w:before="40"/>
            </w:pPr>
            <w:r>
              <w:rPr>
                <w:sz w:val="19"/>
              </w:rPr>
              <w:t>SOW submitted for review</w:t>
            </w:r>
          </w:p>
        </w:tc>
        <w:tc>
          <w:tcPr>
            <w:tcW w:type="dxa" w:w="1930"/>
          </w:tcPr>
          <w:p>
            <w:pPr>
              <w:spacing w:after="40" w:before="40"/>
            </w:pPr>
            <w:r>
              <w:rPr>
                <w:sz w:val="19"/>
              </w:rPr>
              <w:t>Never (always manual)</w:t>
            </w:r>
          </w:p>
        </w:tc>
        <w:tc>
          <w:tcPr>
            <w:tcW w:type="dxa" w:w="1930"/>
          </w:tcPr>
          <w:p>
            <w:pPr>
              <w:spacing w:after="40" w:before="40"/>
            </w:pPr>
            <w:r>
              <w:rPr>
                <w:sz w:val="19"/>
              </w:rPr>
              <w:t>Sales → Presales → Manager → Finance → Legal</w:t>
            </w:r>
          </w:p>
        </w:tc>
        <w:tc>
          <w:tcPr>
            <w:tcW w:type="dxa" w:w="1930"/>
          </w:tcPr>
          <w:p>
            <w:pPr>
              <w:spacing w:after="40" w:before="40"/>
            </w:pPr>
            <w:r>
              <w:rPr>
                <w:sz w:val="19"/>
              </w:rPr>
              <w:t>No</w:t>
            </w:r>
          </w:p>
        </w:tc>
      </w:tr>
    </w:tbl>
    <w:p>
      <w:pPr>
        <w:spacing w:after="40"/>
      </w:pPr>
    </w:p>
    <w:p>
      <w:pPr>
        <w:keepNext/>
        <w:spacing w:before="280" w:after="120"/>
      </w:pPr>
      <w:r>
        <w:rPr>
          <w:b/>
          <w:color w:val="2E74B5"/>
          <w:sz w:val="30"/>
        </w:rPr>
        <w:t>8. Roles &amp; Who Can Do What</w:t>
      </w:r>
    </w:p>
    <w:p>
      <w:pPr>
        <w:spacing w:before="160"/>
      </w:pPr>
      <w:r>
        <w:rPr>
          <w:b/>
          <w:color w:val="1F4E79"/>
          <w:sz w:val="22"/>
        </w:rPr>
        <w:t>Q: What roles exist?</w:t>
      </w:r>
      <w:r>
        <w:t xml:space="preserve">  </w:t>
      </w:r>
      <w:r>
        <w:t xml:space="preserve">Six system roles. A user can hold multiple roles and switch between them; the </w:t>
      </w:r>
      <w:r>
        <w:rPr>
          <w:b/>
        </w:rPr>
        <w:t>active role</w:t>
      </w:r>
      <w:r>
        <w:t xml:space="preserve"> decides current permissions.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shd w:val="clear" w:color="auto" w:fill="1F4E79"/>
          </w:tcPr>
          <w:p>
            <w:pPr>
              <w:spacing w:after="40" w:before="40"/>
            </w:pPr>
            <w:r>
              <w:rPr>
                <w:b/>
                <w:color w:val="FFFFFF"/>
                <w:sz w:val="19"/>
              </w:rPr>
              <w:t>Role</w:t>
            </w:r>
          </w:p>
        </w:tc>
        <w:tc>
          <w:tcPr>
            <w:tcW w:type="dxa" w:w="3216"/>
            <w:shd w:val="clear" w:color="auto" w:fill="1F4E79"/>
          </w:tcPr>
          <w:p>
            <w:pPr>
              <w:spacing w:after="40" w:before="40"/>
            </w:pPr>
            <w:r>
              <w:rPr>
                <w:b/>
                <w:color w:val="FFFFFF"/>
                <w:sz w:val="19"/>
              </w:rPr>
              <w:t>Typical user</w:t>
            </w:r>
          </w:p>
        </w:tc>
        <w:tc>
          <w:tcPr>
            <w:tcW w:type="dxa" w:w="3216"/>
            <w:shd w:val="clear" w:color="auto" w:fill="1F4E79"/>
          </w:tcPr>
          <w:p>
            <w:pPr>
              <w:spacing w:after="40" w:before="40"/>
            </w:pPr>
            <w:r>
              <w:rPr>
                <w:b/>
                <w:color w:val="FFFFFF"/>
                <w:sz w:val="19"/>
              </w:rPr>
              <w:t>What they do</w:t>
            </w:r>
          </w:p>
        </w:tc>
      </w:tr>
      <w:tr>
        <w:tc>
          <w:tcPr>
            <w:tcW w:type="dxa" w:w="3216"/>
          </w:tcPr>
          <w:p>
            <w:pPr>
              <w:spacing w:after="40" w:before="40"/>
            </w:pPr>
            <w:r>
              <w:rPr>
                <w:b/>
                <w:sz w:val="19"/>
              </w:rPr>
              <w:t>Admin</w:t>
            </w:r>
          </w:p>
        </w:tc>
        <w:tc>
          <w:tcPr>
            <w:tcW w:type="dxa" w:w="3216"/>
          </w:tcPr>
          <w:p>
            <w:pPr>
              <w:spacing w:after="40" w:before="40"/>
            </w:pPr>
            <w:r>
              <w:rPr>
                <w:sz w:val="19"/>
              </w:rPr>
              <w:t>IT / System Admin</w:t>
            </w:r>
          </w:p>
        </w:tc>
        <w:tc>
          <w:tcPr>
            <w:tcW w:type="dxa" w:w="3216"/>
          </w:tcPr>
          <w:p>
            <w:pPr>
              <w:spacing w:after="40" w:before="40"/>
            </w:pPr>
            <w:r>
              <w:rPr>
                <w:sz w:val="19"/>
              </w:rPr>
              <w:t>Full access (wildcard) — users, roles, master data, config</w:t>
            </w:r>
          </w:p>
        </w:tc>
      </w:tr>
      <w:tr>
        <w:tc>
          <w:tcPr>
            <w:tcW w:type="dxa" w:w="3216"/>
            <w:shd w:val="clear" w:color="auto" w:fill="EEF3F9"/>
          </w:tcPr>
          <w:p>
            <w:pPr>
              <w:spacing w:after="40" w:before="40"/>
            </w:pPr>
            <w:r>
              <w:rPr>
                <w:b/>
                <w:sz w:val="19"/>
              </w:rPr>
              <w:t>Manager</w:t>
            </w:r>
          </w:p>
        </w:tc>
        <w:tc>
          <w:tcPr>
            <w:tcW w:type="dxa" w:w="3216"/>
            <w:shd w:val="clear" w:color="auto" w:fill="EEF3F9"/>
          </w:tcPr>
          <w:p>
            <w:pPr>
              <w:spacing w:after="40" w:before="40"/>
            </w:pPr>
            <w:r>
              <w:rPr>
                <w:sz w:val="19"/>
              </w:rPr>
              <w:t>Practice Head / Delivery Manager</w:t>
            </w:r>
          </w:p>
        </w:tc>
        <w:tc>
          <w:tcPr>
            <w:tcW w:type="dxa" w:w="3216"/>
            <w:shd w:val="clear" w:color="auto" w:fill="EEF3F9"/>
          </w:tcPr>
          <w:p>
            <w:pPr>
              <w:spacing w:after="40" w:before="40"/>
            </w:pPr>
            <w:r>
              <w:rPr>
                <w:sz w:val="19"/>
              </w:rPr>
              <w:t>Full opportunity lifecycle + GOM approvals + analytics export + audit</w:t>
            </w:r>
          </w:p>
        </w:tc>
      </w:tr>
      <w:tr>
        <w:tc>
          <w:tcPr>
            <w:tcW w:type="dxa" w:w="3216"/>
          </w:tcPr>
          <w:p>
            <w:pPr>
              <w:spacing w:after="40" w:before="40"/>
            </w:pPr>
            <w:r>
              <w:rPr>
                <w:b/>
                <w:sz w:val="19"/>
              </w:rPr>
              <w:t>Sales</w:t>
            </w:r>
          </w:p>
        </w:tc>
        <w:tc>
          <w:tcPr>
            <w:tcW w:type="dxa" w:w="3216"/>
          </w:tcPr>
          <w:p>
            <w:pPr>
              <w:spacing w:after="40" w:before="40"/>
            </w:pPr>
            <w:r>
              <w:rPr>
                <w:sz w:val="19"/>
              </w:rPr>
              <w:t>Sales Executive / Account Manager</w:t>
            </w:r>
          </w:p>
        </w:tc>
        <w:tc>
          <w:tcPr>
            <w:tcW w:type="dxa" w:w="3216"/>
          </w:tcPr>
          <w:p>
            <w:pPr>
              <w:spacing w:after="40" w:before="40"/>
            </w:pPr>
            <w:r>
              <w:rPr>
                <w:sz w:val="19"/>
              </w:rPr>
              <w:t>Pipeline, proposals, negotiation, convert to project</w:t>
            </w:r>
          </w:p>
        </w:tc>
      </w:tr>
      <w:tr>
        <w:tc>
          <w:tcPr>
            <w:tcW w:type="dxa" w:w="3216"/>
            <w:shd w:val="clear" w:color="auto" w:fill="EEF3F9"/>
          </w:tcPr>
          <w:p>
            <w:pPr>
              <w:spacing w:after="40" w:before="40"/>
            </w:pPr>
            <w:r>
              <w:rPr>
                <w:b/>
                <w:sz w:val="19"/>
              </w:rPr>
              <w:t>Presales</w:t>
            </w:r>
          </w:p>
        </w:tc>
        <w:tc>
          <w:tcPr>
            <w:tcW w:type="dxa" w:w="3216"/>
            <w:shd w:val="clear" w:color="auto" w:fill="EEF3F9"/>
          </w:tcPr>
          <w:p>
            <w:pPr>
              <w:spacing w:after="40" w:before="40"/>
            </w:pPr>
            <w:r>
              <w:rPr>
                <w:sz w:val="19"/>
              </w:rPr>
              <w:t>Solution Architect / Consultant</w:t>
            </w:r>
          </w:p>
        </w:tc>
        <w:tc>
          <w:tcPr>
            <w:tcW w:type="dxa" w:w="3216"/>
            <w:shd w:val="clear" w:color="auto" w:fill="EEF3F9"/>
          </w:tcPr>
          <w:p>
            <w:pPr>
              <w:spacing w:after="40" w:before="40"/>
            </w:pPr>
            <w:r>
              <w:rPr>
                <w:sz w:val="19"/>
              </w:rPr>
              <w:t>Estimation, GOM, resource planning</w:t>
            </w:r>
          </w:p>
        </w:tc>
      </w:tr>
      <w:tr>
        <w:tc>
          <w:tcPr>
            <w:tcW w:type="dxa" w:w="3216"/>
          </w:tcPr>
          <w:p>
            <w:pPr>
              <w:spacing w:after="40" w:before="40"/>
            </w:pPr>
            <w:r>
              <w:rPr>
                <w:b/>
                <w:sz w:val="19"/>
              </w:rPr>
              <w:t>Management</w:t>
            </w:r>
          </w:p>
        </w:tc>
        <w:tc>
          <w:tcPr>
            <w:tcW w:type="dxa" w:w="3216"/>
          </w:tcPr>
          <w:p>
            <w:pPr>
              <w:spacing w:after="40" w:before="40"/>
            </w:pPr>
            <w:r>
              <w:rPr>
                <w:sz w:val="19"/>
              </w:rPr>
              <w:t>CXO / Leadership</w:t>
            </w:r>
          </w:p>
        </w:tc>
        <w:tc>
          <w:tcPr>
            <w:tcW w:type="dxa" w:w="3216"/>
          </w:tcPr>
          <w:p>
            <w:pPr>
              <w:spacing w:after="40" w:before="40"/>
            </w:pPr>
            <w:r>
              <w:rPr>
                <w:sz w:val="19"/>
              </w:rPr>
              <w:t>Read‑only oversight + approvals + analytics export</w:t>
            </w:r>
          </w:p>
        </w:tc>
      </w:tr>
      <w:tr>
        <w:tc>
          <w:tcPr>
            <w:tcW w:type="dxa" w:w="3216"/>
            <w:shd w:val="clear" w:color="auto" w:fill="EEF3F9"/>
          </w:tcPr>
          <w:p>
            <w:pPr>
              <w:spacing w:after="40" w:before="40"/>
            </w:pPr>
            <w:r>
              <w:rPr>
                <w:b/>
                <w:sz w:val="19"/>
              </w:rPr>
              <w:t>Read‑Only</w:t>
            </w:r>
          </w:p>
        </w:tc>
        <w:tc>
          <w:tcPr>
            <w:tcW w:type="dxa" w:w="3216"/>
            <w:shd w:val="clear" w:color="auto" w:fill="EEF3F9"/>
          </w:tcPr>
          <w:p>
            <w:pPr>
              <w:spacing w:after="40" w:before="40"/>
            </w:pPr>
            <w:r>
              <w:rPr>
                <w:sz w:val="19"/>
              </w:rPr>
              <w:t>Stakeholders / external viewers</w:t>
            </w:r>
          </w:p>
        </w:tc>
        <w:tc>
          <w:tcPr>
            <w:tcW w:type="dxa" w:w="3216"/>
            <w:shd w:val="clear" w:color="auto" w:fill="EEF3F9"/>
          </w:tcPr>
          <w:p>
            <w:pPr>
              <w:spacing w:after="40" w:before="40"/>
            </w:pPr>
            <w:r>
              <w:rPr>
                <w:sz w:val="19"/>
              </w:rPr>
              <w:t>View‑only across modules</w:t>
            </w:r>
          </w:p>
        </w:tc>
      </w:tr>
    </w:tbl>
    <w:p>
      <w:pPr>
        <w:spacing w:after="40"/>
      </w:pPr>
    </w:p>
    <w:p>
      <w:pPr>
        <w:spacing w:before="160"/>
      </w:pPr>
      <w:r>
        <w:rPr>
          <w:b/>
          <w:color w:val="1F4E79"/>
          <w:sz w:val="22"/>
        </w:rPr>
        <w:t>Q: Who acts at each stage?</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c>
          <w:tcPr>
            <w:tcW w:type="dxa" w:w="2412"/>
            <w:shd w:val="clear" w:color="auto" w:fill="1F4E79"/>
          </w:tcPr>
          <w:p>
            <w:pPr>
              <w:spacing w:after="40" w:before="40"/>
            </w:pPr>
            <w:r>
              <w:rPr>
                <w:b/>
                <w:color w:val="FFFFFF"/>
                <w:sz w:val="19"/>
              </w:rPr>
              <w:t>Stage</w:t>
            </w:r>
          </w:p>
        </w:tc>
        <w:tc>
          <w:tcPr>
            <w:tcW w:type="dxa" w:w="2412"/>
            <w:shd w:val="clear" w:color="auto" w:fill="1F4E79"/>
          </w:tcPr>
          <w:p>
            <w:pPr>
              <w:spacing w:after="40" w:before="40"/>
            </w:pPr>
            <w:r>
              <w:rPr>
                <w:b/>
                <w:color w:val="FFFFFF"/>
                <w:sz w:val="19"/>
              </w:rPr>
              <w:t>Sales</w:t>
            </w:r>
          </w:p>
        </w:tc>
        <w:tc>
          <w:tcPr>
            <w:tcW w:type="dxa" w:w="2412"/>
            <w:shd w:val="clear" w:color="auto" w:fill="1F4E79"/>
          </w:tcPr>
          <w:p>
            <w:pPr>
              <w:spacing w:after="40" w:before="40"/>
            </w:pPr>
            <w:r>
              <w:rPr>
                <w:b/>
                <w:color w:val="FFFFFF"/>
                <w:sz w:val="19"/>
              </w:rPr>
              <w:t>Presales</w:t>
            </w:r>
          </w:p>
        </w:tc>
        <w:tc>
          <w:tcPr>
            <w:tcW w:type="dxa" w:w="2412"/>
            <w:shd w:val="clear" w:color="auto" w:fill="1F4E79"/>
          </w:tcPr>
          <w:p>
            <w:pPr>
              <w:spacing w:after="40" w:before="40"/>
            </w:pPr>
            <w:r>
              <w:rPr>
                <w:b/>
                <w:color w:val="FFFFFF"/>
                <w:sz w:val="19"/>
              </w:rPr>
              <w:t>Manager</w:t>
            </w:r>
          </w:p>
        </w:tc>
      </w:tr>
      <w:tr>
        <w:tc>
          <w:tcPr>
            <w:tcW w:type="dxa" w:w="2412"/>
          </w:tcPr>
          <w:p>
            <w:pPr>
              <w:spacing w:after="40" w:before="40"/>
            </w:pPr>
            <w:r>
              <w:rPr>
                <w:sz w:val="19"/>
              </w:rPr>
              <w:t>Discovery</w:t>
            </w:r>
          </w:p>
        </w:tc>
        <w:tc>
          <w:tcPr>
            <w:tcW w:type="dxa" w:w="2412"/>
          </w:tcPr>
          <w:p>
            <w:pPr>
              <w:spacing w:after="40" w:before="40"/>
            </w:pPr>
            <w:r>
              <w:rPr>
                <w:sz w:val="19"/>
              </w:rPr>
              <w:t>Fills pipeline data</w:t>
            </w:r>
          </w:p>
        </w:tc>
        <w:tc>
          <w:tcPr>
            <w:tcW w:type="dxa" w:w="2412"/>
          </w:tcPr>
          <w:p>
            <w:pPr>
              <w:spacing w:after="40" w:before="40"/>
            </w:pPr>
            <w:r>
              <w:rPr>
                <w:sz w:val="19"/>
              </w:rPr>
              <w:t>—</w:t>
            </w:r>
          </w:p>
        </w:tc>
        <w:tc>
          <w:tcPr>
            <w:tcW w:type="dxa" w:w="2412"/>
          </w:tcPr>
          <w:p>
            <w:pPr>
              <w:spacing w:after="40" w:before="40"/>
            </w:pPr>
            <w:r>
              <w:rPr>
                <w:sz w:val="19"/>
              </w:rPr>
              <w:t>Notified</w:t>
            </w:r>
          </w:p>
        </w:tc>
      </w:tr>
      <w:tr>
        <w:tc>
          <w:tcPr>
            <w:tcW w:type="dxa" w:w="2412"/>
            <w:shd w:val="clear" w:color="auto" w:fill="EEF3F9"/>
          </w:tcPr>
          <w:p>
            <w:pPr>
              <w:spacing w:after="40" w:before="40"/>
            </w:pPr>
            <w:r>
              <w:rPr>
                <w:sz w:val="19"/>
              </w:rPr>
              <w:t>Qualification</w:t>
            </w:r>
          </w:p>
        </w:tc>
        <w:tc>
          <w:tcPr>
            <w:tcW w:type="dxa" w:w="2412"/>
            <w:shd w:val="clear" w:color="auto" w:fill="EEF3F9"/>
          </w:tcPr>
          <w:p>
            <w:pPr>
              <w:spacing w:after="40" w:before="40"/>
            </w:pPr>
            <w:r>
              <w:rPr>
                <w:sz w:val="19"/>
              </w:rPr>
              <w:t>Reviews</w:t>
            </w:r>
          </w:p>
        </w:tc>
        <w:tc>
          <w:tcPr>
            <w:tcW w:type="dxa" w:w="2412"/>
            <w:shd w:val="clear" w:color="auto" w:fill="EEF3F9"/>
          </w:tcPr>
          <w:p>
            <w:pPr>
              <w:spacing w:after="40" w:before="40"/>
            </w:pPr>
            <w:r>
              <w:rPr>
                <w:b/>
                <w:sz w:val="19"/>
              </w:rPr>
              <w:t>Estimates &amp; GOM</w:t>
            </w:r>
          </w:p>
        </w:tc>
        <w:tc>
          <w:tcPr>
            <w:tcW w:type="dxa" w:w="2412"/>
            <w:shd w:val="clear" w:color="auto" w:fill="EEF3F9"/>
          </w:tcPr>
          <w:p>
            <w:pPr>
              <w:spacing w:after="40" w:before="40"/>
            </w:pPr>
            <w:r>
              <w:rPr>
                <w:b/>
                <w:sz w:val="19"/>
              </w:rPr>
              <w:t>Approves GOM</w:t>
            </w:r>
          </w:p>
        </w:tc>
      </w:tr>
      <w:tr>
        <w:tc>
          <w:tcPr>
            <w:tcW w:type="dxa" w:w="2412"/>
          </w:tcPr>
          <w:p>
            <w:pPr>
              <w:spacing w:after="40" w:before="40"/>
            </w:pPr>
            <w:r>
              <w:rPr>
                <w:sz w:val="19"/>
              </w:rPr>
              <w:t>Proposal</w:t>
            </w:r>
          </w:p>
        </w:tc>
        <w:tc>
          <w:tcPr>
            <w:tcW w:type="dxa" w:w="2412"/>
          </w:tcPr>
          <w:p>
            <w:pPr>
              <w:spacing w:after="40" w:before="40"/>
            </w:pPr>
            <w:r>
              <w:rPr>
                <w:b/>
                <w:sz w:val="19"/>
              </w:rPr>
              <w:t>Drives proposal</w:t>
            </w:r>
          </w:p>
        </w:tc>
        <w:tc>
          <w:tcPr>
            <w:tcW w:type="dxa" w:w="2412"/>
          </w:tcPr>
          <w:p>
            <w:pPr>
              <w:spacing w:after="40" w:before="40"/>
            </w:pPr>
            <w:r>
              <w:rPr>
                <w:sz w:val="19"/>
              </w:rPr>
              <w:t>Views</w:t>
            </w:r>
          </w:p>
        </w:tc>
        <w:tc>
          <w:tcPr>
            <w:tcW w:type="dxa" w:w="2412"/>
          </w:tcPr>
          <w:p>
            <w:pPr>
              <w:spacing w:after="40" w:before="40"/>
            </w:pPr>
            <w:r>
              <w:rPr>
                <w:sz w:val="19"/>
              </w:rPr>
              <w:t>Notified</w:t>
            </w:r>
          </w:p>
        </w:tc>
      </w:tr>
      <w:tr>
        <w:tc>
          <w:tcPr>
            <w:tcW w:type="dxa" w:w="2412"/>
            <w:shd w:val="clear" w:color="auto" w:fill="EEF3F9"/>
          </w:tcPr>
          <w:p>
            <w:pPr>
              <w:spacing w:after="40" w:before="40"/>
            </w:pPr>
            <w:r>
              <w:rPr>
                <w:sz w:val="19"/>
              </w:rPr>
              <w:t>Negotiation</w:t>
            </w:r>
          </w:p>
        </w:tc>
        <w:tc>
          <w:tcPr>
            <w:tcW w:type="dxa" w:w="2412"/>
            <w:shd w:val="clear" w:color="auto" w:fill="EEF3F9"/>
          </w:tcPr>
          <w:p>
            <w:pPr>
              <w:spacing w:after="40" w:before="40"/>
            </w:pPr>
            <w:r>
              <w:rPr>
                <w:b/>
                <w:sz w:val="19"/>
              </w:rPr>
              <w:t>Negotiates</w:t>
            </w:r>
          </w:p>
        </w:tc>
        <w:tc>
          <w:tcPr>
            <w:tcW w:type="dxa" w:w="2412"/>
            <w:shd w:val="clear" w:color="auto" w:fill="EEF3F9"/>
          </w:tcPr>
          <w:p>
            <w:pPr>
              <w:spacing w:after="40" w:before="40"/>
            </w:pPr>
            <w:r>
              <w:rPr>
                <w:sz w:val="19"/>
              </w:rPr>
              <w:t>Views</w:t>
            </w:r>
          </w:p>
        </w:tc>
        <w:tc>
          <w:tcPr>
            <w:tcW w:type="dxa" w:w="2412"/>
            <w:shd w:val="clear" w:color="auto" w:fill="EEF3F9"/>
          </w:tcPr>
          <w:p>
            <w:pPr>
              <w:spacing w:after="40" w:before="40"/>
            </w:pPr>
            <w:r>
              <w:rPr>
                <w:sz w:val="19"/>
              </w:rPr>
              <w:t>Oversight</w:t>
            </w:r>
          </w:p>
        </w:tc>
      </w:tr>
      <w:tr>
        <w:tc>
          <w:tcPr>
            <w:tcW w:type="dxa" w:w="2412"/>
          </w:tcPr>
          <w:p>
            <w:pPr>
              <w:spacing w:after="40" w:before="40"/>
            </w:pPr>
            <w:r>
              <w:rPr>
                <w:sz w:val="19"/>
              </w:rPr>
              <w:t>Closed Won</w:t>
            </w:r>
          </w:p>
        </w:tc>
        <w:tc>
          <w:tcPr>
            <w:tcW w:type="dxa" w:w="2412"/>
          </w:tcPr>
          <w:p>
            <w:pPr>
              <w:spacing w:after="40" w:before="40"/>
            </w:pPr>
            <w:r>
              <w:rPr>
                <w:b/>
                <w:sz w:val="19"/>
              </w:rPr>
              <w:t>Converts to project</w:t>
            </w:r>
          </w:p>
        </w:tc>
        <w:tc>
          <w:tcPr>
            <w:tcW w:type="dxa" w:w="2412"/>
          </w:tcPr>
          <w:p>
            <w:pPr>
              <w:spacing w:after="40" w:before="40"/>
            </w:pPr>
            <w:r>
              <w:rPr>
                <w:sz w:val="19"/>
              </w:rPr>
              <w:t>Notified</w:t>
            </w:r>
          </w:p>
        </w:tc>
        <w:tc>
          <w:tcPr>
            <w:tcW w:type="dxa" w:w="2412"/>
          </w:tcPr>
          <w:p>
            <w:pPr>
              <w:spacing w:after="40" w:before="40"/>
            </w:pPr>
            <w:r>
              <w:rPr>
                <w:sz w:val="19"/>
              </w:rPr>
              <w:t>Notified</w:t>
            </w:r>
          </w:p>
        </w:tc>
      </w:tr>
      <w:tr>
        <w:tc>
          <w:tcPr>
            <w:tcW w:type="dxa" w:w="2412"/>
            <w:shd w:val="clear" w:color="auto" w:fill="EEF3F9"/>
          </w:tcPr>
          <w:p>
            <w:pPr>
              <w:spacing w:after="40" w:before="40"/>
            </w:pPr>
            <w:r>
              <w:rPr>
                <w:sz w:val="19"/>
              </w:rPr>
              <w:t>Closed Lost</w:t>
            </w:r>
          </w:p>
        </w:tc>
        <w:tc>
          <w:tcPr>
            <w:tcW w:type="dxa" w:w="2412"/>
            <w:shd w:val="clear" w:color="auto" w:fill="EEF3F9"/>
          </w:tcPr>
          <w:p>
            <w:pPr>
              <w:spacing w:after="40" w:before="40"/>
            </w:pPr>
            <w:r>
              <w:rPr>
                <w:sz w:val="19"/>
              </w:rPr>
              <w:t>Records loss reason</w:t>
            </w:r>
          </w:p>
        </w:tc>
        <w:tc>
          <w:tcPr>
            <w:tcW w:type="dxa" w:w="2412"/>
            <w:shd w:val="clear" w:color="auto" w:fill="EEF3F9"/>
          </w:tcPr>
          <w:p>
            <w:pPr>
              <w:spacing w:after="40" w:before="40"/>
            </w:pPr>
            <w:r>
              <w:rPr>
                <w:sz w:val="19"/>
              </w:rPr>
              <w:t>—</w:t>
            </w:r>
          </w:p>
        </w:tc>
        <w:tc>
          <w:tcPr>
            <w:tcW w:type="dxa" w:w="2412"/>
            <w:shd w:val="clear" w:color="auto" w:fill="EEF3F9"/>
          </w:tcPr>
          <w:p>
            <w:pPr>
              <w:spacing w:after="40" w:before="40"/>
            </w:pPr>
            <w:r>
              <w:rPr>
                <w:sz w:val="19"/>
              </w:rPr>
              <w:t>Notified</w:t>
            </w:r>
          </w:p>
        </w:tc>
      </w:tr>
    </w:tbl>
    <w:p>
      <w:pPr>
        <w:spacing w:after="40"/>
      </w:pPr>
    </w:p>
    <w:p>
      <w:pPr>
        <w:spacing w:before="160"/>
      </w:pPr>
      <w:r>
        <w:rPr>
          <w:b/>
          <w:color w:val="1F4E79"/>
          <w:sz w:val="22"/>
        </w:rPr>
        <w:t>Q: Why are some buttons/fields greyed out for me?</w:t>
      </w:r>
      <w:r>
        <w:t xml:space="preserve">  </w:t>
      </w:r>
      <w:r>
        <w:t>Three things gate the UI:</w:t>
      </w:r>
    </w:p>
    <w:p>
      <w:pPr>
        <w:pStyle w:val="ListNumber"/>
        <w:spacing w:after="40"/>
        <w:ind w:left="432"/>
      </w:pPr>
      <w:r>
        <w:rPr>
          <w:b/>
        </w:rPr>
        <w:t>Your active role's permissions</w:t>
      </w:r>
      <w:r>
        <w:t xml:space="preserve"> (e.g., only Sales/Manager can move Pipeline forward).</w:t>
      </w:r>
    </w:p>
    <w:p>
      <w:pPr>
        <w:pStyle w:val="ListNumber"/>
        <w:spacing w:after="40"/>
        <w:ind w:left="432"/>
      </w:pPr>
      <w:r>
        <w:rPr>
          <w:b/>
        </w:rPr>
        <w:t>The deal's current stage</w:t>
      </w:r>
      <w:r>
        <w:t xml:space="preserve"> — you can only access stepper steps at or before the current stage.</w:t>
      </w:r>
    </w:p>
    <w:p>
      <w:pPr>
        <w:pStyle w:val="ListNumber"/>
        <w:spacing w:after="40"/>
        <w:ind w:left="432"/>
      </w:pPr>
      <w:r>
        <w:rPr>
          <w:b/>
        </w:rPr>
        <w:t>Lock conditions</w:t>
      </w:r>
      <w:r>
        <w:t xml:space="preserve"> — a deal that is </w:t>
      </w:r>
      <w:r>
        <w:rPr>
          <w:b/>
        </w:rPr>
        <w:t>Lost</w:t>
      </w:r>
      <w:r>
        <w:t xml:space="preserve">, </w:t>
      </w:r>
      <w:r>
        <w:rPr>
          <w:b/>
        </w:rPr>
        <w:t>Stalled (On Hold)</w:t>
      </w:r>
      <w:r>
        <w:t xml:space="preserve">, in </w:t>
      </w:r>
      <w:r>
        <w:rPr>
          <w:b/>
        </w:rPr>
        <w:t>Negotiation</w:t>
      </w:r>
      <w:r>
        <w:t xml:space="preserve">, or already in the </w:t>
      </w:r>
      <w:r>
        <w:rPr>
          <w:b/>
        </w:rPr>
        <w:t>Project</w:t>
      </w:r>
      <w:r>
        <w:t xml:space="preserve"> step locks most edits to protect the agreed record.</w:t>
      </w:r>
    </w:p>
    <w:p>
      <w:pPr>
        <w:keepNext/>
        <w:spacing w:before="280" w:after="120"/>
      </w:pPr>
      <w:r>
        <w:rPr>
          <w:b/>
          <w:color w:val="2E74B5"/>
          <w:sz w:val="30"/>
        </w:rPr>
        <w:t>9. The Dashboard</w:t>
      </w:r>
    </w:p>
    <w:p>
      <w:pPr>
        <w:spacing w:before="160"/>
      </w:pPr>
      <w:r>
        <w:rPr>
          <w:b/>
          <w:color w:val="1F4E79"/>
          <w:sz w:val="22"/>
        </w:rPr>
        <w:t>Q: What is the Dashboard for?</w:t>
      </w:r>
      <w:r>
        <w:t xml:space="preserve">  </w:t>
      </w:r>
      <w:r>
        <w:t>It's the at‑a‑glance command center: top‑line KPIs, the charts that explain them, your personal to‑do list, and AI‑style health insights. It refreshes silently when you return to the browser tab.</w:t>
      </w:r>
    </w:p>
    <w:p>
      <w:pPr>
        <w:spacing w:before="160"/>
      </w:pPr>
      <w:r>
        <w:rPr>
          <w:b/>
          <w:color w:val="1F4E79"/>
          <w:sz w:val="22"/>
        </w:rPr>
        <w:t>Q: What are the KPI cards at the top?</w:t>
      </w:r>
      <w:r>
        <w:t xml:space="preserve">  </w:t>
      </w:r>
      <w:r>
        <w:t>There are seven headline metrics: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shd w:val="clear" w:color="auto" w:fill="1F4E79"/>
          </w:tcPr>
          <w:p>
            <w:pPr>
              <w:spacing w:after="40" w:before="40"/>
            </w:pPr>
            <w:r>
              <w:rPr>
                <w:b/>
                <w:color w:val="FFFFFF"/>
                <w:sz w:val="19"/>
              </w:rPr>
              <w:t>Card</w:t>
            </w:r>
          </w:p>
        </w:tc>
        <w:tc>
          <w:tcPr>
            <w:tcW w:type="dxa" w:w="4824"/>
            <w:shd w:val="clear" w:color="auto" w:fill="1F4E79"/>
          </w:tcPr>
          <w:p>
            <w:pPr>
              <w:spacing w:after="40" w:before="40"/>
            </w:pPr>
            <w:r>
              <w:rPr>
                <w:b/>
                <w:color w:val="FFFFFF"/>
                <w:sz w:val="19"/>
              </w:rPr>
              <w:t>What it shows</w:t>
            </w:r>
          </w:p>
        </w:tc>
      </w:tr>
      <w:tr>
        <w:tc>
          <w:tcPr>
            <w:tcW w:type="dxa" w:w="4824"/>
          </w:tcPr>
          <w:p>
            <w:pPr>
              <w:spacing w:after="40" w:before="40"/>
            </w:pPr>
            <w:r>
              <w:rPr>
                <w:b/>
                <w:sz w:val="19"/>
              </w:rPr>
              <w:t>Projected Revenue</w:t>
            </w:r>
          </w:p>
        </w:tc>
        <w:tc>
          <w:tcPr>
            <w:tcW w:type="dxa" w:w="4824"/>
          </w:tcPr>
          <w:p>
            <w:pPr>
              <w:spacing w:after="40" w:before="40"/>
            </w:pPr>
            <w:r>
              <w:rPr>
                <w:sz w:val="19"/>
              </w:rPr>
              <w:t>Value of all open (not won/lost) opportunities, with the total opportunity count</w:t>
            </w:r>
          </w:p>
        </w:tc>
      </w:tr>
      <w:tr>
        <w:tc>
          <w:tcPr>
            <w:tcW w:type="dxa" w:w="4824"/>
            <w:shd w:val="clear" w:color="auto" w:fill="EEF3F9"/>
          </w:tcPr>
          <w:p>
            <w:pPr>
              <w:spacing w:after="40" w:before="40"/>
            </w:pPr>
            <w:r>
              <w:rPr>
                <w:b/>
                <w:sz w:val="19"/>
              </w:rPr>
              <w:t>Closed Revenue</w:t>
            </w:r>
          </w:p>
        </w:tc>
        <w:tc>
          <w:tcPr>
            <w:tcW w:type="dxa" w:w="4824"/>
            <w:shd w:val="clear" w:color="auto" w:fill="EEF3F9"/>
          </w:tcPr>
          <w:p>
            <w:pPr>
              <w:spacing w:after="40" w:before="40"/>
            </w:pPr>
            <w:r>
              <w:rPr>
                <w:sz w:val="19"/>
              </w:rPr>
              <w:t>Value of won/delivered deals, with the count of deals won</w:t>
            </w:r>
          </w:p>
        </w:tc>
      </w:tr>
      <w:tr>
        <w:tc>
          <w:tcPr>
            <w:tcW w:type="dxa" w:w="4824"/>
          </w:tcPr>
          <w:p>
            <w:pPr>
              <w:spacing w:after="40" w:before="40"/>
            </w:pPr>
            <w:r>
              <w:rPr>
                <w:b/>
                <w:sz w:val="19"/>
              </w:rPr>
              <w:t>Opportunities</w:t>
            </w:r>
          </w:p>
        </w:tc>
        <w:tc>
          <w:tcPr>
            <w:tcW w:type="dxa" w:w="4824"/>
          </w:tcPr>
          <w:p>
            <w:pPr>
              <w:spacing w:after="40" w:before="40"/>
            </w:pPr>
            <w:r>
              <w:rPr>
                <w:sz w:val="19"/>
              </w:rPr>
              <w:t>Total opportunity count, with how many are active</w:t>
            </w:r>
          </w:p>
        </w:tc>
      </w:tr>
      <w:tr>
        <w:tc>
          <w:tcPr>
            <w:tcW w:type="dxa" w:w="4824"/>
            <w:shd w:val="clear" w:color="auto" w:fill="EEF3F9"/>
          </w:tcPr>
          <w:p>
            <w:pPr>
              <w:spacing w:after="40" w:before="40"/>
            </w:pPr>
            <w:r>
              <w:rPr>
                <w:b/>
                <w:sz w:val="19"/>
              </w:rPr>
              <w:t>Pipeline Value</w:t>
            </w:r>
          </w:p>
        </w:tc>
        <w:tc>
          <w:tcPr>
            <w:tcW w:type="dxa" w:w="4824"/>
            <w:shd w:val="clear" w:color="auto" w:fill="EEF3F9"/>
          </w:tcPr>
          <w:p>
            <w:pPr>
              <w:spacing w:after="40" w:before="40"/>
            </w:pPr>
            <w:r>
              <w:rPr>
                <w:sz w:val="19"/>
              </w:rPr>
              <w:t>Value of all non‑closed deals, with the average deal size</w:t>
            </w:r>
          </w:p>
        </w:tc>
      </w:tr>
      <w:tr>
        <w:tc>
          <w:tcPr>
            <w:tcW w:type="dxa" w:w="4824"/>
          </w:tcPr>
          <w:p>
            <w:pPr>
              <w:spacing w:after="40" w:before="40"/>
            </w:pPr>
            <w:r>
              <w:rPr>
                <w:b/>
                <w:sz w:val="19"/>
              </w:rPr>
              <w:t>Win Rate</w:t>
            </w:r>
          </w:p>
        </w:tc>
        <w:tc>
          <w:tcPr>
            <w:tcW w:type="dxa" w:w="4824"/>
          </w:tcPr>
          <w:p>
            <w:pPr>
              <w:spacing w:after="40" w:before="40"/>
            </w:pPr>
            <w:r>
              <w:rPr>
                <w:sz w:val="19"/>
              </w:rPr>
              <w:t>Conversion rate, with won / lost counts</w:t>
            </w:r>
          </w:p>
        </w:tc>
      </w:tr>
      <w:tr>
        <w:tc>
          <w:tcPr>
            <w:tcW w:type="dxa" w:w="4824"/>
            <w:shd w:val="clear" w:color="auto" w:fill="EEF3F9"/>
          </w:tcPr>
          <w:p>
            <w:pPr>
              <w:spacing w:after="40" w:before="40"/>
            </w:pPr>
            <w:r>
              <w:rPr>
                <w:b/>
                <w:sz w:val="19"/>
              </w:rPr>
              <w:t>Avg. Close Time</w:t>
            </w:r>
          </w:p>
        </w:tc>
        <w:tc>
          <w:tcPr>
            <w:tcW w:type="dxa" w:w="4824"/>
            <w:shd w:val="clear" w:color="auto" w:fill="EEF3F9"/>
          </w:tcPr>
          <w:p>
            <w:pPr>
              <w:spacing w:after="40" w:before="40"/>
            </w:pPr>
            <w:r>
              <w:rPr>
                <w:sz w:val="19"/>
              </w:rPr>
              <w:t>Average days from open to close (shows fractions for sub‑day closes)</w:t>
            </w:r>
          </w:p>
        </w:tc>
      </w:tr>
      <w:tr>
        <w:tc>
          <w:tcPr>
            <w:tcW w:type="dxa" w:w="4824"/>
          </w:tcPr>
          <w:p>
            <w:pPr>
              <w:spacing w:after="40" w:before="40"/>
            </w:pPr>
            <w:r>
              <w:rPr>
                <w:b/>
                <w:sz w:val="19"/>
              </w:rPr>
              <w:t>Re‑estimate Iterations</w:t>
            </w:r>
          </w:p>
        </w:tc>
        <w:tc>
          <w:tcPr>
            <w:tcW w:type="dxa" w:w="4824"/>
          </w:tcPr>
          <w:p>
            <w:pPr>
              <w:spacing w:after="40" w:before="40"/>
            </w:pPr>
            <w:r>
              <w:rPr>
                <w:sz w:val="19"/>
              </w:rPr>
              <w:t>Total re‑estimate rounds, how many opps had re‑estimates, and the average rounds</w:t>
            </w:r>
          </w:p>
        </w:tc>
      </w:tr>
    </w:tbl>
    <w:p>
      <w:pPr>
        <w:spacing w:after="40"/>
      </w:pPr>
    </w:p>
    <w:p>
      <w:pPr>
        <w:spacing w:before="160"/>
      </w:pPr>
      <w:r>
        <w:rPr>
          <w:b/>
          <w:color w:val="1F4E79"/>
          <w:sz w:val="22"/>
        </w:rPr>
        <w:t>Q: What charts are on the Dashboard?</w:t>
      </w:r>
    </w:p>
    <w:p>
      <w:pPr>
        <w:pStyle w:val="ListBullet"/>
        <w:spacing w:after="40"/>
        <w:ind w:left="432"/>
      </w:pPr>
      <w:r>
        <w:rPr>
          <w:b/>
        </w:rPr>
        <w:t>Revenue Projection</w:t>
      </w:r>
      <w:r>
        <w:t xml:space="preserve"> — bar chart of Proposed vs </w:t>
      </w:r>
      <w:r>
        <w:rPr>
          <w:b/>
        </w:rPr>
        <w:t>Won</w:t>
      </w:r>
      <w:r>
        <w:t xml:space="preserve"> vs </w:t>
      </w:r>
      <w:r>
        <w:rPr>
          <w:b/>
        </w:rPr>
        <w:t>Lost</w:t>
      </w:r>
      <w:r>
        <w:t xml:space="preserve"> by period.</w:t>
      </w:r>
    </w:p>
    <w:p>
      <w:pPr>
        <w:pStyle w:val="ListBullet"/>
        <w:spacing w:after="40"/>
        <w:ind w:left="432"/>
      </w:pPr>
      <w:r>
        <w:rPr>
          <w:b/>
        </w:rPr>
        <w:t>By Stage</w:t>
      </w:r>
      <w:r>
        <w:t xml:space="preserve"> — donut/pie of opportunity counts per stage.</w:t>
      </w:r>
    </w:p>
    <w:p>
      <w:pPr>
        <w:pStyle w:val="ListBullet"/>
        <w:spacing w:after="40"/>
        <w:ind w:left="432"/>
      </w:pPr>
      <w:r>
        <w:rPr>
          <w:b/>
        </w:rPr>
        <w:t>Opps by Salesperson</w:t>
      </w:r>
      <w:r>
        <w:t xml:space="preserve"> — count of opportunities per salesperson.</w:t>
      </w:r>
    </w:p>
    <w:p>
      <w:pPr>
        <w:pStyle w:val="ListBullet"/>
        <w:spacing w:after="40"/>
        <w:ind w:left="432"/>
      </w:pPr>
      <w:r>
        <w:rPr>
          <w:b/>
        </w:rPr>
        <w:t>Revenue by Tech Stack</w:t>
      </w:r>
      <w:r>
        <w:t xml:space="preserve"> — revenue split by technology.</w:t>
      </w:r>
    </w:p>
    <w:p>
      <w:pPr>
        <w:pStyle w:val="ListBullet"/>
        <w:spacing w:after="40"/>
        <w:ind w:left="432"/>
      </w:pPr>
      <w:r>
        <w:rPr>
          <w:b/>
        </w:rPr>
        <w:t>Revenue by Client</w:t>
      </w:r>
      <w:r>
        <w:t xml:space="preserve"> and </w:t>
      </w:r>
      <w:r>
        <w:rPr>
          <w:b/>
        </w:rPr>
        <w:t>Opps by Client</w:t>
      </w:r>
      <w:r>
        <w:t xml:space="preserve"> — client concentration.</w:t>
      </w:r>
    </w:p>
    <w:p>
      <w:pPr>
        <w:pStyle w:val="ListBullet"/>
        <w:spacing w:after="40"/>
        <w:ind w:left="432"/>
      </w:pPr>
      <w:r>
        <w:rPr>
          <w:b/>
        </w:rPr>
        <w:t>Revenue by Sales Rep</w:t>
      </w:r>
      <w:r>
        <w:t xml:space="preserve"> — revenue attributed per rep.</w:t>
      </w:r>
    </w:p>
    <w:p>
      <w:pPr>
        <w:spacing w:before="160"/>
      </w:pPr>
      <w:r>
        <w:rPr>
          <w:b/>
          <w:color w:val="1F4E79"/>
          <w:sz w:val="22"/>
        </w:rPr>
        <w:t>Q: Can I see the underlying deals behind a chart?</w:t>
      </w:r>
      <w:r>
        <w:t xml:space="preserve">  </w:t>
      </w:r>
      <w:r>
        <w:t xml:space="preserve">Yes — most visuals are </w:t>
      </w:r>
      <w:r>
        <w:rPr>
          <w:b/>
        </w:rPr>
        <w:t>drill‑downs</w:t>
      </w:r>
      <w:r>
        <w:t>. Clicking a chart opens a table of the exact opportunities behind it (Opportunity, Client, Value, Stage, Probability, Owner, Sales Rep, Health %, etc.).</w:t>
      </w:r>
    </w:p>
    <w:p>
      <w:pPr>
        <w:spacing w:before="160"/>
      </w:pPr>
      <w:r>
        <w:rPr>
          <w:b/>
          <w:color w:val="1F4E79"/>
          <w:sz w:val="22"/>
        </w:rPr>
        <w:t>Q: What is "Your Pending Actions"?</w:t>
      </w:r>
      <w:r>
        <w:t xml:space="preserve">  </w:t>
      </w:r>
      <w:r>
        <w:t xml:space="preserve">A personal worklist showing only </w:t>
      </w:r>
      <w:r>
        <w:rPr>
          <w:b/>
        </w:rPr>
        <w:t>open</w:t>
      </w:r>
      <w:r>
        <w:t xml:space="preserve"> opportunities where *you* are the owner, sales rep, manager, or assigned presales estimator. It is searchable, sortable, and column‑filterable. For each row it suggests the next action based on stage: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shd w:val="clear" w:color="auto" w:fill="1F4E79"/>
          </w:tcPr>
          <w:p>
            <w:pPr>
              <w:spacing w:after="40" w:before="40"/>
            </w:pPr>
            <w:r>
              <w:rPr>
                <w:b/>
                <w:color w:val="FFFFFF"/>
                <w:sz w:val="19"/>
              </w:rPr>
              <w:t>Stage</w:t>
            </w:r>
          </w:p>
        </w:tc>
        <w:tc>
          <w:tcPr>
            <w:tcW w:type="dxa" w:w="4824"/>
            <w:shd w:val="clear" w:color="auto" w:fill="1F4E79"/>
          </w:tcPr>
          <w:p>
            <w:pPr>
              <w:spacing w:after="40" w:before="40"/>
            </w:pPr>
            <w:r>
              <w:rPr>
                <w:b/>
                <w:color w:val="FFFFFF"/>
                <w:sz w:val="19"/>
              </w:rPr>
              <w:t>Suggested action</w:t>
            </w:r>
          </w:p>
        </w:tc>
      </w:tr>
      <w:tr>
        <w:tc>
          <w:tcPr>
            <w:tcW w:type="dxa" w:w="4824"/>
          </w:tcPr>
          <w:p>
            <w:pPr>
              <w:spacing w:after="40" w:before="40"/>
            </w:pPr>
            <w:r>
              <w:rPr>
                <w:sz w:val="19"/>
              </w:rPr>
              <w:t>Pipeline / Discovery</w:t>
            </w:r>
          </w:p>
        </w:tc>
        <w:tc>
          <w:tcPr>
            <w:tcW w:type="dxa" w:w="4824"/>
          </w:tcPr>
          <w:p>
            <w:pPr>
              <w:spacing w:after="40" w:before="40"/>
            </w:pPr>
            <w:r>
              <w:rPr>
                <w:sz w:val="19"/>
              </w:rPr>
              <w:t>Qualify &amp; assign presales</w:t>
            </w:r>
          </w:p>
        </w:tc>
      </w:tr>
      <w:tr>
        <w:tc>
          <w:tcPr>
            <w:tcW w:type="dxa" w:w="4824"/>
            <w:shd w:val="clear" w:color="auto" w:fill="EEF3F9"/>
          </w:tcPr>
          <w:p>
            <w:pPr>
              <w:spacing w:after="40" w:before="40"/>
            </w:pPr>
            <w:r>
              <w:rPr>
                <w:sz w:val="19"/>
              </w:rPr>
              <w:t>Qualification / Presales</w:t>
            </w:r>
          </w:p>
        </w:tc>
        <w:tc>
          <w:tcPr>
            <w:tcW w:type="dxa" w:w="4824"/>
            <w:shd w:val="clear" w:color="auto" w:fill="EEF3F9"/>
          </w:tcPr>
          <w:p>
            <w:pPr>
              <w:spacing w:after="40" w:before="40"/>
            </w:pPr>
            <w:r>
              <w:rPr>
                <w:sz w:val="19"/>
              </w:rPr>
              <w:t>Complete presales estimation</w:t>
            </w:r>
          </w:p>
        </w:tc>
      </w:tr>
      <w:tr>
        <w:tc>
          <w:tcPr>
            <w:tcW w:type="dxa" w:w="4824"/>
          </w:tcPr>
          <w:p>
            <w:pPr>
              <w:spacing w:after="40" w:before="40"/>
            </w:pPr>
            <w:r>
              <w:rPr>
                <w:sz w:val="19"/>
              </w:rPr>
              <w:t>Proposal / Sales</w:t>
            </w:r>
          </w:p>
        </w:tc>
        <w:tc>
          <w:tcPr>
            <w:tcW w:type="dxa" w:w="4824"/>
          </w:tcPr>
          <w:p>
            <w:pPr>
              <w:spacing w:after="40" w:before="40"/>
            </w:pPr>
            <w:r>
              <w:rPr>
                <w:sz w:val="19"/>
              </w:rPr>
              <w:t>Prepare or send quote</w:t>
            </w:r>
          </w:p>
        </w:tc>
      </w:tr>
      <w:tr>
        <w:tc>
          <w:tcPr>
            <w:tcW w:type="dxa" w:w="4824"/>
            <w:shd w:val="clear" w:color="auto" w:fill="EEF3F9"/>
          </w:tcPr>
          <w:p>
            <w:pPr>
              <w:spacing w:after="40" w:before="40"/>
            </w:pPr>
            <w:r>
              <w:rPr>
                <w:sz w:val="19"/>
              </w:rPr>
              <w:t>Negotiation</w:t>
            </w:r>
          </w:p>
        </w:tc>
        <w:tc>
          <w:tcPr>
            <w:tcW w:type="dxa" w:w="4824"/>
            <w:shd w:val="clear" w:color="auto" w:fill="EEF3F9"/>
          </w:tcPr>
          <w:p>
            <w:pPr>
              <w:spacing w:after="40" w:before="40"/>
            </w:pPr>
            <w:r>
              <w:rPr>
                <w:sz w:val="19"/>
              </w:rPr>
              <w:t>Close negotiation</w:t>
            </w:r>
          </w:p>
        </w:tc>
      </w:tr>
    </w:tbl>
    <w:p>
      <w:pPr>
        <w:spacing w:after="40"/>
      </w:pPr>
    </w:p>
    <w:p>
      <w:r>
        <w:t xml:space="preserve">Overdue items are flagged in red, items due within 7 days in amber, and stalled deals carry a </w:t>
      </w:r>
      <w:r>
        <w:rPr>
          <w:b/>
        </w:rPr>
        <w:t>STALLED</w:t>
      </w:r>
      <w:r>
        <w:t xml:space="preserve"> tag.</w:t>
      </w:r>
    </w:p>
    <w:p>
      <w:pPr>
        <w:spacing w:before="160"/>
      </w:pPr>
      <w:r>
        <w:rPr>
          <w:b/>
          <w:color w:val="1F4E79"/>
          <w:sz w:val="22"/>
        </w:rPr>
        <w:t>Q: What is the "Pipeline Insights &amp; Deal Health" panel?</w:t>
      </w:r>
      <w:r>
        <w:t xml:space="preserve">  </w:t>
      </w:r>
      <w:r>
        <w:t>Auto‑generated, plain‑language insights derived from the live pipeline, such as:</w:t>
      </w:r>
    </w:p>
    <w:p>
      <w:pPr>
        <w:pStyle w:val="ListBullet"/>
        <w:spacing w:after="40"/>
        <w:ind w:left="432"/>
      </w:pPr>
      <w:r>
        <w:rPr>
          <w:b/>
        </w:rPr>
        <w:t>Stalled warnings</w:t>
      </w:r>
      <w:r>
        <w:t xml:space="preserve"> — "'Deal X' has been idle for N days. Consider following up."</w:t>
      </w:r>
    </w:p>
    <w:p>
      <w:pPr>
        <w:pStyle w:val="ListBullet"/>
        <w:spacing w:after="40"/>
        <w:ind w:left="432"/>
      </w:pPr>
      <w:r>
        <w:rPr>
          <w:b/>
        </w:rPr>
        <w:t>Healthy high‑value highlights</w:t>
      </w:r>
      <w:r>
        <w:t xml:space="preserve"> — "'Deal Y' is progressing well — $value at probability%."</w:t>
      </w:r>
    </w:p>
    <w:p>
      <w:pPr>
        <w:pStyle w:val="ListBullet"/>
        <w:spacing w:after="40"/>
        <w:ind w:left="432"/>
      </w:pPr>
      <w:r>
        <w:rPr>
          <w:b/>
        </w:rPr>
        <w:t>Critical alerts</w:t>
      </w:r>
      <w:r>
        <w:t xml:space="preserve"> — "'Deal Z' needs attention — health score is N%."</w:t>
      </w:r>
    </w:p>
    <w:p>
      <w:r>
        <w:t xml:space="preserve">Alongside it, deals are bucketed by health: </w:t>
      </w:r>
      <w:r>
        <w:rPr>
          <w:b/>
        </w:rPr>
        <w:t>Healthy (green) / At‑risk (amber) / Critical (red)</w:t>
      </w:r>
      <w:r>
        <w:t>.</w:t>
      </w:r>
    </w:p>
    <w:p>
      <w:pPr>
        <w:spacing w:before="160"/>
      </w:pPr>
      <w:r>
        <w:rPr>
          <w:b/>
          <w:color w:val="1F4E79"/>
          <w:sz w:val="22"/>
        </w:rPr>
        <w:t>Q: How is "deal health" calculated?</w:t>
      </w:r>
      <w:r>
        <w:t xml:space="preserve">  </w:t>
      </w:r>
      <w:r>
        <w:t>A 0–100 composite of four weighted factors: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shd w:val="clear" w:color="auto" w:fill="1F4E79"/>
          </w:tcPr>
          <w:p>
            <w:pPr>
              <w:spacing w:after="40" w:before="40"/>
            </w:pPr>
            <w:r>
              <w:rPr>
                <w:b/>
                <w:color w:val="FFFFFF"/>
                <w:sz w:val="19"/>
              </w:rPr>
              <w:t>Factor</w:t>
            </w:r>
          </w:p>
        </w:tc>
        <w:tc>
          <w:tcPr>
            <w:tcW w:type="dxa" w:w="3216"/>
            <w:shd w:val="clear" w:color="auto" w:fill="1F4E79"/>
          </w:tcPr>
          <w:p>
            <w:pPr>
              <w:spacing w:after="40" w:before="40"/>
            </w:pPr>
            <w:r>
              <w:rPr>
                <w:b/>
                <w:color w:val="FFFFFF"/>
                <w:sz w:val="19"/>
              </w:rPr>
              <w:t>Weight</w:t>
            </w:r>
          </w:p>
        </w:tc>
        <w:tc>
          <w:tcPr>
            <w:tcW w:type="dxa" w:w="3216"/>
            <w:shd w:val="clear" w:color="auto" w:fill="1F4E79"/>
          </w:tcPr>
          <w:p>
            <w:pPr>
              <w:spacing w:after="40" w:before="40"/>
            </w:pPr>
            <w:r>
              <w:rPr>
                <w:b/>
                <w:color w:val="FFFFFF"/>
                <w:sz w:val="19"/>
              </w:rPr>
              <w:t>Idea</w:t>
            </w:r>
          </w:p>
        </w:tc>
      </w:tr>
      <w:tr>
        <w:tc>
          <w:tcPr>
            <w:tcW w:type="dxa" w:w="3216"/>
          </w:tcPr>
          <w:p>
            <w:pPr>
              <w:spacing w:after="40" w:before="40"/>
            </w:pPr>
            <w:r>
              <w:rPr>
                <w:sz w:val="19"/>
              </w:rPr>
              <w:t>Stage progress</w:t>
            </w:r>
          </w:p>
        </w:tc>
        <w:tc>
          <w:tcPr>
            <w:tcW w:type="dxa" w:w="3216"/>
          </w:tcPr>
          <w:p>
            <w:pPr>
              <w:spacing w:after="40" w:before="40"/>
            </w:pPr>
            <w:r>
              <w:rPr>
                <w:sz w:val="19"/>
              </w:rPr>
              <w:t>30%</w:t>
            </w:r>
          </w:p>
        </w:tc>
        <w:tc>
          <w:tcPr>
            <w:tcW w:type="dxa" w:w="3216"/>
          </w:tcPr>
          <w:p>
            <w:pPr>
              <w:spacing w:after="40" w:before="40"/>
            </w:pPr>
            <w:r>
              <w:rPr>
                <w:sz w:val="19"/>
              </w:rPr>
              <w:t>Further along = healthier</w:t>
            </w:r>
          </w:p>
        </w:tc>
      </w:tr>
      <w:tr>
        <w:tc>
          <w:tcPr>
            <w:tcW w:type="dxa" w:w="3216"/>
            <w:shd w:val="clear" w:color="auto" w:fill="EEF3F9"/>
          </w:tcPr>
          <w:p>
            <w:pPr>
              <w:spacing w:after="40" w:before="40"/>
            </w:pPr>
            <w:r>
              <w:rPr>
                <w:sz w:val="19"/>
              </w:rPr>
              <w:t>Recency</w:t>
            </w:r>
          </w:p>
        </w:tc>
        <w:tc>
          <w:tcPr>
            <w:tcW w:type="dxa" w:w="3216"/>
            <w:shd w:val="clear" w:color="auto" w:fill="EEF3F9"/>
          </w:tcPr>
          <w:p>
            <w:pPr>
              <w:spacing w:after="40" w:before="40"/>
            </w:pPr>
            <w:r>
              <w:rPr>
                <w:sz w:val="19"/>
              </w:rPr>
              <w:t>30%</w:t>
            </w:r>
          </w:p>
        </w:tc>
        <w:tc>
          <w:tcPr>
            <w:tcW w:type="dxa" w:w="3216"/>
            <w:shd w:val="clear" w:color="auto" w:fill="EEF3F9"/>
          </w:tcPr>
          <w:p>
            <w:pPr>
              <w:spacing w:after="40" w:before="40"/>
            </w:pPr>
            <w:r>
              <w:rPr>
                <w:sz w:val="19"/>
              </w:rPr>
              <w:t>Recently touched = healthier</w:t>
            </w:r>
          </w:p>
        </w:tc>
      </w:tr>
      <w:tr>
        <w:tc>
          <w:tcPr>
            <w:tcW w:type="dxa" w:w="3216"/>
          </w:tcPr>
          <w:p>
            <w:pPr>
              <w:spacing w:after="40" w:before="40"/>
            </w:pPr>
            <w:r>
              <w:rPr>
                <w:sz w:val="19"/>
              </w:rPr>
              <w:t>Deal completeness</w:t>
            </w:r>
          </w:p>
        </w:tc>
        <w:tc>
          <w:tcPr>
            <w:tcW w:type="dxa" w:w="3216"/>
          </w:tcPr>
          <w:p>
            <w:pPr>
              <w:spacing w:after="40" w:before="40"/>
            </w:pPr>
            <w:r>
              <w:rPr>
                <w:sz w:val="19"/>
              </w:rPr>
              <w:t>20%</w:t>
            </w:r>
          </w:p>
        </w:tc>
        <w:tc>
          <w:tcPr>
            <w:tcW w:type="dxa" w:w="3216"/>
          </w:tcPr>
          <w:p>
            <w:pPr>
              <w:spacing w:after="40" w:before="40"/>
            </w:pPr>
            <w:r>
              <w:rPr>
                <w:sz w:val="19"/>
              </w:rPr>
              <w:t>More fields filled = healthier</w:t>
            </w:r>
          </w:p>
        </w:tc>
      </w:tr>
      <w:tr>
        <w:tc>
          <w:tcPr>
            <w:tcW w:type="dxa" w:w="3216"/>
            <w:shd w:val="clear" w:color="auto" w:fill="EEF3F9"/>
          </w:tcPr>
          <w:p>
            <w:pPr>
              <w:spacing w:after="40" w:before="40"/>
            </w:pPr>
            <w:r>
              <w:rPr>
                <w:sz w:val="19"/>
              </w:rPr>
              <w:t>Value confidence</w:t>
            </w:r>
          </w:p>
        </w:tc>
        <w:tc>
          <w:tcPr>
            <w:tcW w:type="dxa" w:w="3216"/>
            <w:shd w:val="clear" w:color="auto" w:fill="EEF3F9"/>
          </w:tcPr>
          <w:p>
            <w:pPr>
              <w:spacing w:after="40" w:before="40"/>
            </w:pPr>
            <w:r>
              <w:rPr>
                <w:sz w:val="19"/>
              </w:rPr>
              <w:t>20%</w:t>
            </w:r>
          </w:p>
        </w:tc>
        <w:tc>
          <w:tcPr>
            <w:tcW w:type="dxa" w:w="3216"/>
            <w:shd w:val="clear" w:color="auto" w:fill="EEF3F9"/>
          </w:tcPr>
          <w:p>
            <w:pPr>
              <w:spacing w:after="40" w:before="40"/>
            </w:pPr>
            <w:r>
              <w:rPr>
                <w:sz w:val="19"/>
              </w:rPr>
              <w:t>Pricing/duration/rate filled = healthier</w:t>
            </w:r>
          </w:p>
        </w:tc>
      </w:tr>
    </w:tbl>
    <w:p>
      <w:pPr>
        <w:spacing w:after="40"/>
      </w:pPr>
    </w:p>
    <w:p>
      <w:r>
        <w:t xml:space="preserve">Buckets: </w:t>
      </w:r>
      <w:r>
        <w:rPr>
          <w:b/>
        </w:rPr>
        <w:t>&gt; 70 healthy, 40–70 at‑risk, ≤ 40 critical.</w:t>
      </w:r>
      <w:r>
        <w:t xml:space="preserve"> Closed Won is always 100%; Closed Lost is always 0%.</w:t>
      </w:r>
    </w:p>
    <w:p>
      <w:pPr>
        <w:spacing w:before="160"/>
      </w:pPr>
      <w:r>
        <w:rPr>
          <w:b/>
          <w:color w:val="1F4E79"/>
          <w:sz w:val="22"/>
        </w:rPr>
        <w:t>Q: When is a deal "stalled"?</w:t>
      </w:r>
      <w:r>
        <w:t xml:space="preserve">  </w:t>
      </w:r>
      <w:r>
        <w:t xml:space="preserve">When it has sat in the same stage for </w:t>
      </w:r>
      <w:r>
        <w:rPr>
          <w:b/>
        </w:rPr>
        <w:t>more than 30 days</w:t>
      </w:r>
      <w:r>
        <w:t xml:space="preserve"> and is not already Closed Won / Closed Lost. Stalled deals are flagged on the dashboard and lock certain edits ("On Hold").</w:t>
      </w:r>
    </w:p>
    <w:p>
      <w:pPr>
        <w:spacing w:before="160"/>
      </w:pPr>
      <w:r>
        <w:rPr>
          <w:b/>
          <w:color w:val="1F4E79"/>
          <w:sz w:val="22"/>
        </w:rPr>
        <w:t>Q: Does everyone see the same dashboard numbers?</w:t>
      </w:r>
      <w:r>
        <w:t xml:space="preserve">  </w:t>
      </w:r>
      <w:r>
        <w:t>The dashboard is scoped to what your role/account can see. Sales‑type users see their own book of business in "Your Pending Actions"; Managers and Management see broader, oversight‑level aggregates. Read‑Only users can view but not act.</w:t>
      </w:r>
    </w:p>
    <w:p>
      <w:pPr>
        <w:spacing w:before="160"/>
      </w:pPr>
      <w:r>
        <w:rPr>
          <w:b/>
          <w:color w:val="1F4E79"/>
          <w:sz w:val="22"/>
        </w:rPr>
        <w:t>Q: Is there a separate Analytics page?</w:t>
      </w:r>
      <w:r>
        <w:t xml:space="preserve">  </w:t>
      </w:r>
      <w:r>
        <w:t xml:space="preserve">Yes — </w:t>
      </w:r>
      <w:r>
        <w:rPr>
          <w:rFonts w:ascii="Consolas" w:hAnsi="Consolas"/>
          <w:color w:val="0B3D2E"/>
          <w:sz w:val="20"/>
          <w:shd w:val="clear" w:color="auto" w:fill="EEF1F4"/>
        </w:rPr>
        <w:t>/dashboard/analytics</w:t>
      </w:r>
      <w:r>
        <w:t xml:space="preserve"> provides deeper, tabbed reporting (Dashboard, Pipeline Metrics, Resource &amp; Pre‑Sales, Sales &amp; Conversion) with exportable charts for Managers and Management.</w:t>
      </w:r>
    </w:p>
    <w:p>
      <w:pPr>
        <w:keepNext/>
        <w:spacing w:before="280" w:after="120"/>
      </w:pPr>
      <w:r>
        <w:rPr>
          <w:b/>
          <w:color w:val="2E74B5"/>
          <w:sz w:val="30"/>
        </w:rPr>
        <w:t>10. Notifications &amp; Email</w:t>
      </w:r>
    </w:p>
    <w:p>
      <w:pPr>
        <w:spacing w:before="160"/>
      </w:pPr>
      <w:r>
        <w:rPr>
          <w:b/>
          <w:color w:val="1F4E79"/>
          <w:sz w:val="22"/>
        </w:rPr>
        <w:t>Q: When does the system notify people?</w:t>
      </w:r>
      <w:r>
        <w:t xml:space="preserve">  </w:t>
      </w:r>
      <w:r>
        <w:t>Notifications fire on key transitions and conditions, e.g.:</w:t>
      </w:r>
    </w:p>
    <w:p>
      <w:pPr>
        <w:pStyle w:val="ListBullet"/>
        <w:spacing w:after="40"/>
        <w:ind w:left="432"/>
      </w:pPr>
      <w:r>
        <w:t>Stage changes (moved to Presales, moved to Sales, etc.)</w:t>
      </w:r>
    </w:p>
    <w:p>
      <w:pPr>
        <w:pStyle w:val="ListBullet"/>
        <w:spacing w:after="40"/>
        <w:ind w:left="432"/>
      </w:pPr>
      <w:r>
        <w:t>Re‑estimate requests ("sent back to re‑estimate") and presales resubmissions</w:t>
      </w:r>
    </w:p>
    <w:p>
      <w:pPr>
        <w:pStyle w:val="ListBullet"/>
        <w:spacing w:after="40"/>
        <w:ind w:left="432"/>
      </w:pPr>
      <w:r>
        <w:t>Approvals (GOM, discount, SOW steps), including escalations</w:t>
      </w:r>
    </w:p>
    <w:p>
      <w:pPr>
        <w:pStyle w:val="ListBullet"/>
        <w:spacing w:after="40"/>
        <w:ind w:left="432"/>
      </w:pPr>
      <w:r>
        <w:t>Stalled deals and health drops</w:t>
      </w:r>
    </w:p>
    <w:p>
      <w:pPr>
        <w:spacing w:before="160"/>
      </w:pPr>
      <w:r>
        <w:rPr>
          <w:b/>
          <w:color w:val="1F4E79"/>
          <w:sz w:val="22"/>
        </w:rPr>
        <w:t>Q: In‑app vs. email — what's the difference?</w:t>
      </w:r>
    </w:p>
    <w:p>
      <w:pPr>
        <w:pStyle w:val="ListBullet"/>
        <w:spacing w:after="40"/>
        <w:ind w:left="432"/>
      </w:pPr>
      <w:r>
        <w:rPr>
          <w:b/>
        </w:rPr>
        <w:t>In‑app</w:t>
      </w:r>
      <w:r>
        <w:t xml:space="preserve"> notifications appear in the app for the relevant users and are always delivered.</w:t>
      </w:r>
    </w:p>
    <w:p>
      <w:pPr>
        <w:pStyle w:val="ListBullet"/>
        <w:spacing w:after="40"/>
        <w:ind w:left="432"/>
      </w:pPr>
      <w:r>
        <w:rPr>
          <w:b/>
        </w:rPr>
        <w:t>Email</w:t>
      </w:r>
      <w:r>
        <w:t xml:space="preserve"> notifications use configurable templates and can be </w:t>
      </w:r>
      <w:r>
        <w:rPr>
          <w:b/>
        </w:rPr>
        <w:t>muted per user</w:t>
      </w:r>
      <w:r>
        <w:t xml:space="preserve"> (Admin toggles this in Settings → Users). Muting affects email only, never in‑app.</w:t>
      </w:r>
    </w:p>
    <w:p>
      <w:pPr>
        <w:spacing w:before="160"/>
      </w:pPr>
      <w:r>
        <w:rPr>
          <w:b/>
          <w:color w:val="1F4E79"/>
          <w:sz w:val="22"/>
        </w:rPr>
        <w:t>Q: Will test/UAT environments email real clients?</w:t>
      </w:r>
      <w:r>
        <w:t xml:space="preserve">  </w:t>
      </w:r>
      <w:r>
        <w:t>No. Non‑production environments (QA/UAT) never send email to real recipients — outbound mail is contained so testing can't reach live contacts.</w:t>
      </w:r>
    </w:p>
    <w:p>
      <w:pPr>
        <w:keepNext/>
        <w:spacing w:before="280" w:after="120"/>
      </w:pPr>
      <w:r>
        <w:rPr>
          <w:b/>
          <w:color w:val="2E74B5"/>
          <w:sz w:val="30"/>
        </w:rPr>
        <w:t>11. Troubleshooting</w:t>
      </w:r>
    </w:p>
    <w:p>
      <w:pPr>
        <w:spacing w:before="160"/>
      </w:pPr>
      <w:r>
        <w:rPr>
          <w:b/>
          <w:color w:val="1F4E79"/>
          <w:sz w:val="22"/>
        </w:rPr>
        <w:t>Q: I can't click "Move to Sales" — why?</w:t>
      </w:r>
      <w:r>
        <w:t xml:space="preserve">  </w:t>
      </w:r>
      <w:r>
        <w:t xml:space="preserve">Common reasons: (a) the estimation/GOM isn't complete or hasn't passed the </w:t>
      </w:r>
      <w:r>
        <w:rPr>
          <w:b/>
        </w:rPr>
        <w:t>GOM approval gate</w:t>
      </w:r>
      <w:r>
        <w:t xml:space="preserve">; (b) the deal is fixed‑price and is missing the required </w:t>
      </w:r>
      <w:r>
        <w:rPr>
          <w:b/>
        </w:rPr>
        <w:t>SOW</w:t>
      </w:r>
      <w:r>
        <w:t xml:space="preserve"> (T&amp;M deals are exempt); (c) your active role doesn't have presales/sales permission; or (d) the deal is locked (Lost/Stalled/On Hold).</w:t>
      </w:r>
    </w:p>
    <w:p>
      <w:pPr>
        <w:spacing w:before="160"/>
      </w:pPr>
      <w:r>
        <w:rPr>
          <w:b/>
          <w:color w:val="1F4E79"/>
          <w:sz w:val="22"/>
        </w:rPr>
        <w:t>Q: The fields are read‑only and I can't edit the pipeline.</w:t>
      </w:r>
      <w:r>
        <w:t xml:space="preserve">  </w:t>
      </w:r>
      <w:r>
        <w:t xml:space="preserve">The deal has likely advanced past the Pipeline step, is in </w:t>
      </w:r>
      <w:r>
        <w:rPr>
          <w:b/>
        </w:rPr>
        <w:t>Negotiation</w:t>
      </w:r>
      <w:r>
        <w:t xml:space="preserve">, is </w:t>
      </w:r>
      <w:r>
        <w:rPr>
          <w:b/>
        </w:rPr>
        <w:t>Stalled/On Hold</w:t>
      </w:r>
      <w:r>
        <w:t xml:space="preserve">, or has been </w:t>
      </w:r>
      <w:r>
        <w:rPr>
          <w:b/>
        </w:rPr>
        <w:t>converted to a project</w:t>
      </w:r>
      <w:r>
        <w:t xml:space="preserve"> — all of which lock the baseline. Editing earlier‑step fields is only possible while the deal is still in that step.</w:t>
      </w:r>
    </w:p>
    <w:p>
      <w:pPr>
        <w:spacing w:before="160"/>
      </w:pPr>
      <w:r>
        <w:rPr>
          <w:b/>
          <w:color w:val="1F4E79"/>
          <w:sz w:val="22"/>
        </w:rPr>
        <w:t>Q: A deal went "backward" from Proposal to Qualification — is that a bug?</w:t>
      </w:r>
      <w:r>
        <w:t xml:space="preserve">  </w:t>
      </w:r>
      <w:r>
        <w:t xml:space="preserve">No. That's the </w:t>
      </w:r>
      <w:r>
        <w:rPr>
          <w:b/>
        </w:rPr>
        <w:t>Re‑estimate loop</w:t>
      </w:r>
      <w:r>
        <w:t>: someone in Sales sent it back to Presales to re‑estimate. The GOM approval is reset and the re‑estimate counter goes up. It will return to Proposal after Presales resubmits.</w:t>
      </w:r>
    </w:p>
    <w:p>
      <w:pPr>
        <w:spacing w:before="160"/>
      </w:pPr>
      <w:r>
        <w:rPr>
          <w:b/>
          <w:color w:val="1F4E79"/>
          <w:sz w:val="22"/>
        </w:rPr>
        <w:t>Q: My discount needs approval but I expected it to go through.</w:t>
      </w:r>
      <w:r>
        <w:t xml:space="preserve">  </w:t>
      </w:r>
      <w:r>
        <w:t>Discounts auto‑approve unless they cross the guardrail (</w:t>
      </w:r>
      <w:r>
        <w:rPr>
          <w:b/>
        </w:rPr>
        <w:t>&gt; 15% discount AND &lt; 20% margin</w:t>
      </w:r>
      <w:r>
        <w:t xml:space="preserve">), in which case the </w:t>
      </w:r>
      <w:r>
        <w:rPr>
          <w:b/>
        </w:rPr>
        <w:t>Finance Manager</w:t>
      </w:r>
      <w:r>
        <w:t xml:space="preserve"> must approve. Adjust the discount/margin or wait for approval.</w:t>
      </w:r>
    </w:p>
    <w:p>
      <w:pPr>
        <w:spacing w:before="160"/>
      </w:pPr>
      <w:r>
        <w:rPr>
          <w:b/>
          <w:color w:val="1F4E79"/>
          <w:sz w:val="22"/>
        </w:rPr>
        <w:t>Q: The dashboard numbers look stale.</w:t>
      </w:r>
      <w:r>
        <w:t xml:space="preserve">  </w:t>
      </w:r>
      <w:r>
        <w:t>The dashboard refetches when the browser tab regains focus (and on load). Switch away and back, or refresh, to force an update. Note that "Projected," "Closed," and "Pipeline" values are computed from the same backend aggregate, so they stay consistent with reporting.</w:t>
      </w:r>
    </w:p>
    <w:p>
      <w:pPr>
        <w:spacing w:before="160"/>
      </w:pPr>
      <w:r>
        <w:rPr>
          <w:b/>
          <w:color w:val="1F4E79"/>
          <w:sz w:val="22"/>
        </w:rPr>
        <w:t>Q: I don't see the SOW chain / approval I expected.</w:t>
      </w:r>
      <w:r>
        <w:t xml:space="preserve">  </w:t>
      </w:r>
      <w:r>
        <w:t xml:space="preserve">SOW approval steps are </w:t>
      </w:r>
      <w:r>
        <w:rPr>
          <w:b/>
        </w:rPr>
        <w:t>configurable</w:t>
      </w:r>
      <w:r>
        <w:t xml:space="preserve"> (reviewer roles, required/optional, escalation timers). If a step looks missing, it may be marked optional or your role isn't a reviewer on that step. Admins/Managers configure the chain.</w:t>
      </w:r>
    </w:p>
    <w:p>
      <w:pPr>
        <w:keepNext/>
        <w:spacing w:before="200" w:after="80"/>
      </w:pPr>
      <w:r>
        <w:rPr>
          <w:b/>
          <w:color w:val="375E97"/>
          <w:sz w:val="25"/>
        </w:rPr>
        <w:t>Quick reference — the happy path</w:t>
      </w:r>
    </w:p>
    <w:p>
      <w:pPr>
        <w:spacing w:before="80" w:after="160" w:line="240" w:lineRule="auto"/>
        <w:shd w:val="clear" w:color="auto" w:fill="F2F4F7"/>
        <w:pBdr>
          <w:top w:val="single" w:sz="6" w:space="6" w:color="D0D7DE"/>
          <w:left w:val="single" w:sz="6" w:space="6" w:color="D0D7DE"/>
          <w:bottom w:val="single" w:sz="6" w:space="6" w:color="D0D7DE"/>
          <w:right w:val="single" w:sz="6" w:space="6" w:color="D0D7DE"/>
        </w:pBdr>
        <w:ind w:left="120" w:right="120"/>
      </w:pPr>
      <w:r>
        <w:rPr>
          <w:rFonts w:ascii="Consolas" w:hAnsi="Consolas" w:cs="Consolas"/>
          <w:color w:val="0B3D2E"/>
          <w:sz w:val="17"/>
        </w:rPr>
        <w:t>1. Create opportunity (Sales)            → Pipeline / Discovery</w:t>
        <w:br/>
      </w:r>
      <w:r>
        <w:rPr>
          <w:rFonts w:ascii="Consolas" w:hAnsi="Consolas" w:cs="Consolas"/>
          <w:color w:val="0B3D2E"/>
          <w:sz w:val="17"/>
        </w:rPr>
        <w:t>2. Fill project details, Move to Presales</w:t>
        <w:br/>
      </w:r>
      <w:r>
        <w:rPr>
          <w:rFonts w:ascii="Consolas" w:hAnsi="Consolas" w:cs="Consolas"/>
          <w:color w:val="0B3D2E"/>
          <w:sz w:val="17"/>
        </w:rPr>
        <w:t>3. Presales estimates + GOM              → Qualification</w:t>
        <w:br/>
      </w:r>
      <w:r>
        <w:rPr>
          <w:rFonts w:ascii="Consolas" w:hAnsi="Consolas" w:cs="Consolas"/>
          <w:color w:val="0B3D2E"/>
          <w:sz w:val="17"/>
        </w:rPr>
        <w:t>4. GOM approved (auto or Manager)        → gate passes</w:t>
        <w:br/>
      </w:r>
      <w:r>
        <w:rPr>
          <w:rFonts w:ascii="Consolas" w:hAnsi="Consolas" w:cs="Consolas"/>
          <w:color w:val="0B3D2E"/>
          <w:sz w:val="17"/>
        </w:rPr>
        <w:t>5. Move to Sales                         → Proposal</w:t>
        <w:br/>
      </w:r>
      <w:r>
        <w:rPr>
          <w:rFonts w:ascii="Consolas" w:hAnsi="Consolas" w:cs="Consolas"/>
          <w:color w:val="0B3D2E"/>
          <w:sz w:val="17"/>
        </w:rPr>
        <w:t>6. Build &amp; send proposal, negotiate      → Negotiation</w:t>
        <w:br/>
      </w:r>
      <w:r>
        <w:rPr>
          <w:rFonts w:ascii="Consolas" w:hAnsi="Consolas" w:cs="Consolas"/>
          <w:color w:val="0B3D2E"/>
          <w:sz w:val="17"/>
        </w:rPr>
        <w:t xml:space="preserve">   (Discount &gt; 15% &amp; margin &lt; 20%? Finance approves)</w:t>
        <w:br/>
      </w:r>
      <w:r>
        <w:rPr>
          <w:rFonts w:ascii="Consolas" w:hAnsi="Consolas" w:cs="Consolas"/>
          <w:color w:val="0B3D2E"/>
          <w:sz w:val="17"/>
        </w:rPr>
        <w:t>7. SOW drafted, reviewed, signed (fixed-price; T&amp;M exempt)</w:t>
        <w:br/>
      </w:r>
      <w:r>
        <w:rPr>
          <w:rFonts w:ascii="Consolas" w:hAnsi="Consolas" w:cs="Consolas"/>
          <w:color w:val="0B3D2E"/>
          <w:sz w:val="17"/>
        </w:rPr>
        <w:t>8. Move to Project (Won)                 → Closed Won + Project created</w:t>
      </w:r>
    </w:p>
    <w:p>
      <w:pPr>
        <w:shd w:val="clear" w:color="auto" w:fill="F4F8FB"/>
        <w:pBdr>
          <w:top w:val="single" w:sz="6" w:space="6" w:color="9CC3E5"/>
          <w:left w:val="single" w:sz="6" w:space="6" w:color="9CC3E5"/>
          <w:bottom w:val="single" w:sz="6" w:space="6" w:color="9CC3E5"/>
          <w:right w:val="single" w:sz="6" w:space="6" w:color="9CC3E5"/>
        </w:pBdr>
        <w:spacing w:before="80" w:after="160"/>
        <w:ind w:left="160" w:right="160"/>
      </w:pPr>
      <w:r>
        <w:rPr>
          <w:i/>
          <w:color w:val="1F4E79"/>
        </w:rPr>
        <w:t>Found something in this FAQ that doesn't match what you see in the app? The app is the source of truth — flag it and we'll update this document.</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6"/>
        <w:sz w:val="16"/>
      </w:rPr>
      <w:t xml:space="preserve">Q-CRM — Opportunity Workflow &amp; Dashboard FAQ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