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31/03/2014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ΚΟΚΟΣΑΛΗ</w:t>
      </w:r>
      <w:bookmarkEnd w:id="1"/>
      <w:r>
        <w:t xml:space="preserve"> </w:t>
      </w:r>
      <w:bookmarkStart w:id="2" w:name="name"/>
      <w:r w:rsidRPr="006A1C11">
        <w:t>ΕΛΕΝΗ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ΚΩΝΣΤΑΝΤΙΝΟΣ</w:t>
      </w:r>
      <w:bookmarkEnd w:id="3"/>
      <w:r>
        <w:t xml:space="preserve">), κλάδου </w:t>
      </w:r>
      <w:bookmarkStart w:id="4" w:name="klados"/>
      <w:r w:rsidRPr="006A1C11">
        <w:t>ΠΕ06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619702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Ε</w:t>
      </w:r>
      <w:r>
        <w:t xml:space="preserve"> και Μ.Κ.</w:t>
      </w:r>
      <w:r w:rsidRPr="006A1C11">
        <w:t xml:space="preserve"> 2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Αρκαλοχωρίου 2ο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775 / 20-08-2008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21/08/2008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31/03/2014</w:t>
      </w:r>
      <w:r>
        <w:t xml:space="preserve"> είναι:</w:t>
      </w:r>
      <w:r w:rsidRPr="006A1C11">
        <w:t xml:space="preserve"> Έτη: 7   Μήνες: 6   Ημέρες: 22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