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Entity Resolution / Record Linkage</w:t>
        <w:br/>
      </w:r>
      <w:r>
        <w:rPr>
          <w:color w:val="595959"/>
          <w:sz w:val="30"/>
        </w:rPr>
        <w:t>Practical Solution Design for the S1 ↔ S2/S3 Matching Task</w:t>
      </w:r>
    </w:p>
    <w:p>
      <w:pPr>
        <w:jc w:val="center"/>
      </w:pPr>
      <w:r>
        <w:rPr>
          <w:b/>
          <w:sz w:val="22"/>
        </w:rPr>
        <w:t>Focus: maximizing macro F₀.₅ while avoiding false merges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Borders>
              <w:left w:val="single" w:sz="18" w:color="C9A227"/>
            </w:tcBorders>
          </w:tcPr>
          <w:p>
            <w:r>
              <w:rPr>
                <w:b/>
              </w:rPr>
              <w:t xml:space="preserve">Core idea: </w:t>
            </w:r>
            <w:r>
              <w:t>Treat the problem as retrieval + pairwise verification, not as “find the closest row”. Candidate generation should maximize recall; final decision logic should be conservative because the scoring metric is precision-weighted.</w:t>
            </w:r>
          </w:p>
        </w:tc>
      </w:tr>
    </w:tbl>
    <w:p/>
    <w:p>
      <w:pPr>
        <w:pStyle w:val="Heading1"/>
      </w:pPr>
      <w:r>
        <w:t>1. Problem and Dataset</w:t>
      </w:r>
    </w:p>
    <w:p>
      <w:r>
        <w:t>We are given a Source 1 table and matching candidate records from Source 2 and Source 3. For every Source 1 entity, the system must output the IDs of matching Source 2/3 entities. A Source 1 entity can have zero, one, or multiple matches.</w:t>
      </w:r>
    </w:p>
    <w:p>
      <w:pPr>
        <w:pStyle w:val="Heading2"/>
      </w:pPr>
      <w:r>
        <w:t>1.1 Data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Important implication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7"/>
              </w:rPr>
              <w:t>entity_id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Unique record identifier; prefix S1-, S2-, or S3- indicates source.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There is no separate source column. Source must be inferred from the ID prefix and file membership.</w:t>
            </w:r>
          </w:p>
        </w:tc>
      </w:tr>
      <w:tr>
        <w:tc>
          <w:tcPr>
            <w:tcW w:type="dxa" w:w="1800"/>
            <w:shd w:fill="F2F6F9"/>
            <w:vAlign w:val="top"/>
          </w:tcPr>
          <w:p>
            <w:r>
              <w:rPr>
                <w:sz w:val="17"/>
              </w:rPr>
              <w:t>business_name</w:t>
            </w:r>
          </w:p>
        </w:tc>
        <w:tc>
          <w:tcPr>
            <w:tcW w:type="dxa" w:w="4320"/>
            <w:shd w:fill="F2F6F9"/>
            <w:vAlign w:val="top"/>
          </w:tcPr>
          <w:p>
            <w:r>
              <w:rPr>
                <w:sz w:val="17"/>
              </w:rPr>
              <w:t>Business/entity name; can include abbreviations, legal suffixes, typos, transliterations.</w:t>
            </w:r>
          </w:p>
        </w:tc>
        <w:tc>
          <w:tcPr>
            <w:tcW w:type="dxa" w:w="3888"/>
            <w:shd w:fill="F2F6F9"/>
            <w:vAlign w:val="top"/>
          </w:tcPr>
          <w:p>
            <w:r>
              <w:rPr>
                <w:sz w:val="17"/>
              </w:rPr>
              <w:t>Needs normalization + character/token/semantic similarity.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7"/>
              </w:rPr>
              <w:t>business_address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Business address; can be partial, reformatted, incomplete, or landmark-based.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Address matching is noisy and should be multi-signal rather than exact only.</w:t>
            </w:r>
          </w:p>
        </w:tc>
      </w:tr>
      <w:tr>
        <w:tc>
          <w:tcPr>
            <w:tcW w:type="dxa" w:w="1800"/>
            <w:shd w:fill="F2F6F9"/>
            <w:vAlign w:val="top"/>
          </w:tcPr>
          <w:p>
            <w:r>
              <w:rPr>
                <w:sz w:val="17"/>
              </w:rPr>
              <w:t>country</w:t>
            </w:r>
          </w:p>
        </w:tc>
        <w:tc>
          <w:tcPr>
            <w:tcW w:type="dxa" w:w="4320"/>
            <w:shd w:fill="F2F6F9"/>
            <w:vAlign w:val="top"/>
          </w:tcPr>
          <w:p>
            <w:r>
              <w:rPr>
                <w:sz w:val="17"/>
              </w:rPr>
              <w:t>Country string label. Training covers US/India; test additionally contains France.</w:t>
            </w:r>
          </w:p>
        </w:tc>
        <w:tc>
          <w:tcPr>
            <w:tcW w:type="dxa" w:w="3888"/>
            <w:shd w:fill="F2F6F9"/>
            <w:vAlign w:val="top"/>
          </w:tcPr>
          <w:p>
            <w:r>
              <w:rPr>
                <w:sz w:val="17"/>
              </w:rPr>
              <w:t>Treat as an open-set string feature; never hard-code a US/India-only pipeline.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7"/>
              </w:rPr>
              <w:t>train_ground_truth.tsv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source1_entity_id + matched_entity_ids (comma-separated; empty means no match).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Training labels are naturally converted into positive/negative record pairs.</w:t>
            </w:r>
          </w:p>
        </w:tc>
      </w:tr>
    </w:tbl>
    <w:p/>
    <w:p>
      <w:pPr>
        <w:pStyle w:val="Heading2"/>
      </w:pPr>
      <w:r>
        <w:t>1.2 Example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entity_id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business_name</w:t>
            </w:r>
          </w:p>
        </w:tc>
        <w:tc>
          <w:tcPr>
            <w:tcW w:type="dxa" w:w="48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business_address</w:t>
            </w:r>
          </w:p>
        </w:tc>
        <w:tc>
          <w:tcPr>
            <w:tcW w:type="dxa" w:w="10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country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S1-925783039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Orelee's Barbershop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1795 Westchester Drive, High Point, NC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US</w:t>
            </w:r>
          </w:p>
        </w:tc>
      </w:tr>
      <w:tr>
        <w:tc>
          <w:tcPr>
            <w:tcW w:type="dxa" w:w="1872"/>
            <w:shd w:fill="F2F6F9"/>
            <w:vAlign w:val="top"/>
          </w:tcPr>
          <w:p>
            <w:r>
              <w:rPr>
                <w:sz w:val="16"/>
              </w:rPr>
              <w:t>S1-773889195</w:t>
            </w:r>
          </w:p>
        </w:tc>
        <w:tc>
          <w:tcPr>
            <w:tcW w:type="dxa" w:w="2160"/>
            <w:shd w:fill="F2F6F9"/>
            <w:vAlign w:val="top"/>
          </w:tcPr>
          <w:p>
            <w:r>
              <w:rPr>
                <w:sz w:val="16"/>
              </w:rPr>
              <w:t>Prime Money</w:t>
            </w:r>
          </w:p>
        </w:tc>
        <w:tc>
          <w:tcPr>
            <w:tcW w:type="dxa" w:w="4896"/>
            <w:shd w:fill="F2F6F9"/>
            <w:vAlign w:val="top"/>
          </w:tcPr>
          <w:p>
            <w:r>
              <w:rPr>
                <w:sz w:val="16"/>
              </w:rPr>
              <w:t>17560 Ellis Road, Tahlequah, OK</w:t>
            </w:r>
          </w:p>
        </w:tc>
        <w:tc>
          <w:tcPr>
            <w:tcW w:type="dxa" w:w="1008"/>
            <w:shd w:fill="F2F6F9"/>
            <w:vAlign w:val="top"/>
          </w:tcPr>
          <w:p>
            <w:r>
              <w:rPr>
                <w:sz w:val="16"/>
              </w:rPr>
              <w:t>US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S1-377745466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B+ Retail Inc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1712 Montebello Avenue, Phoenix, AZ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US</w:t>
            </w:r>
          </w:p>
        </w:tc>
      </w:tr>
      <w:tr>
        <w:tc>
          <w:tcPr>
            <w:tcW w:type="dxa" w:w="1872"/>
            <w:shd w:fill="F2F6F9"/>
            <w:vAlign w:val="top"/>
          </w:tcPr>
          <w:p>
            <w:r>
              <w:rPr>
                <w:sz w:val="16"/>
              </w:rPr>
              <w:t>S1-133037285</w:t>
            </w:r>
          </w:p>
        </w:tc>
        <w:tc>
          <w:tcPr>
            <w:tcW w:type="dxa" w:w="2160"/>
            <w:shd w:fill="F2F6F9"/>
            <w:vAlign w:val="top"/>
          </w:tcPr>
          <w:p>
            <w:r>
              <w:rPr>
                <w:sz w:val="16"/>
              </w:rPr>
              <w:t>Christ Chapel</w:t>
            </w:r>
          </w:p>
        </w:tc>
        <w:tc>
          <w:tcPr>
            <w:tcW w:type="dxa" w:w="4896"/>
            <w:shd w:fill="F2F6F9"/>
            <w:vAlign w:val="top"/>
          </w:tcPr>
          <w:p>
            <w:r>
              <w:rPr>
                <w:sz w:val="16"/>
              </w:rPr>
              <w:t>2100 Cameron Drive, Unit APARTMENT G, Dundalk, MD</w:t>
            </w:r>
          </w:p>
        </w:tc>
        <w:tc>
          <w:tcPr>
            <w:tcW w:type="dxa" w:w="1008"/>
            <w:shd w:fill="F2F6F9"/>
            <w:vAlign w:val="top"/>
          </w:tcPr>
          <w:p>
            <w:r>
              <w:rPr>
                <w:sz w:val="16"/>
              </w:rPr>
              <w:t>US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S1-755362802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Prabhav Business Center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797, Lake Town Block A, Kolkata, Howrah, West Bengal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India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Borders>
              <w:left w:val="single" w:sz="18" w:color="C9A227"/>
            </w:tcBorders>
          </w:tcPr>
          <w:p>
            <w:r>
              <w:rPr>
                <w:b/>
              </w:rPr>
              <w:t xml:space="preserve">Open-set country rule: </w:t>
            </w:r>
            <w:r>
              <w:t>Do not one-hot encode only {US, India}. Keep country as a generic categorical/string feature or hashed/target-encoded representation learned without assuming a fixed test set. The France rows must flow through exactly the same code path and must be eligible for matching.</w:t>
            </w:r>
          </w:p>
        </w:tc>
      </w:tr>
    </w:tbl>
    <w:p/>
    <w:p>
      <w:pPr>
        <w:pStyle w:val="Heading1"/>
      </w:pPr>
      <w:r>
        <w:t>2. Evaluation Metric: F₀.₅</w:t>
      </w:r>
    </w:p>
    <w:p>
      <w:r>
        <w:t>The competition screenshot specifies a precision-weighted F-score:</w:t>
      </w:r>
    </w:p>
    <w:p>
      <w:pPr>
        <w:jc w:val="center"/>
      </w:pPr>
      <w:r>
        <w:rPr>
          <w:b/>
          <w:color w:val="ED7D31"/>
          <w:sz w:val="28"/>
        </w:rPr>
        <w:t>F₀.₅ = (1.25 × Precision × Recall) / (0.25 × Precision + Recall)</w:t>
      </w:r>
    </w:p>
    <w:p>
      <w:r>
        <w:t>Interpretation: precision is more important than recall. In entity resolution this means an incorrect merge (false positive) is more damaging than a missed match (false negative). Therefore, the final decision stage should be conservative, while the candidate-generation stage should still be recall-oriented.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Error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Pipeline response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7"/>
              </w:rPr>
              <w:t>False positive / false merge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Two different businesses are declared the same.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Use stronger verification, higher threshold, ambiguity/margin checks, and exact-evidence overrides.</w:t>
            </w:r>
          </w:p>
        </w:tc>
      </w:tr>
      <w:tr>
        <w:tc>
          <w:tcPr>
            <w:tcW w:type="dxa" w:w="1944"/>
            <w:shd w:fill="F2F6F9"/>
            <w:vAlign w:val="top"/>
          </w:tcPr>
          <w:p>
            <w:r>
              <w:rPr>
                <w:sz w:val="17"/>
              </w:rPr>
              <w:t>False negative / miss</w:t>
            </w:r>
          </w:p>
        </w:tc>
        <w:tc>
          <w:tcPr>
            <w:tcW w:type="dxa" w:w="4320"/>
            <w:shd w:fill="F2F6F9"/>
            <w:vAlign w:val="top"/>
          </w:tcPr>
          <w:p>
            <w:r>
              <w:rPr>
                <w:sz w:val="17"/>
              </w:rPr>
              <w:t>A real match is not predicted.</w:t>
            </w:r>
          </w:p>
        </w:tc>
        <w:tc>
          <w:tcPr>
            <w:tcW w:type="dxa" w:w="3744"/>
            <w:shd w:fill="F2F6F9"/>
            <w:vAlign w:val="top"/>
          </w:tcPr>
          <w:p>
            <w:r>
              <w:rPr>
                <w:sz w:val="17"/>
              </w:rPr>
              <w:t>Improve blocking recall, normalization, multilingual/typo handling, and candidate retrieval.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7"/>
              </w:rPr>
              <w:t>Singleton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Source 1 has no Source 2/3 match.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Output an empty list. Never force a nearest neighbor to be a match.</w:t>
            </w:r>
          </w:p>
        </w:tc>
      </w:tr>
    </w:tbl>
    <w:p/>
    <w:p>
      <w:pPr>
        <w:pStyle w:val="Heading1"/>
      </w:pPr>
      <w:r>
        <w:t>3. Overall Architecture</w:t>
      </w:r>
    </w:p>
    <w:p>
      <w:r>
        <w:t>The target architecture is a cascade: generate a small high-recall candidate set, rank it cheaply, compute richer features only for finalists, optionally apply a transformer verifier, then make a conservative match/no-match decision.</w:t>
      </w:r>
    </w:p>
    <w:p>
      <w:r>
        <w:drawing>
          <wp:inline xmlns:a="http://schemas.openxmlformats.org/drawingml/2006/main" xmlns:pic="http://schemas.openxmlformats.org/drawingml/2006/picture">
            <wp:extent cx="64008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ity_matching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Proposed pipeline adapted to the available fields (name, address, country) and the no-external-data rule.</w:t>
      </w:r>
    </w:p>
    <w:p>
      <w:pPr>
        <w:pStyle w:val="Heading2"/>
      </w:pPr>
      <w:r>
        <w:t>3.1 Why this cascade works</w:t>
      </w:r>
    </w:p>
    <w:p>
      <w:pPr>
        <w:pStyle w:val="ListBullet"/>
        <w:spacing w:after="40"/>
      </w:pPr>
      <w:r>
        <w:t>Comparing every S1 record with every S2/S3 record is quadratic in dataset size and is wasteful.</w:t>
      </w:r>
    </w:p>
    <w:p>
      <w:pPr>
        <w:pStyle w:val="ListBullet"/>
        <w:spacing w:after="40"/>
      </w:pPr>
      <w:r>
        <w:t>Blocking/retrieval removes obviously irrelevant pairs before expensive scoring.</w:t>
      </w:r>
    </w:p>
    <w:p>
      <w:pPr>
        <w:pStyle w:val="ListBullet"/>
        <w:spacing w:after="40"/>
      </w:pPr>
      <w:r>
        <w:t>A cheap LightGBM ranker can reduce top-100 retrieval candidates to top-20 without calculating every expensive feature.</w:t>
      </w:r>
    </w:p>
    <w:p>
      <w:pPr>
        <w:pStyle w:val="ListBullet"/>
        <w:spacing w:after="40"/>
      </w:pPr>
      <w:r>
        <w:t>A rich pairwise model can combine fuzzy, semantic, and structural signals.</w:t>
      </w:r>
    </w:p>
    <w:p>
      <w:pPr>
        <w:pStyle w:val="ListBullet"/>
        <w:spacing w:after="40"/>
      </w:pPr>
      <w:r>
        <w:t>A final threshold/rejection layer can trade recall for precision specifically for F₀.₅.</w:t>
      </w:r>
    </w:p>
    <w:p>
      <w:pPr>
        <w:pStyle w:val="Heading1"/>
      </w:pPr>
      <w:r>
        <w:t>4. Step 1 — Data Profiling and Normalization</w:t>
      </w:r>
    </w:p>
    <w:p>
      <w:r>
        <w:t>Normalization is not cosmetic. It determines whether the same business written in different formats ever receives a strong similarity score. The goal is to remove formatting noise without deleting identity information.</w:t>
      </w:r>
    </w:p>
    <w:p>
      <w:pPr>
        <w:pStyle w:val="Heading2"/>
      </w:pPr>
      <w:r>
        <w:t>4.1 Safe normalization for business names</w:t>
      </w:r>
    </w:p>
    <w:p>
      <w:pPr>
        <w:pStyle w:val="ListBullet"/>
        <w:spacing w:after="40"/>
      </w:pPr>
      <w:r>
        <w:t>Unicode normalization (e.g., NFKC) and consistent lowercase/casefolding.</w:t>
      </w:r>
    </w:p>
    <w:p>
      <w:pPr>
        <w:pStyle w:val="ListBullet"/>
        <w:spacing w:after="40"/>
      </w:pPr>
      <w:r>
        <w:t>Normalize whitespace and punctuation while retaining a raw copy.</w:t>
      </w:r>
    </w:p>
    <w:p>
      <w:pPr>
        <w:pStyle w:val="ListBullet"/>
        <w:spacing w:after="40"/>
      </w:pPr>
      <w:r>
        <w:t>Normalize obvious separators such as apostrophe variants and hyphens.</w:t>
      </w:r>
    </w:p>
    <w:p>
      <w:pPr>
        <w:pStyle w:val="ListBullet"/>
        <w:spacing w:after="40"/>
      </w:pPr>
      <w:r>
        <w:t>Build a controlled abbreviation map only from patterns visible in the provided data (for example, “co” ↔ “company” if repeatedly observed).</w:t>
      </w:r>
    </w:p>
    <w:p>
      <w:pPr>
        <w:pStyle w:val="ListBullet"/>
        <w:spacing w:after="40"/>
      </w:pPr>
      <w:r>
        <w:t>Do not strip legal suffixes blindly; keep both the raw and normalized forms because “Inc”/“Ltd” can sometimes help disambiguation.</w:t>
      </w:r>
    </w:p>
    <w:p>
      <w:pPr>
        <w:pStyle w:val="ListBullet"/>
        <w:spacing w:after="40"/>
      </w:pPr>
      <w:r>
        <w:t>Create tokenized and character-level views; each supports different retrieval methods.</w:t>
      </w:r>
    </w:p>
    <w:p>
      <w:pPr>
        <w:spacing w:before="60" w:after="160"/>
        <w:shd w:fill="F3F4F6"/>
      </w:pPr>
      <w:r>
        <w:rPr>
          <w:rFonts w:ascii="Consolas" w:hAnsi="Consolas"/>
          <w:color w:val="232323"/>
          <w:sz w:val="17"/>
        </w:rPr>
        <w:t>def normalize_text(s):</w:t>
        <w:br/>
        <w:t xml:space="preserve">    s = unicodedata.normalize("NFKC", s or "")</w:t>
        <w:br/>
        <w:t xml:space="preserve">    s = s.casefold()</w:t>
        <w:br/>
        <w:t xml:space="preserve">    s = re.sub(r"[’'`]+", "'", s)</w:t>
        <w:br/>
        <w:t xml:space="preserve">    s = re.sub(r"[^\w\s]", " ", s, flags=re.UNICODE)</w:t>
        <w:br/>
        <w:t xml:space="preserve">    s = re.sub(r"\s+", " ", s).strip()</w:t>
        <w:br/>
        <w:t xml:space="preserve">    return s</w:t>
      </w:r>
    </w:p>
    <w:p>
      <w:pPr>
        <w:pStyle w:val="Heading2"/>
      </w:pPr>
      <w:r>
        <w:t>4.2 Safe normalization for addresses</w:t>
      </w:r>
    </w:p>
    <w:p>
      <w:pPr>
        <w:pStyle w:val="ListBullet"/>
        <w:spacing w:after="40"/>
      </w:pPr>
      <w:r>
        <w:t>Normalize case, whitespace and punctuation.</w:t>
      </w:r>
    </w:p>
    <w:p>
      <w:pPr>
        <w:pStyle w:val="ListBullet"/>
        <w:spacing w:after="40"/>
      </w:pPr>
      <w:r>
        <w:t>Create normalized abbreviations where the dataset supports them: road/street/riverside/avenue style abbreviations, apartment/unit markers, etc.</w:t>
      </w:r>
    </w:p>
    <w:p>
      <w:pPr>
        <w:pStyle w:val="ListBullet"/>
        <w:spacing w:after="40"/>
      </w:pPr>
      <w:r>
        <w:t>Keep street number, unit number, postal code and locality tokens because they are highly discriminative.</w:t>
      </w:r>
    </w:p>
    <w:p>
      <w:pPr>
        <w:pStyle w:val="ListBullet"/>
        <w:spacing w:after="40"/>
      </w:pPr>
      <w:r>
        <w:t>Do not use external geocoding, address databases, maps or APIs. The challenge explicitly prohibits them.</w:t>
      </w:r>
    </w:p>
    <w:p>
      <w:pPr>
        <w:pStyle w:val="ListBullet"/>
        <w:spacing w:after="40"/>
      </w:pPr>
      <w:r>
        <w:t>Store multiple representations: full normalized address, token list, character n-grams, and extracted numeric tokens.</w:t>
      </w:r>
    </w:p>
    <w:p>
      <w:pPr>
        <w:pStyle w:val="Heading2"/>
      </w:pPr>
      <w:r>
        <w:t>4.3 Country handling</w:t>
      </w:r>
    </w:p>
    <w:p>
      <w:pPr>
        <w:pStyle w:val="ListBullet"/>
        <w:spacing w:after="40"/>
      </w:pPr>
      <w:r>
        <w:t>Never write code such as country in {"US", "India"}.</w:t>
      </w:r>
    </w:p>
    <w:p>
      <w:pPr>
        <w:pStyle w:val="ListBullet"/>
        <w:spacing w:after="40"/>
      </w:pPr>
      <w:r>
        <w:t>Never drop France because it is unseen during training.</w:t>
      </w:r>
    </w:p>
    <w:p>
      <w:pPr>
        <w:pStyle w:val="ListBullet"/>
        <w:spacing w:after="40"/>
      </w:pPr>
      <w:r>
        <w:t>Use country equality as one feature and, optionally, as a non-exclusive blocking key when both records have the same label.</w:t>
      </w:r>
    </w:p>
    <w:p>
      <w:pPr>
        <w:pStyle w:val="ListBullet"/>
        <w:spacing w:after="40"/>
      </w:pPr>
      <w:r>
        <w:t>If a country is missing/noisy, do not discard the pair solely because of country mismatch; let other evidence decide.</w:t>
      </w:r>
    </w:p>
    <w:p>
      <w:pPr>
        <w:pStyle w:val="Heading1"/>
      </w:pPr>
      <w:r>
        <w:t>5. Step 2 — Candidate Generation / Blocking</w:t>
      </w:r>
    </w:p>
    <w:p>
      <w:r>
        <w:t>Blocking determines the maximum attainable recall: if the true S1↔S2/S3 pair is never retrieved, no downstream model can recover it. Therefore blocking should be recall-oriented.</w:t>
      </w:r>
    </w:p>
    <w:p>
      <w:pPr>
        <w:pStyle w:val="Heading2"/>
      </w:pPr>
      <w:r>
        <w:t>5.1 Multi-blocking strategy for this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Block</w:t>
            </w:r>
          </w:p>
        </w:tc>
        <w:tc>
          <w:tcPr>
            <w:tcW w:type="dxa" w:w="331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How it works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Why it helps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Risk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5"/>
              </w:rPr>
              <w:t>Exact/normalized name block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5"/>
              </w:rPr>
              <w:t>Same normalized token stem or distinctive token.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5"/>
              </w:rPr>
              <w:t>Very high precision and cheap.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Misses typos, transliterations and reordered names.</w:t>
            </w:r>
          </w:p>
        </w:tc>
      </w:tr>
      <w:tr>
        <w:tc>
          <w:tcPr>
            <w:tcW w:type="dxa" w:w="2088"/>
            <w:shd w:fill="F2F6F9"/>
            <w:vAlign w:val="top"/>
          </w:tcPr>
          <w:p>
            <w:r>
              <w:rPr>
                <w:sz w:val="15"/>
              </w:rPr>
              <w:t>Character n-gram TF-IDF</w:t>
            </w:r>
          </w:p>
        </w:tc>
        <w:tc>
          <w:tcPr>
            <w:tcW w:type="dxa" w:w="3312"/>
            <w:shd w:fill="F2F6F9"/>
            <w:vAlign w:val="top"/>
          </w:tcPr>
          <w:p>
            <w:r>
              <w:rPr>
                <w:sz w:val="15"/>
              </w:rPr>
              <w:t>Build 3–5 gram vectors for names; retrieve nearest candidates by cosine/inner product.</w:t>
            </w:r>
          </w:p>
        </w:tc>
        <w:tc>
          <w:tcPr>
            <w:tcW w:type="dxa" w:w="3456"/>
            <w:shd w:fill="F2F6F9"/>
            <w:vAlign w:val="top"/>
          </w:tcPr>
          <w:p>
            <w:r>
              <w:rPr>
                <w:sz w:val="15"/>
              </w:rPr>
              <w:t>Robust to typos and small spelling differences.</w:t>
            </w:r>
          </w:p>
        </w:tc>
        <w:tc>
          <w:tcPr>
            <w:tcW w:type="dxa" w:w="2016"/>
            <w:shd w:fill="F2F6F9"/>
            <w:vAlign w:val="top"/>
          </w:tcPr>
          <w:p>
            <w:r>
              <w:rPr>
                <w:sz w:val="15"/>
              </w:rPr>
              <w:t>Can confuse common names.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5"/>
              </w:rPr>
              <w:t>Address n-gram retrieval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5"/>
              </w:rPr>
              <w:t>Same as name retrieval but on normalized address text.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5"/>
              </w:rPr>
              <w:t>Useful when address is more stable than name.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Generic addresses can generate many candidates.</w:t>
            </w:r>
          </w:p>
        </w:tc>
      </w:tr>
      <w:tr>
        <w:tc>
          <w:tcPr>
            <w:tcW w:type="dxa" w:w="2088"/>
            <w:shd w:fill="F2F6F9"/>
            <w:vAlign w:val="top"/>
          </w:tcPr>
          <w:p>
            <w:r>
              <w:rPr>
                <w:sz w:val="15"/>
              </w:rPr>
              <w:t>Token overlap block</w:t>
            </w:r>
          </w:p>
        </w:tc>
        <w:tc>
          <w:tcPr>
            <w:tcW w:type="dxa" w:w="3312"/>
            <w:shd w:fill="F2F6F9"/>
            <w:vAlign w:val="top"/>
          </w:tcPr>
          <w:p>
            <w:r>
              <w:rPr>
                <w:sz w:val="15"/>
              </w:rPr>
              <w:t>Retrieve records sharing rare address/name tokens.</w:t>
            </w:r>
          </w:p>
        </w:tc>
        <w:tc>
          <w:tcPr>
            <w:tcW w:type="dxa" w:w="3456"/>
            <w:shd w:fill="F2F6F9"/>
            <w:vAlign w:val="top"/>
          </w:tcPr>
          <w:p>
            <w:r>
              <w:rPr>
                <w:sz w:val="15"/>
              </w:rPr>
              <w:t>Good for partial addresses and landmarks.</w:t>
            </w:r>
          </w:p>
        </w:tc>
        <w:tc>
          <w:tcPr>
            <w:tcW w:type="dxa" w:w="2016"/>
            <w:shd w:fill="F2F6F9"/>
            <w:vAlign w:val="top"/>
          </w:tcPr>
          <w:p>
            <w:r>
              <w:rPr>
                <w:sz w:val="15"/>
              </w:rPr>
              <w:t>Common tokens (“road”, “street”, “market”) are weak.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5"/>
              </w:rPr>
              <w:t>Country-assisted block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5"/>
              </w:rPr>
              <w:t>Prefer same country, but do not make it the only route.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5"/>
              </w:rPr>
              <w:t>Reduces cross-country noise.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Must remain open-set; no US/India hard-coding.</w:t>
            </w:r>
          </w:p>
        </w:tc>
      </w:tr>
      <w:tr>
        <w:tc>
          <w:tcPr>
            <w:tcW w:type="dxa" w:w="2088"/>
            <w:shd w:fill="F2F6F9"/>
            <w:vAlign w:val="top"/>
          </w:tcPr>
          <w:p>
            <w:r>
              <w:rPr>
                <w:sz w:val="15"/>
              </w:rPr>
              <w:t>Optional multilingual embedding ANN</w:t>
            </w:r>
          </w:p>
        </w:tc>
        <w:tc>
          <w:tcPr>
            <w:tcW w:type="dxa" w:w="3312"/>
            <w:shd w:fill="F2F6F9"/>
            <w:vAlign w:val="top"/>
          </w:tcPr>
          <w:p>
            <w:r>
              <w:rPr>
                <w:sz w:val="15"/>
              </w:rPr>
              <w:t>Encode name/address with a multilingual text encoder and retrieve nearest neighbors.</w:t>
            </w:r>
          </w:p>
        </w:tc>
        <w:tc>
          <w:tcPr>
            <w:tcW w:type="dxa" w:w="3456"/>
            <w:shd w:fill="F2F6F9"/>
            <w:vAlign w:val="top"/>
          </w:tcPr>
          <w:p>
            <w:r>
              <w:rPr>
                <w:sz w:val="15"/>
              </w:rPr>
              <w:t>Helps semantic and transliteration variation, including France.</w:t>
            </w:r>
          </w:p>
        </w:tc>
        <w:tc>
          <w:tcPr>
            <w:tcW w:type="dxa" w:w="2016"/>
            <w:shd w:fill="F2F6F9"/>
            <w:vAlign w:val="top"/>
          </w:tcPr>
          <w:p>
            <w:r>
              <w:rPr>
                <w:sz w:val="15"/>
              </w:rPr>
              <w:t>More compute; embeddings need validation.</w:t>
            </w:r>
          </w:p>
        </w:tc>
      </w:tr>
    </w:tbl>
    <w:p/>
    <w:p>
      <w:pPr>
        <w:pStyle w:val="Heading2"/>
      </w:pPr>
      <w:r>
        <w:t>5.2 Candidate union</w:t>
      </w:r>
    </w:p>
    <w:p>
      <w:r>
        <w:t>Do not choose one blocker. Generate candidates independently and take the union:</w:t>
      </w:r>
    </w:p>
    <w:p>
      <w:pPr>
        <w:spacing w:before="60" w:after="160"/>
        <w:shd w:fill="F3F4F6"/>
      </w:pPr>
      <w:r>
        <w:rPr>
          <w:rFonts w:ascii="Consolas" w:hAnsi="Consolas"/>
          <w:color w:val="232323"/>
          <w:sz w:val="17"/>
        </w:rPr>
        <w:t>candidates = (name_candidates</w:t>
        <w:br/>
        <w:t xml:space="preserve">              | address_candidates</w:t>
        <w:br/>
        <w:t xml:space="preserve">              | exact_key_candidates</w:t>
        <w:br/>
        <w:t xml:space="preserve">              | token_candidates</w:t>
        <w:br/>
        <w:t xml:space="preserve">              | embedding_candidates)</w:t>
        <w:br/>
        <w:br/>
        <w:t>candidates = [c for c in candidates if c.source in {"S2", "S3"}]</w:t>
      </w:r>
    </w:p>
    <w:p>
      <w:r>
        <w:t>A practical target is to measure candidate recall explicitly. For a validation set, compute:</w:t>
      </w:r>
    </w:p>
    <w:p>
      <w:pPr>
        <w:jc w:val="center"/>
      </w:pPr>
      <w:r>
        <w:rPr>
          <w:b/>
        </w:rPr>
        <w:t>blocking_recall@K = (# true matches present in retrieved top-K candidates) / (# true matches)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Borders>
              <w:left w:val="single" w:sz="18" w:color="C9A227"/>
            </w:tcBorders>
          </w:tcPr>
          <w:p>
            <w:r>
              <w:rPr>
                <w:b/>
              </w:rPr>
              <w:t xml:space="preserve">Key diagnostic: </w:t>
            </w:r>
            <w:r>
              <w:t>If your final F₀.₅ is poor and blocking recall@100 is only 85%, improving the classifier alone cannot fix the missing 15%. Fix retrieval first.</w:t>
            </w:r>
          </w:p>
        </w:tc>
      </w:tr>
    </w:tbl>
    <w:p/>
    <w:p>
      <w:pPr>
        <w:pStyle w:val="Heading1"/>
      </w:pPr>
      <w:r>
        <w:t>6. Step 3 — Fuzzy Similarity Features</w:t>
      </w:r>
    </w:p>
    <w:p>
      <w:r>
        <w:t>Fuzzy matching is string similarity, not the same thing as BERT. It measures edit/token-level resemblance. It is cheap, interpretable and extremely useful for names and addresses.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Feature family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captures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Edit similarity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Levenshtein-derived ratio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Insertions, deletions, substitutions.</w:t>
            </w:r>
          </w:p>
        </w:tc>
      </w:tr>
      <w:tr>
        <w:tc>
          <w:tcPr>
            <w:tcW w:type="dxa" w:w="2160"/>
            <w:shd w:fill="F2F6F9"/>
            <w:vAlign w:val="top"/>
          </w:tcPr>
          <w:p>
            <w:r>
              <w:rPr>
                <w:sz w:val="17"/>
              </w:rPr>
              <w:t>Jaro / Jaro-Winkler</w:t>
            </w:r>
          </w:p>
        </w:tc>
        <w:tc>
          <w:tcPr>
            <w:tcW w:type="dxa" w:w="3240"/>
            <w:shd w:fill="F2F6F9"/>
            <w:vAlign w:val="top"/>
          </w:tcPr>
          <w:p>
            <w:r>
              <w:rPr>
                <w:sz w:val="17"/>
              </w:rPr>
              <w:t>“mohd” vs “mohd” / close spellings</w:t>
            </w:r>
          </w:p>
        </w:tc>
        <w:tc>
          <w:tcPr>
            <w:tcW w:type="dxa" w:w="4608"/>
            <w:shd w:fill="F2F6F9"/>
            <w:vAlign w:val="top"/>
          </w:tcPr>
          <w:p>
            <w:r>
              <w:rPr>
                <w:sz w:val="17"/>
              </w:rPr>
              <w:t>Short-string and transposition similarity; Jaro-Winkler emphasizes shared prefixes.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Token sort ratio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“taj palace hotel” vs “hotel taj palace”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Same words in different order.</w:t>
            </w:r>
          </w:p>
        </w:tc>
      </w:tr>
      <w:tr>
        <w:tc>
          <w:tcPr>
            <w:tcW w:type="dxa" w:w="2160"/>
            <w:shd w:fill="F2F6F9"/>
            <w:vAlign w:val="top"/>
          </w:tcPr>
          <w:p>
            <w:r>
              <w:rPr>
                <w:sz w:val="17"/>
              </w:rPr>
              <w:t>Token set ratio</w:t>
            </w:r>
          </w:p>
        </w:tc>
        <w:tc>
          <w:tcPr>
            <w:tcW w:type="dxa" w:w="3240"/>
            <w:shd w:fill="F2F6F9"/>
            <w:vAlign w:val="top"/>
          </w:tcPr>
          <w:p>
            <w:r>
              <w:rPr>
                <w:sz w:val="17"/>
              </w:rPr>
              <w:t>“hotel taj palace” vs “taj palace”</w:t>
            </w:r>
          </w:p>
        </w:tc>
        <w:tc>
          <w:tcPr>
            <w:tcW w:type="dxa" w:w="4608"/>
            <w:shd w:fill="F2F6F9"/>
            <w:vAlign w:val="top"/>
          </w:tcPr>
          <w:p>
            <w:r>
              <w:rPr>
                <w:sz w:val="17"/>
              </w:rPr>
              <w:t>Useful when one record contains extra words.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Character n-gram cosine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TF-IDF 3–5 grams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Typos and transliteration-like local changes.</w:t>
            </w:r>
          </w:p>
        </w:tc>
      </w:tr>
      <w:tr>
        <w:tc>
          <w:tcPr>
            <w:tcW w:type="dxa" w:w="2160"/>
            <w:shd w:fill="F2F6F9"/>
            <w:vAlign w:val="top"/>
          </w:tcPr>
          <w:p>
            <w:r>
              <w:rPr>
                <w:sz w:val="17"/>
              </w:rPr>
              <w:t>Numeric token agreement</w:t>
            </w:r>
          </w:p>
        </w:tc>
        <w:tc>
          <w:tcPr>
            <w:tcW w:type="dxa" w:w="3240"/>
            <w:shd w:fill="F2F6F9"/>
            <w:vAlign w:val="top"/>
          </w:tcPr>
          <w:p>
            <w:r>
              <w:rPr>
                <w:sz w:val="17"/>
              </w:rPr>
              <w:t>street numbers / postal codes</w:t>
            </w:r>
          </w:p>
        </w:tc>
        <w:tc>
          <w:tcPr>
            <w:tcW w:type="dxa" w:w="4608"/>
            <w:shd w:fill="F2F6F9"/>
            <w:vAlign w:val="top"/>
          </w:tcPr>
          <w:p>
            <w:r>
              <w:rPr>
                <w:sz w:val="17"/>
              </w:rPr>
              <w:t>Exact or partial agreement on highly discriminative numbers.</w:t>
            </w:r>
          </w:p>
        </w:tc>
      </w:tr>
    </w:tbl>
    <w:p/>
    <w:p>
      <w:pPr>
        <w:pStyle w:val="Heading2"/>
      </w:pPr>
      <w:r>
        <w:t>6.1 Example</w:t>
      </w:r>
    </w:p>
    <w:p>
      <w:r>
        <w:t>For a candidate pair:</w:t>
      </w:r>
    </w:p>
    <w:p>
      <w:pPr>
        <w:spacing w:before="60" w:after="160"/>
        <w:shd w:fill="F3F4F6"/>
      </w:pPr>
      <w:r>
        <w:rPr>
          <w:rFonts w:ascii="Consolas" w:hAnsi="Consolas"/>
          <w:color w:val="232323"/>
          <w:sz w:val="17"/>
        </w:rPr>
        <w:t>A: "Orelee's Barbershop"</w:t>
        <w:br/>
        <w:t>B: "ORelees Barber Shop"</w:t>
        <w:br/>
        <w:br/>
        <w:t>name_ratio            -&gt; high</w:t>
        <w:br/>
        <w:t>name_token_sort       -&gt; high</w:t>
        <w:br/>
        <w:t>name_char_ngram_cos   -&gt; high</w:t>
        <w:br/>
        <w:t>address_similarity    -&gt; computed separately</w:t>
        <w:br/>
        <w:t>country_equal         -&gt; 1</w:t>
      </w:r>
    </w:p>
    <w:p>
      <w:r>
        <w:t>The important point is that fuzzy features are inputs to a classifier; they do not need to make the final match decision by themselves.</w:t>
      </w:r>
    </w:p>
    <w:p>
      <w:pPr>
        <w:pStyle w:val="Heading1"/>
      </w:pPr>
      <w:r>
        <w:t>7. Step 4 — Semantic / BERT-Style Similarity</w:t>
      </w:r>
    </w:p>
    <w:p>
      <w:r>
        <w:t>A Transformer embedding asks a different question: “are these strings semantically or contextually similar?” It can help with paraphrases, token additions, multilingual variation and some transliterations. It is usually more expensive than fuzzy matching.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Approach</w:t>
            </w:r>
          </w:p>
        </w:tc>
        <w:tc>
          <w:tcPr>
            <w:tcW w:type="dxa" w:w="30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Weakness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 in this task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5"/>
              </w:rPr>
              <w:t>Fuzzy string metrics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Cheap, transparent, typo-friendly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5"/>
              </w:rPr>
              <w:t>Limited semantic understanding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Core pair features; good baseline.</w:t>
            </w:r>
          </w:p>
        </w:tc>
      </w:tr>
      <w:tr>
        <w:tc>
          <w:tcPr>
            <w:tcW w:type="dxa" w:w="2232"/>
            <w:shd w:fill="F2F6F9"/>
            <w:vAlign w:val="top"/>
          </w:tcPr>
          <w:p>
            <w:r>
              <w:rPr>
                <w:sz w:val="15"/>
              </w:rPr>
              <w:t>Vanilla BERT/XLM-R embedding</w:t>
            </w:r>
          </w:p>
        </w:tc>
        <w:tc>
          <w:tcPr>
            <w:tcW w:type="dxa" w:w="3096"/>
            <w:shd w:fill="F2F6F9"/>
            <w:vAlign w:val="top"/>
          </w:tcPr>
          <w:p>
            <w:r>
              <w:rPr>
                <w:sz w:val="15"/>
              </w:rPr>
              <w:t>Captures semantic similarity</w:t>
            </w:r>
          </w:p>
        </w:tc>
        <w:tc>
          <w:tcPr>
            <w:tcW w:type="dxa" w:w="3168"/>
            <w:shd w:fill="F2F6F9"/>
            <w:vAlign w:val="top"/>
          </w:tcPr>
          <w:p>
            <w:r>
              <w:rPr>
                <w:sz w:val="15"/>
              </w:rPr>
              <w:t>Embedding quality is not optimized specifically for entity identity</w:t>
            </w:r>
          </w:p>
        </w:tc>
        <w:tc>
          <w:tcPr>
            <w:tcW w:type="dxa" w:w="2880"/>
            <w:shd w:fill="F2F6F9"/>
            <w:vAlign w:val="top"/>
          </w:tcPr>
          <w:p>
            <w:r>
              <w:rPr>
                <w:sz w:val="15"/>
              </w:rPr>
              <w:t>Candidate retrieval and pair features.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5"/>
              </w:rPr>
              <w:t>Fine-tuned pair classifier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Learns “same entity vs different entity” directly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5"/>
              </w:rPr>
              <w:t>Needs good positive/negative pairs; more compute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Final verifier for difficult candidates.</w:t>
            </w:r>
          </w:p>
        </w:tc>
      </w:tr>
      <w:tr>
        <w:tc>
          <w:tcPr>
            <w:tcW w:type="dxa" w:w="2232"/>
            <w:shd w:fill="F2F6F9"/>
            <w:vAlign w:val="top"/>
          </w:tcPr>
          <w:p>
            <w:r>
              <w:rPr>
                <w:sz w:val="15"/>
              </w:rPr>
              <w:t>Metric learning / ArcFace-style embeddings</w:t>
            </w:r>
          </w:p>
        </w:tc>
        <w:tc>
          <w:tcPr>
            <w:tcW w:type="dxa" w:w="3096"/>
            <w:shd w:fill="F2F6F9"/>
            <w:vAlign w:val="top"/>
          </w:tcPr>
          <w:p>
            <w:r>
              <w:rPr>
                <w:sz w:val="15"/>
              </w:rPr>
              <w:t>Shapes embedding space for retrieval</w:t>
            </w:r>
          </w:p>
        </w:tc>
        <w:tc>
          <w:tcPr>
            <w:tcW w:type="dxa" w:w="3168"/>
            <w:shd w:fill="F2F6F9"/>
            <w:vAlign w:val="top"/>
          </w:tcPr>
          <w:p>
            <w:r>
              <w:rPr>
                <w:sz w:val="15"/>
              </w:rPr>
              <w:t>Training is more involved; can overfit</w:t>
            </w:r>
          </w:p>
        </w:tc>
        <w:tc>
          <w:tcPr>
            <w:tcW w:type="dxa" w:w="2880"/>
            <w:shd w:fill="F2F6F9"/>
            <w:vAlign w:val="top"/>
          </w:tcPr>
          <w:p>
            <w:r>
              <w:rPr>
                <w:sz w:val="15"/>
              </w:rPr>
              <w:t>Advanced retrieval when labelled data is sufficient.</w:t>
            </w:r>
          </w:p>
        </w:tc>
      </w:tr>
    </w:tbl>
    <w:p/>
    <w:p>
      <w:r>
        <w:t>Therefore: fuzzy and BERT are complementary, not substitutes. A strong feature vector can contain both character/token similarity and embedding cosine similarity.</w:t>
      </w:r>
    </w:p>
    <w:p>
      <w:pPr>
        <w:spacing w:before="60" w:after="160"/>
        <w:shd w:fill="F3F4F6"/>
      </w:pPr>
      <w:r>
        <w:rPr>
          <w:rFonts w:ascii="Consolas" w:hAnsi="Consolas"/>
          <w:color w:val="232323"/>
          <w:sz w:val="17"/>
        </w:rPr>
        <w:t>features = {</w:t>
        <w:br/>
        <w:t xml:space="preserve">    "name_ratio": fuzz_ratio(name1, name2),</w:t>
        <w:br/>
        <w:t xml:space="preserve">    "name_token_set": token_set_ratio(name1, name2),</w:t>
        <w:br/>
        <w:t xml:space="preserve">    "address_ratio": fuzz_ratio(addr1, addr2),</w:t>
        <w:br/>
        <w:t xml:space="preserve">    "country_equal": int(country1 == country2),</w:t>
        <w:br/>
        <w:t xml:space="preserve">    "name_bert_cos": cosine(name_emb1, name_emb2),</w:t>
        <w:br/>
        <w:t xml:space="preserve">    "address_bert_cos": cosine(addr_emb1, addr_emb2),</w:t>
        <w:br/>
        <w:t>}</w:t>
      </w:r>
    </w:p>
    <w:p>
      <w:pPr>
        <w:pStyle w:val="Heading1"/>
      </w:pPr>
      <w:r>
        <w:t>8. Step 5 — Build the Pairwise Training Table</w:t>
      </w:r>
    </w:p>
    <w:p>
      <w:r>
        <w:t>The ground truth is a list-valued mapping from S1 to S2/S3. Convert it into binary pair labels.</w:t>
      </w:r>
    </w:p>
    <w:p>
      <w:pPr>
        <w:spacing w:before="60" w:after="160"/>
        <w:shd w:fill="F3F4F6"/>
      </w:pPr>
      <w:r>
        <w:rPr>
          <w:rFonts w:ascii="Consolas" w:hAnsi="Consolas"/>
          <w:color w:val="232323"/>
          <w:sz w:val="17"/>
        </w:rPr>
        <w:t>for s1_id in source1_ids:</w:t>
        <w:br/>
        <w:t xml:space="preserve">    positives = ground_truth[s1_id]  # possibly empty</w:t>
        <w:br/>
        <w:t xml:space="preserve">    for s2s3_id in candidate_pairs[s1_id]:</w:t>
        <w:br/>
        <w:t xml:space="preserve">        y = int(s2s3_id in positives)</w:t>
        <w:br/>
        <w:t xml:space="preserve">        write_pair_features(s1_id, s2s3_id, y)</w:t>
      </w:r>
    </w:p>
    <w:p>
      <w:pPr>
        <w:pStyle w:val="Heading2"/>
      </w:pPr>
      <w:r>
        <w:t>8.1 Negative sampling</w:t>
      </w:r>
    </w:p>
    <w:p>
      <w:r>
        <w:t>Random negatives are too easy. The classifier needs hard negatives: candidates that look plausible but are not the same entity.</w:t>
      </w:r>
    </w:p>
    <w:p>
      <w:pPr>
        <w:pStyle w:val="ListBullet"/>
        <w:spacing w:after="40"/>
      </w:pPr>
      <w:r>
        <w:t>For each positive pair, include top candidates from name retrieval that are not labelled positive.</w:t>
      </w:r>
    </w:p>
    <w:p>
      <w:pPr>
        <w:pStyle w:val="ListBullet"/>
        <w:spacing w:after="40"/>
      </w:pPr>
      <w:r>
        <w:t>Include address-near or token-overlapping negatives.</w:t>
      </w:r>
    </w:p>
    <w:p>
      <w:pPr>
        <w:pStyle w:val="ListBullet"/>
        <w:spacing w:after="40"/>
      </w:pPr>
      <w:r>
        <w:t>Include same-country, similar-name businesses with different addresses.</w:t>
      </w:r>
    </w:p>
    <w:p>
      <w:pPr>
        <w:pStyle w:val="ListBullet"/>
        <w:spacing w:after="40"/>
      </w:pPr>
      <w:r>
        <w:t>Include same-address but different-name cases if they appear in the data (e.g., businesses in shared buildings).</w:t>
      </w:r>
    </w:p>
    <w:p>
      <w:pPr>
        <w:pStyle w:val="ListBullet"/>
        <w:spacing w:after="40"/>
      </w:pPr>
      <w:r>
        <w:t>Avoid an extreme negative-to-positive ratio without checking calibration and training stability.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Borders>
              <w:left w:val="single" w:sz="18" w:color="C9A227"/>
            </w:tcBorders>
          </w:tcPr>
          <w:p>
            <w:r>
              <w:rPr>
                <w:b/>
              </w:rPr>
              <w:t xml:space="preserve">Why hard negatives matter: </w:t>
            </w:r>
            <w:r>
              <w:t>At inference time, your model is rarely choosing between a perfect match and a random unrelated record. It is choosing among several plausible candidates. Training must resemble that decision environment.</w:t>
            </w:r>
          </w:p>
        </w:tc>
      </w:tr>
    </w:tbl>
    <w:p/>
    <w:p>
      <w:pPr>
        <w:pStyle w:val="Heading1"/>
      </w:pPr>
      <w:r>
        <w:t>9. Step 6 — Two-Stage LightGBM Ranker</w:t>
      </w:r>
    </w:p>
    <w:p>
      <w:r>
        <w:t>A practical version of the Foursquare-style cascade is to use a cheap model first and a richer model second.</w:t>
      </w:r>
    </w:p>
    <w:p>
      <w:pPr>
        <w:pStyle w:val="Heading2"/>
      </w:pPr>
      <w:r>
        <w:t>9.1 LightGBM #1 — cheap reranker</w:t>
      </w:r>
    </w:p>
    <w:p>
      <w:r>
        <w:t>Input only inexpensive features: name similarity, address similarity, exact flags, country match, token overlap, and missingness. Use it to reduce a large retrieved set to a small top-k.</w:t>
      </w:r>
    </w:p>
    <w:p>
      <w:pPr>
        <w:spacing w:before="60" w:after="160"/>
        <w:shd w:fill="F3F4F6"/>
      </w:pPr>
      <w:r>
        <w:rPr>
          <w:rFonts w:ascii="Consolas" w:hAnsi="Consolas"/>
          <w:color w:val="232323"/>
          <w:sz w:val="17"/>
        </w:rPr>
        <w:t>cheap_features = [</w:t>
        <w:br/>
        <w:t xml:space="preserve">    "name_ratio", "name_token_set",</w:t>
        <w:br/>
        <w:t xml:space="preserve">    "address_ratio", "address_token_set",</w:t>
        <w:br/>
        <w:t xml:space="preserve">    "country_equal",</w:t>
        <w:br/>
        <w:t xml:space="preserve">    "name_token_overlap", "address_token_overlap",</w:t>
        <w:br/>
        <w:t xml:space="preserve">    "has_phone_like_token",  # only if such data exists</w:t>
        <w:br/>
        <w:t xml:space="preserve">    "missing_name", "missing_address"</w:t>
        <w:br/>
        <w:t>]</w:t>
      </w:r>
    </w:p>
    <w:p>
      <w:pPr>
        <w:pStyle w:val="Heading2"/>
      </w:pPr>
      <w:r>
        <w:t>9.2 LightGBM #2 — rich reranker</w:t>
      </w:r>
    </w:p>
    <w:p>
      <w:r>
        <w:t>Compute expensive features only for the finalists: multiple fuzzy metrics, character TF-IDF similarities, multilingual embedding cosine scores, numeric token agreement, and other structural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Feature group</w:t>
            </w:r>
          </w:p>
        </w:tc>
        <w:tc>
          <w:tcPr>
            <w:tcW w:type="dxa" w:w="79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Recommended features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7992"/>
            <w:vAlign w:val="top"/>
          </w:tcPr>
          <w:p>
            <w:r>
              <w:rPr>
                <w:sz w:val="16"/>
              </w:rPr>
              <w:t>ratio, Jaro-Winkler, token_sort, token_set, char-ngram cosine, semantic cosine, token counts</w:t>
            </w:r>
          </w:p>
        </w:tc>
      </w:tr>
      <w:tr>
        <w:tc>
          <w:tcPr>
            <w:tcW w:type="dxa" w:w="2232"/>
            <w:shd w:fill="F2F6F9"/>
            <w:vAlign w:val="top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7992"/>
            <w:shd w:fill="F2F6F9"/>
            <w:vAlign w:val="top"/>
          </w:tcPr>
          <w:p>
            <w:r>
              <w:rPr>
                <w:sz w:val="16"/>
              </w:rPr>
              <w:t>ratio, token_set, char-ngram cosine, shared numeric tokens, shared rare tokens, semantic cosine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7992"/>
            <w:vAlign w:val="top"/>
          </w:tcPr>
          <w:p>
            <w:r>
              <w:rPr>
                <w:sz w:val="16"/>
              </w:rPr>
              <w:t>exact match, missingness, normalized string similarity if labels are noisy</w:t>
            </w:r>
          </w:p>
        </w:tc>
      </w:tr>
      <w:tr>
        <w:tc>
          <w:tcPr>
            <w:tcW w:type="dxa" w:w="2232"/>
            <w:shd w:fill="F2F6F9"/>
            <w:vAlign w:val="top"/>
          </w:tcPr>
          <w:p>
            <w:r>
              <w:rPr>
                <w:sz w:val="16"/>
              </w:rPr>
              <w:t>Structural</w:t>
            </w:r>
          </w:p>
        </w:tc>
        <w:tc>
          <w:tcPr>
            <w:tcW w:type="dxa" w:w="7992"/>
            <w:shd w:fill="F2F6F9"/>
            <w:vAlign w:val="top"/>
          </w:tcPr>
          <w:p>
            <w:r>
              <w:rPr>
                <w:sz w:val="16"/>
              </w:rPr>
              <w:t>length ratios, token counts, number-token agreement, presence/absence indicators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Candidate provenance</w:t>
            </w:r>
          </w:p>
        </w:tc>
        <w:tc>
          <w:tcPr>
            <w:tcW w:type="dxa" w:w="7992"/>
            <w:vAlign w:val="top"/>
          </w:tcPr>
          <w:p>
            <w:r>
              <w:rPr>
                <w:sz w:val="16"/>
              </w:rPr>
              <w:t>whether pair was retrieved by name, address, exact key, embedding; rank within each retriever</w:t>
            </w:r>
          </w:p>
        </w:tc>
      </w:tr>
      <w:tr>
        <w:tc>
          <w:tcPr>
            <w:tcW w:type="dxa" w:w="2232"/>
            <w:shd w:fill="F2F6F9"/>
            <w:vAlign w:val="top"/>
          </w:tcPr>
          <w:p>
            <w:r>
              <w:rPr>
                <w:sz w:val="16"/>
              </w:rPr>
              <w:t>Interactions</w:t>
            </w:r>
          </w:p>
        </w:tc>
        <w:tc>
          <w:tcPr>
            <w:tcW w:type="dxa" w:w="7992"/>
            <w:shd w:fill="F2F6F9"/>
            <w:vAlign w:val="top"/>
          </w:tcPr>
          <w:p>
            <w:r>
              <w:rPr>
                <w:sz w:val="16"/>
              </w:rPr>
              <w:t>Let the tree model learn combinations such as strong name + strong address or exact token + high semantic similarity</w:t>
            </w:r>
          </w:p>
        </w:tc>
      </w:tr>
    </w:tbl>
    <w:p/>
    <w:p>
      <w:pPr>
        <w:pStyle w:val="Heading1"/>
      </w:pPr>
      <w:r>
        <w:t>10. Step 7 — Optional Transformer Pair Verifier</w:t>
      </w:r>
    </w:p>
    <w:p>
      <w:r>
        <w:t>Only add a pairwise Transformer after the LightGBM baseline is working. A verifier can consume two concatenated records and learn features that hand-crafted fuzzy scores miss.</w:t>
      </w:r>
    </w:p>
    <w:p>
      <w:pPr>
        <w:spacing w:before="60" w:after="160"/>
        <w:shd w:fill="F3F4F6"/>
      </w:pPr>
      <w:r>
        <w:rPr>
          <w:rFonts w:ascii="Consolas" w:hAnsi="Consolas"/>
          <w:color w:val="232323"/>
          <w:sz w:val="17"/>
        </w:rPr>
        <w:t>[CLS] name_a [SEP] address_a [SEP]</w:t>
        <w:br/>
        <w:t xml:space="preserve">      name_b [SEP] address_b [SEP]</w:t>
        <w:br/>
        <w:br/>
        <w:t xml:space="preserve">      -&gt; Transformer</w:t>
        <w:br/>
        <w:t xml:space="preserve">      -&gt; P(same_entity)</w:t>
      </w:r>
    </w:p>
    <w:p>
      <w:pPr>
        <w:pStyle w:val="ListBullet"/>
        <w:spacing w:after="40"/>
      </w:pPr>
      <w:r>
        <w:t>Use a multilingual-capable encoder if the test contains France and multilingual text is present.</w:t>
      </w:r>
    </w:p>
    <w:p>
      <w:pPr>
        <w:pStyle w:val="ListBullet"/>
        <w:spacing w:after="40"/>
      </w:pPr>
      <w:r>
        <w:t>Do not rely on a single global embedding threshold until validation demonstrates that it is calibrated.</w:t>
      </w:r>
    </w:p>
    <w:p>
      <w:pPr>
        <w:pStyle w:val="ListBullet"/>
        <w:spacing w:after="40"/>
      </w:pPr>
      <w:r>
        <w:t>For expensive inference, run this verifier only on the top 10–20 LightGBM candidates.</w:t>
      </w:r>
    </w:p>
    <w:p>
      <w:pPr>
        <w:pStyle w:val="ListBullet"/>
        <w:spacing w:after="40"/>
      </w:pPr>
      <w:r>
        <w:t>Ensembling multiple scorers can reduce variance, but only keep the ensemble if validation F₀.₅ actually improves.</w:t>
      </w:r>
    </w:p>
    <w:p>
      <w:pPr>
        <w:pStyle w:val="Heading1"/>
      </w:pPr>
      <w:r>
        <w:t>11. Step 8 — Final Decision: Match vs No-Match</w:t>
      </w:r>
    </w:p>
    <w:p>
      <w:r>
        <w:t>This is where the F₀.₅ objective directly affects behavior. Do not force the best candidate to be a match.</w:t>
      </w:r>
    </w:p>
    <w:p>
      <w:pPr>
        <w:pStyle w:val="Heading2"/>
      </w:pPr>
      <w:r>
        <w:t>11.1 Candidate threshold</w:t>
      </w:r>
    </w:p>
    <w:p>
      <w:pPr>
        <w:spacing w:before="60" w:after="160"/>
        <w:shd w:fill="F3F4F6"/>
      </w:pPr>
      <w:r>
        <w:rPr>
          <w:rFonts w:ascii="Consolas" w:hAnsi="Consolas"/>
          <w:color w:val="232323"/>
          <w:sz w:val="17"/>
        </w:rPr>
        <w:t>best_score = max(candidate_scores)</w:t>
        <w:br/>
        <w:t>if best_score &gt;= threshold:</w:t>
        <w:br/>
        <w:t xml:space="preserve">    accept candidate</w:t>
        <w:br/>
        <w:t>else:</w:t>
        <w:br/>
        <w:t xml:space="preserve">    output []</w:t>
      </w:r>
    </w:p>
    <w:p>
      <w:r>
        <w:t>Tune threshold on a validation split using the exact official scoring computation. Do not optimize for accuracy or ROC-AUC alone.</w:t>
      </w:r>
    </w:p>
    <w:p>
      <w:pPr>
        <w:pStyle w:val="Heading2"/>
      </w:pPr>
      <w:r>
        <w:t>11.2 Ambiguity / margin logic</w:t>
      </w:r>
    </w:p>
    <w:p>
      <w:r>
        <w:t>For single-match-like cases, a large gap between the best and second-best candidate is useful evidence. Example rule (illustrative only; tune it):</w:t>
      </w:r>
    </w:p>
    <w:p>
      <w:pPr>
        <w:spacing w:before="60" w:after="160"/>
        <w:shd w:fill="F3F4F6"/>
      </w:pPr>
      <w:r>
        <w:rPr>
          <w:rFonts w:ascii="Consolas" w:hAnsi="Consolas"/>
          <w:color w:val="232323"/>
          <w:sz w:val="17"/>
        </w:rPr>
        <w:t>if best_score &gt;= T and (best_score - second_score) &gt;= M:</w:t>
        <w:br/>
        <w:t xml:space="preserve">    accept_best</w:t>
        <w:br/>
        <w:t>else:</w:t>
        <w:br/>
        <w:t xml:space="preserve">    reject_or_require_stronger_evidence</w:t>
      </w:r>
    </w:p>
    <w:p>
      <w:r>
        <w:t>Do not blindly enforce one-to-one matching, because the ground truth format allows multiple S2/S3 matches for a single S1. Apply margin logic as a confidence filter, not as a global uniqueness constraint.</w:t>
      </w:r>
    </w:p>
    <w:p>
      <w:pPr>
        <w:pStyle w:val="Heading2"/>
      </w:pPr>
      <w:r>
        <w:t>11.3 Singleton handling</w:t>
      </w:r>
    </w:p>
    <w:p>
      <w:r>
        <w:t>If no candidate is sufficiently supported, output an empty matched_entity_ids value. This is explicitly allowed and can be the correct answer for a singleton.</w:t>
      </w:r>
    </w:p>
    <w:p>
      <w:pPr>
        <w:pStyle w:val="Heading1"/>
      </w:pPr>
      <w:r>
        <w:t>12. Validation Strategy</w:t>
      </w:r>
    </w:p>
    <w:p>
      <w:r>
        <w:t>Validation must simulate the test-time workflow, including candidate generation. Training a classifier on arbitrary pairs and evaluating on all-pair validation can overstate performance.</w:t>
      </w:r>
    </w:p>
    <w:p>
      <w:pPr>
        <w:pStyle w:val="ListNumber"/>
        <w:spacing w:after="40"/>
      </w:pPr>
      <w:r>
        <w:t>Split Source 1 records into train/validation sets. Prefer grouping by known duplicate/entity clusters if the training data reveals repeated business identities, to reduce leakage.</w:t>
      </w:r>
    </w:p>
    <w:p>
      <w:pPr>
        <w:pStyle w:val="ListNumber"/>
        <w:spacing w:after="40"/>
      </w:pPr>
      <w:r>
        <w:t>Generate candidates using only information available at inference time.</w:t>
      </w:r>
    </w:p>
    <w:p>
      <w:pPr>
        <w:pStyle w:val="ListNumber"/>
        <w:spacing w:after="40"/>
      </w:pPr>
      <w:r>
        <w:t>Build pair features and run the model.</w:t>
      </w:r>
    </w:p>
    <w:p>
      <w:pPr>
        <w:pStyle w:val="ListNumber"/>
        <w:spacing w:after="40"/>
      </w:pPr>
      <w:r>
        <w:t>Apply the final threshold/post-processing.</w:t>
      </w:r>
    </w:p>
    <w:p>
      <w:pPr>
        <w:pStyle w:val="ListNumber"/>
        <w:spacing w:after="40"/>
      </w:pPr>
      <w:r>
        <w:t>Compute the same F₀.₅ definition used by the competition.</w:t>
      </w:r>
    </w:p>
    <w:p>
      <w:pPr>
        <w:pStyle w:val="ListNumber"/>
        <w:spacing w:after="40"/>
      </w:pPr>
      <w:r>
        <w:t>Also track precision, recall, false-merge count, singleton accuracy, and blocking recall@K.</w:t>
      </w:r>
    </w:p>
    <w:p>
      <w:pPr>
        <w:pStyle w:val="Heading2"/>
      </w:pPr>
      <w:r>
        <w:t>12.1 Threshold sweep</w:t>
      </w:r>
    </w:p>
    <w:p>
      <w:pPr>
        <w:spacing w:before="60" w:after="160"/>
        <w:shd w:fill="F3F4F6"/>
      </w:pPr>
      <w:r>
        <w:rPr>
          <w:rFonts w:ascii="Consolas" w:hAnsi="Consolas"/>
          <w:color w:val="232323"/>
          <w:sz w:val="17"/>
        </w:rPr>
        <w:t>best = None</w:t>
        <w:br/>
        <w:t>for t in np.arange(0.50, 0.991, 0.01):</w:t>
        <w:br/>
        <w:t xml:space="preserve">    pred = make_predictions(scores, threshold=t)</w:t>
        <w:br/>
        <w:t xml:space="preserve">    f05 = official_f05(y_true, pred)</w:t>
        <w:br/>
        <w:t xml:space="preserve">    if best is None or f05 &gt; best[0]:</w:t>
        <w:br/>
        <w:t xml:space="preserve">        best = (f05, t)</w:t>
      </w:r>
    </w:p>
    <w:p>
      <w:r>
        <w:t>Then repeat around the best region with a finer step. Re-check the threshold on another validation split or with cross-validation before committing to the final value.</w:t>
      </w:r>
    </w:p>
    <w:p>
      <w:pPr>
        <w:pStyle w:val="Heading1"/>
      </w:pPr>
      <w:r>
        <w:t>13. Error Analysis — The Fastest Way to Improve</w:t>
      </w:r>
    </w:p>
    <w:p>
      <w:r>
        <w:t>After every model version, inspect false positives and false negatives manually. Build an error taxonomy instead of only watching the leaderboard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Error pattern</w:t>
            </w:r>
          </w:p>
        </w:tc>
        <w:tc>
          <w:tcPr>
            <w:tcW w:type="dxa" w:w="352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381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Fix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Correct pair never retrieved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6"/>
              </w:rPr>
              <w:t>Blocking too strict.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Add/relax a retrieval channel; improve n-gram or embedding retrieval.</w:t>
            </w:r>
          </w:p>
        </w:tc>
      </w:tr>
      <w:tr>
        <w:tc>
          <w:tcPr>
            <w:tcW w:type="dxa" w:w="2448"/>
            <w:shd w:fill="F2F6F9"/>
            <w:vAlign w:val="top"/>
          </w:tcPr>
          <w:p>
            <w:r>
              <w:rPr>
                <w:sz w:val="16"/>
              </w:rPr>
              <w:t>Typos in name</w:t>
            </w:r>
          </w:p>
        </w:tc>
        <w:tc>
          <w:tcPr>
            <w:tcW w:type="dxa" w:w="3528"/>
            <w:shd w:fill="F2F6F9"/>
            <w:vAlign w:val="top"/>
          </w:tcPr>
          <w:p>
            <w:r>
              <w:rPr>
                <w:sz w:val="16"/>
              </w:rPr>
              <w:t>String distance too high.</w:t>
            </w:r>
          </w:p>
        </w:tc>
        <w:tc>
          <w:tcPr>
            <w:tcW w:type="dxa" w:w="3816"/>
            <w:shd w:fill="F2F6F9"/>
            <w:vAlign w:val="top"/>
          </w:tcPr>
          <w:p>
            <w:r>
              <w:rPr>
                <w:sz w:val="16"/>
              </w:rPr>
              <w:t>Character n-grams, Jaro-Winkler, phonetic-like features if justified.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Token reorder / extra legal suffix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6"/>
              </w:rPr>
              <w:t>Exact comparison too brittle.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Token-set/sort similarities; retain raw + normalized forms.</w:t>
            </w:r>
          </w:p>
        </w:tc>
      </w:tr>
      <w:tr>
        <w:tc>
          <w:tcPr>
            <w:tcW w:type="dxa" w:w="2448"/>
            <w:shd w:fill="F2F6F9"/>
            <w:vAlign w:val="top"/>
          </w:tcPr>
          <w:p>
            <w:r>
              <w:rPr>
                <w:sz w:val="16"/>
              </w:rPr>
              <w:t>Partial address / landmark reference</w:t>
            </w:r>
          </w:p>
        </w:tc>
        <w:tc>
          <w:tcPr>
            <w:tcW w:type="dxa" w:w="3528"/>
            <w:shd w:fill="F2F6F9"/>
            <w:vAlign w:val="top"/>
          </w:tcPr>
          <w:p>
            <w:r>
              <w:rPr>
                <w:sz w:val="16"/>
              </w:rPr>
              <w:t>Address overlap low.</w:t>
            </w:r>
          </w:p>
        </w:tc>
        <w:tc>
          <w:tcPr>
            <w:tcW w:type="dxa" w:w="3816"/>
            <w:shd w:fill="F2F6F9"/>
            <w:vAlign w:val="top"/>
          </w:tcPr>
          <w:p>
            <w:r>
              <w:rPr>
                <w:sz w:val="16"/>
              </w:rPr>
              <w:t>Rare-token overlap, character n-grams, numeric token features.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Two businesses with similar names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6"/>
              </w:rPr>
              <w:t>False merge.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Address/country evidence, hard-negative training, margin or higher threshold.</w:t>
            </w:r>
          </w:p>
        </w:tc>
      </w:tr>
      <w:tr>
        <w:tc>
          <w:tcPr>
            <w:tcW w:type="dxa" w:w="2448"/>
            <w:shd w:fill="F2F6F9"/>
            <w:vAlign w:val="top"/>
          </w:tcPr>
          <w:p>
            <w:r>
              <w:rPr>
                <w:sz w:val="16"/>
              </w:rPr>
              <w:t>Same building / shared address</w:t>
            </w:r>
          </w:p>
        </w:tc>
        <w:tc>
          <w:tcPr>
            <w:tcW w:type="dxa" w:w="3528"/>
            <w:shd w:fill="F2F6F9"/>
            <w:vAlign w:val="top"/>
          </w:tcPr>
          <w:p>
            <w:r>
              <w:rPr>
                <w:sz w:val="16"/>
              </w:rPr>
              <w:t>False merge.</w:t>
            </w:r>
          </w:p>
        </w:tc>
        <w:tc>
          <w:tcPr>
            <w:tcW w:type="dxa" w:w="3816"/>
            <w:shd w:fill="F2F6F9"/>
            <w:vAlign w:val="top"/>
          </w:tcPr>
          <w:p>
            <w:r>
              <w:rPr>
                <w:sz w:val="16"/>
              </w:rPr>
              <w:t>Use name + numeric/unit + rare tokens; avoid address-only decisions.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France rows fail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6"/>
              </w:rPr>
              <w:t>Closed-set preprocessing.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Remove country hard-coding; use open-set string handling and multilingual models.</w:t>
            </w:r>
          </w:p>
        </w:tc>
      </w:tr>
    </w:tbl>
    <w:p/>
    <w:p>
      <w:pPr>
        <w:pStyle w:val="Heading1"/>
      </w:pPr>
      <w:r>
        <w:t>14. Recommended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63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Implementation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Goal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V0 — sanity baseline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Normalized exact name/address matching + exact country-aware rules.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Understand data and submission format.</w:t>
            </w:r>
          </w:p>
        </w:tc>
      </w:tr>
      <w:tr>
        <w:tc>
          <w:tcPr>
            <w:tcW w:type="dxa" w:w="2160"/>
            <w:shd w:fill="F2F6F9"/>
            <w:vAlign w:val="top"/>
          </w:tcPr>
          <w:p>
            <w:r>
              <w:rPr>
                <w:sz w:val="16"/>
              </w:rPr>
              <w:t>V1 — strong classical</w:t>
            </w:r>
          </w:p>
        </w:tc>
        <w:tc>
          <w:tcPr>
            <w:tcW w:type="dxa" w:w="6336"/>
            <w:shd w:fill="F2F6F9"/>
            <w:vAlign w:val="top"/>
          </w:tcPr>
          <w:p>
            <w:r>
              <w:rPr>
                <w:sz w:val="16"/>
              </w:rPr>
              <w:t>Multi-blocking + fuzzy features + LightGBM.</w:t>
            </w:r>
          </w:p>
        </w:tc>
        <w:tc>
          <w:tcPr>
            <w:tcW w:type="dxa" w:w="2880"/>
            <w:shd w:fill="F2F6F9"/>
            <w:vAlign w:val="top"/>
          </w:tcPr>
          <w:p>
            <w:r>
              <w:rPr>
                <w:sz w:val="16"/>
              </w:rPr>
              <w:t>Get a competitive, debuggable baseline.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V2 — semantic retrieval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Add multilingual embedding ANN for names/addresses.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Recover semantic/transliteration candidates missed by fuzzy retrieval.</w:t>
            </w:r>
          </w:p>
        </w:tc>
      </w:tr>
      <w:tr>
        <w:tc>
          <w:tcPr>
            <w:tcW w:type="dxa" w:w="2160"/>
            <w:shd w:fill="F2F6F9"/>
            <w:vAlign w:val="top"/>
          </w:tcPr>
          <w:p>
            <w:r>
              <w:rPr>
                <w:sz w:val="16"/>
              </w:rPr>
              <w:t>V3 — rich hybrid model</w:t>
            </w:r>
          </w:p>
        </w:tc>
        <w:tc>
          <w:tcPr>
            <w:tcW w:type="dxa" w:w="6336"/>
            <w:shd w:fill="F2F6F9"/>
            <w:vAlign w:val="top"/>
          </w:tcPr>
          <w:p>
            <w:r>
              <w:rPr>
                <w:sz w:val="16"/>
              </w:rPr>
              <w:t>Add embedding similarities as LightGBM features + hard negatives.</w:t>
            </w:r>
          </w:p>
        </w:tc>
        <w:tc>
          <w:tcPr>
            <w:tcW w:type="dxa" w:w="2880"/>
            <w:shd w:fill="F2F6F9"/>
            <w:vAlign w:val="top"/>
          </w:tcPr>
          <w:p>
            <w:r>
              <w:rPr>
                <w:sz w:val="16"/>
              </w:rPr>
              <w:t>Improve pair verification.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V4 — Transformer verifier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Apply pairwise encoder only to top-k candidates.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Handle difficult borderline pairs.</w:t>
            </w:r>
          </w:p>
        </w:tc>
      </w:tr>
      <w:tr>
        <w:tc>
          <w:tcPr>
            <w:tcW w:type="dxa" w:w="2160"/>
            <w:shd w:fill="F2F6F9"/>
            <w:vAlign w:val="top"/>
          </w:tcPr>
          <w:p>
            <w:r>
              <w:rPr>
                <w:sz w:val="16"/>
              </w:rPr>
              <w:t>V5 — ensemble + postprocess</w:t>
            </w:r>
          </w:p>
        </w:tc>
        <w:tc>
          <w:tcPr>
            <w:tcW w:type="dxa" w:w="6336"/>
            <w:shd w:fill="F2F6F9"/>
            <w:vAlign w:val="top"/>
          </w:tcPr>
          <w:p>
            <w:r>
              <w:rPr>
                <w:sz w:val="16"/>
              </w:rPr>
              <w:t>Blend calibrated scores; threshold/margin/singleton tuning.</w:t>
            </w:r>
          </w:p>
        </w:tc>
        <w:tc>
          <w:tcPr>
            <w:tcW w:type="dxa" w:w="2880"/>
            <w:shd w:fill="F2F6F9"/>
            <w:vAlign w:val="top"/>
          </w:tcPr>
          <w:p>
            <w:r>
              <w:rPr>
                <w:sz w:val="16"/>
              </w:rPr>
              <w:t>Optimize the exact F₀.₅ metric.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Borders>
              <w:left w:val="single" w:sz="18" w:color="C9A227"/>
            </w:tcBorders>
          </w:tcPr>
          <w:p>
            <w:r>
              <w:rPr>
                <w:b/>
              </w:rPr>
              <w:t xml:space="preserve">Engineering principle: </w:t>
            </w:r>
            <w:r>
              <w:t>Do not start with XLM-R-large + multiple models. If blocking recall is weak, a larger model only makes wrong candidate sets more expensive. Establish a measurable baseline first.</w:t>
            </w:r>
          </w:p>
        </w:tc>
      </w:tr>
    </w:tbl>
    <w:p/>
    <w:p>
      <w:pPr>
        <w:pStyle w:val="Heading1"/>
      </w:pPr>
      <w:r>
        <w:t>15. End-to-End Inference Pseudocode</w:t>
      </w:r>
    </w:p>
    <w:p>
      <w:pPr>
        <w:spacing w:before="60" w:after="160"/>
        <w:shd w:fill="F3F4F6"/>
      </w:pPr>
      <w:r>
        <w:rPr>
          <w:rFonts w:ascii="Consolas" w:hAnsi="Consolas"/>
          <w:color w:val="232323"/>
          <w:sz w:val="17"/>
        </w:rPr>
        <w:t># 1) Load S1 / S2 / S3</w:t>
        <w:br/>
        <w:t># 2) Normalize text without deleting raw fields</w:t>
        <w:br/>
        <w:t># 3) Build retrieval indexes from S2 + S3</w:t>
        <w:br/>
        <w:br/>
        <w:t>for s1 in source1:</w:t>
        <w:br/>
        <w:t xml:space="preserve">    candidates = set()</w:t>
        <w:br/>
        <w:t xml:space="preserve">    candidates |= retrieve_by_name(s1)</w:t>
        <w:br/>
        <w:t xml:space="preserve">    candidates |= retrieve_by_address(s1)</w:t>
        <w:br/>
        <w:t xml:space="preserve">    candidates |= retrieve_by_exact_keys(s1)</w:t>
        <w:br/>
        <w:t xml:space="preserve">    candidates |= retrieve_by_embedding(s1)</w:t>
        <w:br/>
        <w:br/>
        <w:t xml:space="preserve">    candidates = keep_only_s2_s3(candidates)</w:t>
        <w:br/>
        <w:br/>
        <w:t xml:space="preserve">    # 4) cheap reranker</w:t>
        <w:br/>
        <w:t xml:space="preserve">    cheap = lgbm1.predict(make_cheap_features(s1, candidates))</w:t>
        <w:br/>
        <w:t xml:space="preserve">    top20 = top_k(candidates, cheap, k=20)</w:t>
        <w:br/>
        <w:br/>
        <w:t xml:space="preserve">    # 5) rich pair scoring</w:t>
        <w:br/>
        <w:t xml:space="preserve">    rich_features = make_rich_features(s1, top20)</w:t>
        <w:br/>
        <w:t xml:space="preserve">    score_lgbm = lgbm2.predict_proba(rich_features)</w:t>
        <w:br/>
        <w:br/>
        <w:t xml:space="preserve">    # 6) optional verifier</w:t>
        <w:br/>
        <w:t xml:space="preserve">    score_tr = transformer_verifier(s1, top20)</w:t>
        <w:br/>
        <w:t xml:space="preserve">    final_score = blend(score_lgbm, score_tr)</w:t>
        <w:br/>
        <w:br/>
        <w:t xml:space="preserve">    # 7) final decision</w:t>
        <w:br/>
        <w:t xml:space="preserve">    matches = [c for c,score in final_score.items()</w:t>
        <w:br/>
        <w:t xml:space="preserve">               if score &gt;= THRESHOLD[country_bucket(s1)]]</w:t>
        <w:br/>
        <w:br/>
        <w:t xml:space="preserve">    matches = postprocess(s1, matches, final_score)</w:t>
        <w:br/>
        <w:br/>
        <w:t xml:space="preserve">    output(s1.entity_id, matches)</w:t>
      </w:r>
    </w:p>
    <w:p>
      <w:r>
        <w:t>The pseudocode intentionally leaves the threshold and blending weights as learned/validated parameters rather than hard-coded constants.</w:t>
      </w:r>
    </w:p>
    <w:p>
      <w:pPr>
        <w:pStyle w:val="Heading1"/>
      </w:pPr>
      <w:r>
        <w:t>16. Submission Construction</w:t>
      </w:r>
    </w:p>
    <w:p>
      <w:r>
        <w:t>The prediction file must contain every Source 1 entity exactly once. For each row, matched_entity_ids is a comma-separated list of S2/S3 IDs, empty if there is no match.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source1_entity_id</w:t>
            </w:r>
          </w:p>
        </w:tc>
        <w:tc>
          <w:tcPr>
            <w:tcW w:type="dxa" w:w="676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matched_entity_ids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S1-925783039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  <w:t>S2-... , S3-...</w:t>
            </w:r>
          </w:p>
        </w:tc>
      </w:tr>
      <w:tr>
        <w:tc>
          <w:tcPr>
            <w:tcW w:type="dxa" w:w="3312"/>
            <w:shd w:fill="F2F6F9"/>
            <w:vAlign w:val="top"/>
          </w:tcPr>
          <w:p>
            <w:r>
              <w:rPr>
                <w:sz w:val="17"/>
              </w:rPr>
              <w:t>S1-773889195</w:t>
            </w:r>
          </w:p>
        </w:tc>
        <w:tc>
          <w:tcPr>
            <w:tcW w:type="dxa" w:w="6768"/>
            <w:shd w:fill="F2F6F9"/>
            <w:vAlign w:val="top"/>
          </w:tcPr>
          <w:p>
            <w:r>
              <w:rPr>
                <w:sz w:val="17"/>
              </w:rPr>
              <w:t>S2-...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S1-377745466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12"/>
            <w:shd w:fill="F2F6F9"/>
            <w:vAlign w:val="top"/>
          </w:tcPr>
          <w:p>
            <w:r>
              <w:rPr>
                <w:sz w:val="17"/>
              </w:rPr>
              <w:t>S1-133037285</w:t>
            </w:r>
          </w:p>
        </w:tc>
        <w:tc>
          <w:tcPr>
            <w:tcW w:type="dxa" w:w="6768"/>
            <w:shd w:fill="F2F6F9"/>
            <w:vAlign w:val="top"/>
          </w:tcPr>
          <w:p>
            <w:r>
              <w:rPr>
                <w:sz w:val="17"/>
              </w:rPr>
              <w:t>S2-...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S1-755362802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  <w:t>S3-...</w:t>
            </w:r>
          </w:p>
        </w:tc>
      </w:tr>
    </w:tbl>
    <w:p/>
    <w:p>
      <w:pPr>
        <w:pStyle w:val="ListBullet"/>
        <w:spacing w:after="40"/>
      </w:pPr>
      <w:r>
        <w:t>Validate that no S1 row is missing from the submission — including France rows.</w:t>
      </w:r>
    </w:p>
    <w:p>
      <w:pPr>
        <w:pStyle w:val="ListBullet"/>
        <w:spacing w:after="40"/>
      </w:pPr>
      <w:r>
        <w:t>Validate that no S1 row contains an S1 ID as a predicted match.</w:t>
      </w:r>
    </w:p>
    <w:p>
      <w:pPr>
        <w:pStyle w:val="ListBullet"/>
        <w:spacing w:after="40"/>
      </w:pPr>
      <w:r>
        <w:t>Validate all predicted match IDs exist in S2/S3.</w:t>
      </w:r>
    </w:p>
    <w:p>
      <w:pPr>
        <w:pStyle w:val="ListBullet"/>
        <w:spacing w:after="40"/>
      </w:pPr>
      <w:r>
        <w:t>Deduplicate matched_entity_ids while preserving deterministic ordering.</w:t>
      </w:r>
    </w:p>
    <w:p>
      <w:pPr>
        <w:pStyle w:val="ListBullet"/>
        <w:spacing w:after="40"/>
      </w:pPr>
      <w:r>
        <w:t>Represent no-match exactly as the competition expects (empty list / empty field according to the provided submission template).</w:t>
      </w:r>
    </w:p>
    <w:p>
      <w:pPr>
        <w:pStyle w:val="Heading1"/>
      </w:pPr>
      <w:r>
        <w:t>17. Important Constraints and Non-Goals</w:t>
      </w:r>
    </w:p>
    <w:p>
      <w:pPr>
        <w:pStyle w:val="ListBullet"/>
        <w:spacing w:after="40"/>
      </w:pPr>
      <w:r>
        <w:t>No external databases, APIs, map services or geocoding services. All evidence must come from the provided records.</w:t>
      </w:r>
    </w:p>
    <w:p>
      <w:pPr>
        <w:pStyle w:val="ListBullet"/>
        <w:spacing w:after="40"/>
      </w:pPr>
      <w:r>
        <w:t>No US/India-only assumptions; France is a legitimate test country and must be processed.</w:t>
      </w:r>
    </w:p>
    <w:p>
      <w:pPr>
        <w:pStyle w:val="ListBullet"/>
        <w:spacing w:after="40"/>
      </w:pPr>
      <w:r>
        <w:t>No forced one-to-one assignment unless the ground truth or official rules explicitly guarantee it. The provided ground-truth format permits multiple matches per S1.</w:t>
      </w:r>
    </w:p>
    <w:p>
      <w:pPr>
        <w:pStyle w:val="ListBullet"/>
        <w:spacing w:after="40"/>
      </w:pPr>
      <w:r>
        <w:t>No “nearest candidate = match” rule. The nearest candidate can still be a false merge.</w:t>
      </w:r>
    </w:p>
    <w:p>
      <w:pPr>
        <w:pStyle w:val="ListBullet"/>
        <w:spacing w:after="40"/>
      </w:pPr>
      <w:r>
        <w:t>No dependence on a single similarity score. Entity resolution is a multi-field evidence problem.</w:t>
      </w:r>
    </w:p>
    <w:p>
      <w:pPr>
        <w:pStyle w:val="Heading1"/>
      </w:pPr>
      <w:r>
        <w:t>18. Reference Material</w:t>
      </w:r>
    </w:p>
    <w:p>
      <w:r>
        <w:t>The architecture in this document is informed by entity-resolution / record-linkage patterns and the Foursquare Location Matching competition solutions discussed earlier. The linked pages are useful for seeing how candidate generation, learned reranking, semantic retrieval, and post-processing can be combined in a competition setting.</w:t>
      </w:r>
    </w:p>
    <w:p>
      <w:pPr>
        <w:pStyle w:val="ListBullet"/>
        <w:spacing w:after="40"/>
      </w:pPr>
      <w:r>
        <w:t>Kaggle — Foursquare - Location Matching (2022): https://www.kaggle.com/competitions/foursquare-location-matching</w:t>
      </w:r>
    </w:p>
    <w:p>
      <w:pPr>
        <w:pStyle w:val="ListBullet"/>
        <w:spacing w:after="40"/>
      </w:pPr>
      <w:r>
        <w:t>Kaggle — Psi 3rd place solution: https://kaggle.com/competitions/foursquare-location-matching/writeups/psi-3rd-place-solution</w:t>
      </w:r>
    </w:p>
    <w:p>
      <w:pPr>
        <w:pStyle w:val="ListBullet"/>
        <w:spacing w:after="40"/>
      </w:pPr>
      <w:r>
        <w:t>Kaggle — Foursquare discussion 336140: https://www.kaggle.com/competitions/foursquare-location-matching/discussion/336140</w:t>
      </w:r>
    </w:p>
    <w:p>
      <w:pPr>
        <w:pStyle w:val="ListBullet"/>
        <w:spacing w:after="40"/>
      </w:pPr>
      <w:r>
        <w:t>Provided 1st Place Solution Summary image (competition reference architecture).</w:t>
      </w:r>
    </w:p>
    <w:p>
      <w:pPr>
        <w:pStyle w:val="Heading1"/>
      </w:pPr>
      <w:r>
        <w:t>19. Practical Checklist Before Submission</w:t>
      </w:r>
    </w:p>
    <w:p>
      <w:pPr>
        <w:pStyle w:val="ListBullet"/>
        <w:spacing w:after="40"/>
      </w:pPr>
      <w:r>
        <w:t>Normalization is deterministic and raw text is preserved.</w:t>
      </w:r>
    </w:p>
    <w:p>
      <w:pPr>
        <w:pStyle w:val="ListBullet"/>
        <w:spacing w:after="40"/>
      </w:pPr>
      <w:r>
        <w:t>Candidate generation uses multiple independent retrieval channels.</w:t>
      </w:r>
    </w:p>
    <w:p>
      <w:pPr>
        <w:pStyle w:val="ListBullet"/>
        <w:spacing w:after="40"/>
      </w:pPr>
      <w:r>
        <w:t>Blocking recall@K is measured on validation.</w:t>
      </w:r>
    </w:p>
    <w:p>
      <w:pPr>
        <w:pStyle w:val="ListBullet"/>
        <w:spacing w:after="40"/>
      </w:pPr>
      <w:r>
        <w:t>Hard negatives are included in classifier training.</w:t>
      </w:r>
    </w:p>
    <w:p>
      <w:pPr>
        <w:pStyle w:val="ListBullet"/>
        <w:spacing w:after="40"/>
      </w:pPr>
      <w:r>
        <w:t>Fuzzy and semantic features are both available for difficult pairs.</w:t>
      </w:r>
    </w:p>
    <w:p>
      <w:pPr>
        <w:pStyle w:val="ListBullet"/>
        <w:spacing w:after="40"/>
      </w:pPr>
      <w:r>
        <w:t>Country is handled as an open-set field; France is not filtered out.</w:t>
      </w:r>
    </w:p>
    <w:p>
      <w:pPr>
        <w:pStyle w:val="ListBullet"/>
        <w:spacing w:after="40"/>
      </w:pPr>
      <w:r>
        <w:t>Final threshold is tuned against the official F₀.₅ scorer.</w:t>
      </w:r>
    </w:p>
    <w:p>
      <w:pPr>
        <w:pStyle w:val="ListBullet"/>
        <w:spacing w:after="40"/>
      </w:pPr>
      <w:r>
        <w:t>No-match is allowed and singletons are not forced to match.</w:t>
      </w:r>
    </w:p>
    <w:p>
      <w:pPr>
        <w:pStyle w:val="ListBullet"/>
        <w:spacing w:after="40"/>
      </w:pPr>
      <w:r>
        <w:t>Multiple S2/S3 matches per S1 are supported.</w:t>
      </w:r>
    </w:p>
    <w:p>
      <w:pPr>
        <w:pStyle w:val="ListBullet"/>
        <w:spacing w:after="40"/>
      </w:pPr>
      <w:r>
        <w:t>Every S1 entity appears in the final submission.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Entity Resolution / Record Linkage — Solution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9BD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