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C80BD" w14:textId="77777777" w:rsidR="00F10D8E" w:rsidRDefault="00000000">
      <w:pPr>
        <w:spacing w:before="600" w:after="120"/>
      </w:pPr>
      <w:proofErr w:type="spellStart"/>
      <w:r>
        <w:rPr>
          <w:b/>
          <w:bCs/>
          <w:color w:val="183153"/>
          <w:sz w:val="56"/>
          <w:szCs w:val="56"/>
        </w:rPr>
        <w:t>KoshSetu</w:t>
      </w:r>
      <w:proofErr w:type="spellEnd"/>
    </w:p>
    <w:p w14:paraId="0063B100" w14:textId="77777777" w:rsidR="00F10D8E" w:rsidRDefault="00000000">
      <w:pPr>
        <w:spacing w:after="240"/>
      </w:pPr>
      <w:r>
        <w:rPr>
          <w:color w:val="244DB1"/>
          <w:sz w:val="32"/>
          <w:szCs w:val="32"/>
        </w:rPr>
        <w:t>Improvement Plan and UI Direction</w:t>
      </w:r>
    </w:p>
    <w:p w14:paraId="0B89F46A" w14:textId="77777777" w:rsidR="00F10D8E" w:rsidRDefault="00000000">
      <w:pPr>
        <w:spacing w:after="120" w:line="300" w:lineRule="auto"/>
      </w:pPr>
      <w:r>
        <w:t>Project: SIH26265, Streamline of security deposit / FDR portal (AICTE Regulation Bureau)</w:t>
      </w:r>
    </w:p>
    <w:p w14:paraId="46724ED1" w14:textId="77777777" w:rsidR="00F10D8E" w:rsidRDefault="00000000">
      <w:pPr>
        <w:spacing w:after="120" w:line="300" w:lineRule="auto"/>
      </w:pPr>
      <w:r>
        <w:t>Basis: review of the repository at github.com/dipesh4000/</w:t>
      </w:r>
      <w:proofErr w:type="spellStart"/>
      <w:r>
        <w:t>KoshSetu</w:t>
      </w:r>
      <w:proofErr w:type="spellEnd"/>
      <w:r>
        <w:t>-SIH (main), the two specification documents, a test run of the backend suite (61 tests passing), a frontend type-check and production build, targeted extraction tests, and a UI reference screenshot.</w:t>
      </w:r>
    </w:p>
    <w:p w14:paraId="2A4674A5" w14:textId="77777777" w:rsidR="00F10D8E" w:rsidRDefault="00000000">
      <w:pPr>
        <w:spacing w:after="120" w:line="300" w:lineRule="auto"/>
      </w:pPr>
      <w:r>
        <w:t xml:space="preserve">Status: working document. Items are </w:t>
      </w:r>
      <w:proofErr w:type="spellStart"/>
      <w:r>
        <w:t>prioritised</w:t>
      </w:r>
      <w:proofErr w:type="spellEnd"/>
      <w:r>
        <w:t xml:space="preserve"> by risk to the demo and to the honesty of its claims.</w:t>
      </w:r>
    </w:p>
    <w:p w14:paraId="6BF5A87E" w14:textId="77777777" w:rsidR="00F10D8E" w:rsidRDefault="00000000">
      <w:pPr>
        <w:pStyle w:val="Heading1"/>
        <w:pBdr>
          <w:bottom w:val="single" w:sz="6" w:space="4" w:color="183153"/>
        </w:pBdr>
      </w:pPr>
      <w:r>
        <w:t>1. Summary</w:t>
      </w:r>
    </w:p>
    <w:p w14:paraId="4A4DDFB6" w14:textId="77777777" w:rsidR="00F10D8E" w:rsidRDefault="00000000">
      <w:pPr>
        <w:spacing w:after="120" w:line="300" w:lineRule="auto"/>
      </w:pPr>
      <w:proofErr w:type="spellStart"/>
      <w:r>
        <w:t>KoshSetu</w:t>
      </w:r>
      <w:proofErr w:type="spellEnd"/>
      <w:r>
        <w:t xml:space="preserve"> has a strong architecture and a thorough set of disclaimers. The main risks are in three places: the document extraction, which returns wrong values with high confidence; several security controls that are described but not implemented or not tested under concurrency; and documentation that no longer matches the code. The recommended order is to fix correctness and honesty first, measure the system, then extend features and polish the interface.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3"/>
        <w:gridCol w:w="1986"/>
        <w:gridCol w:w="5957"/>
      </w:tblGrid>
      <w:tr w:rsidR="00F10D8E" w14:paraId="49D948A7" w14:textId="77777777">
        <w:tblPrEx>
          <w:tblCellMar>
            <w:top w:w="0" w:type="dxa"/>
            <w:bottom w:w="0" w:type="dxa"/>
          </w:tblCellMar>
        </w:tblPrEx>
        <w:trPr>
          <w:tblHeader/>
        </w:trPr>
        <w:tc>
          <w:tcPr>
            <w:tcW w:w="1083" w:type="dxa"/>
            <w:shd w:val="clear" w:color="auto" w:fill="183153"/>
            <w:tcMar>
              <w:top w:w="80" w:type="dxa"/>
              <w:left w:w="110" w:type="dxa"/>
              <w:bottom w:w="80" w:type="dxa"/>
              <w:right w:w="110" w:type="dxa"/>
            </w:tcMar>
          </w:tcPr>
          <w:p w14:paraId="288C1F5D" w14:textId="77777777" w:rsidR="00F10D8E" w:rsidRDefault="00000000">
            <w:r>
              <w:rPr>
                <w:b/>
                <w:bCs/>
                <w:color w:val="FFFFFF"/>
                <w:sz w:val="18"/>
                <w:szCs w:val="18"/>
              </w:rPr>
              <w:t>Priority</w:t>
            </w:r>
          </w:p>
        </w:tc>
        <w:tc>
          <w:tcPr>
            <w:tcW w:w="1986" w:type="dxa"/>
            <w:shd w:val="clear" w:color="auto" w:fill="183153"/>
            <w:tcMar>
              <w:top w:w="80" w:type="dxa"/>
              <w:left w:w="110" w:type="dxa"/>
              <w:bottom w:w="80" w:type="dxa"/>
              <w:right w:w="110" w:type="dxa"/>
            </w:tcMar>
          </w:tcPr>
          <w:p w14:paraId="229BE8E3" w14:textId="77777777" w:rsidR="00F10D8E" w:rsidRDefault="00000000">
            <w:r>
              <w:rPr>
                <w:b/>
                <w:bCs/>
                <w:color w:val="FFFFFF"/>
                <w:sz w:val="18"/>
                <w:szCs w:val="18"/>
              </w:rPr>
              <w:t>Theme</w:t>
            </w:r>
          </w:p>
        </w:tc>
        <w:tc>
          <w:tcPr>
            <w:tcW w:w="5957" w:type="dxa"/>
            <w:shd w:val="clear" w:color="auto" w:fill="183153"/>
            <w:tcMar>
              <w:top w:w="80" w:type="dxa"/>
              <w:left w:w="110" w:type="dxa"/>
              <w:bottom w:w="80" w:type="dxa"/>
              <w:right w:w="110" w:type="dxa"/>
            </w:tcMar>
          </w:tcPr>
          <w:p w14:paraId="5242057C" w14:textId="77777777" w:rsidR="00F10D8E" w:rsidRDefault="00000000">
            <w:r>
              <w:rPr>
                <w:b/>
                <w:bCs/>
                <w:color w:val="FFFFFF"/>
                <w:sz w:val="18"/>
                <w:szCs w:val="18"/>
              </w:rPr>
              <w:t>Why it comes here</w:t>
            </w:r>
          </w:p>
        </w:tc>
      </w:tr>
      <w:tr w:rsidR="00F10D8E" w14:paraId="10C83A33" w14:textId="77777777">
        <w:tblPrEx>
          <w:tblCellMar>
            <w:top w:w="0" w:type="dxa"/>
            <w:bottom w:w="0" w:type="dxa"/>
          </w:tblCellMar>
        </w:tblPrEx>
        <w:trPr>
          <w:cantSplit/>
        </w:trPr>
        <w:tc>
          <w:tcPr>
            <w:tcW w:w="1083" w:type="dxa"/>
            <w:tcMar>
              <w:top w:w="80" w:type="dxa"/>
              <w:left w:w="110" w:type="dxa"/>
              <w:bottom w:w="80" w:type="dxa"/>
              <w:right w:w="110" w:type="dxa"/>
            </w:tcMar>
          </w:tcPr>
          <w:p w14:paraId="2FC50A02" w14:textId="77777777" w:rsidR="00F10D8E" w:rsidRDefault="00000000">
            <w:r>
              <w:rPr>
                <w:color w:val="1F2937"/>
                <w:sz w:val="18"/>
                <w:szCs w:val="18"/>
              </w:rPr>
              <w:t>P0</w:t>
            </w:r>
          </w:p>
        </w:tc>
        <w:tc>
          <w:tcPr>
            <w:tcW w:w="1986" w:type="dxa"/>
            <w:tcMar>
              <w:top w:w="80" w:type="dxa"/>
              <w:left w:w="110" w:type="dxa"/>
              <w:bottom w:w="80" w:type="dxa"/>
              <w:right w:w="110" w:type="dxa"/>
            </w:tcMar>
          </w:tcPr>
          <w:p w14:paraId="351DB250" w14:textId="77777777" w:rsidR="00F10D8E" w:rsidRDefault="00000000">
            <w:r>
              <w:rPr>
                <w:color w:val="1F2937"/>
                <w:sz w:val="18"/>
                <w:szCs w:val="18"/>
              </w:rPr>
              <w:t>Extraction correctness</w:t>
            </w:r>
          </w:p>
        </w:tc>
        <w:tc>
          <w:tcPr>
            <w:tcW w:w="5957" w:type="dxa"/>
            <w:tcMar>
              <w:top w:w="80" w:type="dxa"/>
              <w:left w:w="110" w:type="dxa"/>
              <w:bottom w:w="80" w:type="dxa"/>
              <w:right w:w="110" w:type="dxa"/>
            </w:tcMar>
          </w:tcPr>
          <w:p w14:paraId="4F4E7AC2" w14:textId="77777777" w:rsidR="00F10D8E" w:rsidRDefault="00000000">
            <w:r>
              <w:rPr>
                <w:color w:val="1F2937"/>
                <w:sz w:val="18"/>
                <w:szCs w:val="18"/>
              </w:rPr>
              <w:t>A wrong principal is marked READY at confidence 0.94, and the bank name is captured incorrectly. This is the core automation claim.</w:t>
            </w:r>
          </w:p>
        </w:tc>
      </w:tr>
      <w:tr w:rsidR="00F10D8E" w14:paraId="02F94047" w14:textId="77777777">
        <w:tblPrEx>
          <w:tblCellMar>
            <w:top w:w="0" w:type="dxa"/>
            <w:bottom w:w="0" w:type="dxa"/>
          </w:tblCellMar>
        </w:tblPrEx>
        <w:trPr>
          <w:cantSplit/>
        </w:trPr>
        <w:tc>
          <w:tcPr>
            <w:tcW w:w="1083" w:type="dxa"/>
            <w:shd w:val="clear" w:color="auto" w:fill="F2F4F7"/>
            <w:tcMar>
              <w:top w:w="80" w:type="dxa"/>
              <w:left w:w="110" w:type="dxa"/>
              <w:bottom w:w="80" w:type="dxa"/>
              <w:right w:w="110" w:type="dxa"/>
            </w:tcMar>
          </w:tcPr>
          <w:p w14:paraId="6C6D6235" w14:textId="77777777" w:rsidR="00F10D8E" w:rsidRDefault="00000000">
            <w:r>
              <w:rPr>
                <w:color w:val="1F2937"/>
                <w:sz w:val="18"/>
                <w:szCs w:val="18"/>
              </w:rPr>
              <w:t>P0</w:t>
            </w:r>
          </w:p>
        </w:tc>
        <w:tc>
          <w:tcPr>
            <w:tcW w:w="1986" w:type="dxa"/>
            <w:shd w:val="clear" w:color="auto" w:fill="F2F4F7"/>
            <w:tcMar>
              <w:top w:w="80" w:type="dxa"/>
              <w:left w:w="110" w:type="dxa"/>
              <w:bottom w:w="80" w:type="dxa"/>
              <w:right w:w="110" w:type="dxa"/>
            </w:tcMar>
          </w:tcPr>
          <w:p w14:paraId="3B5D877C" w14:textId="77777777" w:rsidR="00F10D8E" w:rsidRDefault="00000000">
            <w:r>
              <w:rPr>
                <w:color w:val="1F2937"/>
                <w:sz w:val="18"/>
                <w:szCs w:val="18"/>
              </w:rPr>
              <w:t>Documentation accuracy</w:t>
            </w:r>
          </w:p>
        </w:tc>
        <w:tc>
          <w:tcPr>
            <w:tcW w:w="5957" w:type="dxa"/>
            <w:shd w:val="clear" w:color="auto" w:fill="F2F4F7"/>
            <w:tcMar>
              <w:top w:w="80" w:type="dxa"/>
              <w:left w:w="110" w:type="dxa"/>
              <w:bottom w:w="80" w:type="dxa"/>
              <w:right w:w="110" w:type="dxa"/>
            </w:tcMar>
          </w:tcPr>
          <w:p w14:paraId="0E23802F" w14:textId="77777777" w:rsidR="00F10D8E" w:rsidRDefault="00000000">
            <w:r>
              <w:rPr>
                <w:color w:val="1F2937"/>
                <w:sz w:val="18"/>
                <w:szCs w:val="18"/>
              </w:rPr>
              <w:t>README lists clearance codes, scenario names and tooling that do not exist in the code. Reviewers will check.</w:t>
            </w:r>
          </w:p>
        </w:tc>
      </w:tr>
      <w:tr w:rsidR="00F10D8E" w14:paraId="4200EC99" w14:textId="77777777">
        <w:tblPrEx>
          <w:tblCellMar>
            <w:top w:w="0" w:type="dxa"/>
            <w:bottom w:w="0" w:type="dxa"/>
          </w:tblCellMar>
        </w:tblPrEx>
        <w:trPr>
          <w:cantSplit/>
        </w:trPr>
        <w:tc>
          <w:tcPr>
            <w:tcW w:w="1083" w:type="dxa"/>
            <w:tcMar>
              <w:top w:w="80" w:type="dxa"/>
              <w:left w:w="110" w:type="dxa"/>
              <w:bottom w:w="80" w:type="dxa"/>
              <w:right w:w="110" w:type="dxa"/>
            </w:tcMar>
          </w:tcPr>
          <w:p w14:paraId="2F2395EC" w14:textId="77777777" w:rsidR="00F10D8E" w:rsidRDefault="00000000">
            <w:r>
              <w:rPr>
                <w:color w:val="1F2937"/>
                <w:sz w:val="18"/>
                <w:szCs w:val="18"/>
              </w:rPr>
              <w:t>P0</w:t>
            </w:r>
          </w:p>
        </w:tc>
        <w:tc>
          <w:tcPr>
            <w:tcW w:w="1986" w:type="dxa"/>
            <w:tcMar>
              <w:top w:w="80" w:type="dxa"/>
              <w:left w:w="110" w:type="dxa"/>
              <w:bottom w:w="80" w:type="dxa"/>
              <w:right w:w="110" w:type="dxa"/>
            </w:tcMar>
          </w:tcPr>
          <w:p w14:paraId="033B4613" w14:textId="77777777" w:rsidR="00F10D8E" w:rsidRDefault="00000000">
            <w:r>
              <w:rPr>
                <w:color w:val="1F2937"/>
                <w:sz w:val="18"/>
                <w:szCs w:val="18"/>
              </w:rPr>
              <w:t>Security gaps</w:t>
            </w:r>
          </w:p>
        </w:tc>
        <w:tc>
          <w:tcPr>
            <w:tcW w:w="5957" w:type="dxa"/>
            <w:tcMar>
              <w:top w:w="80" w:type="dxa"/>
              <w:left w:w="110" w:type="dxa"/>
              <w:bottom w:w="80" w:type="dxa"/>
              <w:right w:w="110" w:type="dxa"/>
            </w:tcMar>
          </w:tcPr>
          <w:p w14:paraId="13FBE806" w14:textId="77777777" w:rsidR="00F10D8E" w:rsidRDefault="00000000">
            <w:r>
              <w:rPr>
                <w:color w:val="1F2937"/>
                <w:sz w:val="18"/>
                <w:szCs w:val="18"/>
              </w:rPr>
              <w:t>Approval race, audit chain, MFA not implemented, weak document obfuscation, no login throttling.</w:t>
            </w:r>
          </w:p>
        </w:tc>
      </w:tr>
      <w:tr w:rsidR="00F10D8E" w14:paraId="631622FA" w14:textId="77777777">
        <w:tblPrEx>
          <w:tblCellMar>
            <w:top w:w="0" w:type="dxa"/>
            <w:bottom w:w="0" w:type="dxa"/>
          </w:tblCellMar>
        </w:tblPrEx>
        <w:trPr>
          <w:cantSplit/>
        </w:trPr>
        <w:tc>
          <w:tcPr>
            <w:tcW w:w="1083" w:type="dxa"/>
            <w:shd w:val="clear" w:color="auto" w:fill="F2F4F7"/>
            <w:tcMar>
              <w:top w:w="80" w:type="dxa"/>
              <w:left w:w="110" w:type="dxa"/>
              <w:bottom w:w="80" w:type="dxa"/>
              <w:right w:w="110" w:type="dxa"/>
            </w:tcMar>
          </w:tcPr>
          <w:p w14:paraId="38817FD3" w14:textId="77777777" w:rsidR="00F10D8E" w:rsidRDefault="00000000">
            <w:r>
              <w:rPr>
                <w:color w:val="1F2937"/>
                <w:sz w:val="18"/>
                <w:szCs w:val="18"/>
              </w:rPr>
              <w:t>P1</w:t>
            </w:r>
          </w:p>
        </w:tc>
        <w:tc>
          <w:tcPr>
            <w:tcW w:w="1986" w:type="dxa"/>
            <w:shd w:val="clear" w:color="auto" w:fill="F2F4F7"/>
            <w:tcMar>
              <w:top w:w="80" w:type="dxa"/>
              <w:left w:w="110" w:type="dxa"/>
              <w:bottom w:w="80" w:type="dxa"/>
              <w:right w:w="110" w:type="dxa"/>
            </w:tcMar>
          </w:tcPr>
          <w:p w14:paraId="5B119E1D" w14:textId="77777777" w:rsidR="00F10D8E" w:rsidRDefault="00000000">
            <w:r>
              <w:rPr>
                <w:color w:val="1F2937"/>
                <w:sz w:val="18"/>
                <w:szCs w:val="18"/>
              </w:rPr>
              <w:t>Measurement</w:t>
            </w:r>
          </w:p>
        </w:tc>
        <w:tc>
          <w:tcPr>
            <w:tcW w:w="5957" w:type="dxa"/>
            <w:shd w:val="clear" w:color="auto" w:fill="F2F4F7"/>
            <w:tcMar>
              <w:top w:w="80" w:type="dxa"/>
              <w:left w:w="110" w:type="dxa"/>
              <w:bottom w:w="80" w:type="dxa"/>
              <w:right w:w="110" w:type="dxa"/>
            </w:tcMar>
          </w:tcPr>
          <w:p w14:paraId="4DEB9DEB" w14:textId="77777777" w:rsidR="00F10D8E" w:rsidRDefault="00000000">
            <w:r>
              <w:rPr>
                <w:color w:val="1F2937"/>
                <w:sz w:val="18"/>
                <w:szCs w:val="18"/>
              </w:rPr>
              <w:t>The spec asks for measurable improvement. The repo has no labelled evaluation set or results.</w:t>
            </w:r>
          </w:p>
        </w:tc>
      </w:tr>
      <w:tr w:rsidR="00F10D8E" w14:paraId="632DDD08" w14:textId="77777777">
        <w:tblPrEx>
          <w:tblCellMar>
            <w:top w:w="0" w:type="dxa"/>
            <w:bottom w:w="0" w:type="dxa"/>
          </w:tblCellMar>
        </w:tblPrEx>
        <w:trPr>
          <w:cantSplit/>
        </w:trPr>
        <w:tc>
          <w:tcPr>
            <w:tcW w:w="1083" w:type="dxa"/>
            <w:tcMar>
              <w:top w:w="80" w:type="dxa"/>
              <w:left w:w="110" w:type="dxa"/>
              <w:bottom w:w="80" w:type="dxa"/>
              <w:right w:w="110" w:type="dxa"/>
            </w:tcMar>
          </w:tcPr>
          <w:p w14:paraId="6348AC28" w14:textId="77777777" w:rsidR="00F10D8E" w:rsidRDefault="00000000">
            <w:r>
              <w:rPr>
                <w:color w:val="1F2937"/>
                <w:sz w:val="18"/>
                <w:szCs w:val="18"/>
              </w:rPr>
              <w:t>P1</w:t>
            </w:r>
          </w:p>
        </w:tc>
        <w:tc>
          <w:tcPr>
            <w:tcW w:w="1986" w:type="dxa"/>
            <w:tcMar>
              <w:top w:w="80" w:type="dxa"/>
              <w:left w:w="110" w:type="dxa"/>
              <w:bottom w:w="80" w:type="dxa"/>
              <w:right w:w="110" w:type="dxa"/>
            </w:tcMar>
          </w:tcPr>
          <w:p w14:paraId="7601647A" w14:textId="77777777" w:rsidR="00F10D8E" w:rsidRDefault="00000000">
            <w:r>
              <w:rPr>
                <w:color w:val="1F2937"/>
                <w:sz w:val="18"/>
                <w:szCs w:val="18"/>
              </w:rPr>
              <w:t>UI direction</w:t>
            </w:r>
          </w:p>
        </w:tc>
        <w:tc>
          <w:tcPr>
            <w:tcW w:w="5957" w:type="dxa"/>
            <w:tcMar>
              <w:top w:w="80" w:type="dxa"/>
              <w:left w:w="110" w:type="dxa"/>
              <w:bottom w:w="80" w:type="dxa"/>
              <w:right w:w="110" w:type="dxa"/>
            </w:tcMar>
          </w:tcPr>
          <w:p w14:paraId="2E789661" w14:textId="77777777" w:rsidR="00F10D8E" w:rsidRDefault="00000000">
            <w:r>
              <w:rPr>
                <w:color w:val="1F2937"/>
                <w:sz w:val="18"/>
                <w:szCs w:val="18"/>
              </w:rPr>
              <w:t>Adopt table-first density, filter bar, expandable rows and freshness indicators from the reference screenshot.</w:t>
            </w:r>
          </w:p>
        </w:tc>
      </w:tr>
      <w:tr w:rsidR="00F10D8E" w14:paraId="34ED8DF9" w14:textId="77777777">
        <w:tblPrEx>
          <w:tblCellMar>
            <w:top w:w="0" w:type="dxa"/>
            <w:bottom w:w="0" w:type="dxa"/>
          </w:tblCellMar>
        </w:tblPrEx>
        <w:trPr>
          <w:cantSplit/>
        </w:trPr>
        <w:tc>
          <w:tcPr>
            <w:tcW w:w="1083" w:type="dxa"/>
            <w:shd w:val="clear" w:color="auto" w:fill="F2F4F7"/>
            <w:tcMar>
              <w:top w:w="80" w:type="dxa"/>
              <w:left w:w="110" w:type="dxa"/>
              <w:bottom w:w="80" w:type="dxa"/>
              <w:right w:w="110" w:type="dxa"/>
            </w:tcMar>
          </w:tcPr>
          <w:p w14:paraId="718554EB" w14:textId="77777777" w:rsidR="00F10D8E" w:rsidRDefault="00000000">
            <w:r>
              <w:rPr>
                <w:color w:val="1F2937"/>
                <w:sz w:val="18"/>
                <w:szCs w:val="18"/>
              </w:rPr>
              <w:t>P2</w:t>
            </w:r>
          </w:p>
        </w:tc>
        <w:tc>
          <w:tcPr>
            <w:tcW w:w="1986" w:type="dxa"/>
            <w:shd w:val="clear" w:color="auto" w:fill="F2F4F7"/>
            <w:tcMar>
              <w:top w:w="80" w:type="dxa"/>
              <w:left w:w="110" w:type="dxa"/>
              <w:bottom w:w="80" w:type="dxa"/>
              <w:right w:w="110" w:type="dxa"/>
            </w:tcMar>
          </w:tcPr>
          <w:p w14:paraId="2317B37C" w14:textId="77777777" w:rsidR="00F10D8E" w:rsidRDefault="00000000">
            <w:r>
              <w:rPr>
                <w:color w:val="1F2937"/>
                <w:sz w:val="18"/>
                <w:szCs w:val="18"/>
              </w:rPr>
              <w:t>New features</w:t>
            </w:r>
          </w:p>
        </w:tc>
        <w:tc>
          <w:tcPr>
            <w:tcW w:w="5957" w:type="dxa"/>
            <w:shd w:val="clear" w:color="auto" w:fill="F2F4F7"/>
            <w:tcMar>
              <w:top w:w="80" w:type="dxa"/>
              <w:left w:w="110" w:type="dxa"/>
              <w:bottom w:w="80" w:type="dxa"/>
              <w:right w:w="110" w:type="dxa"/>
            </w:tcMar>
          </w:tcPr>
          <w:p w14:paraId="5F4D561D" w14:textId="77777777" w:rsidR="00F10D8E" w:rsidRDefault="00000000">
            <w:r>
              <w:rPr>
                <w:color w:val="1F2937"/>
                <w:sz w:val="18"/>
                <w:szCs w:val="18"/>
              </w:rPr>
              <w:t>Bulk import, notifications, rule extensions, signature verification, analytics.</w:t>
            </w:r>
          </w:p>
        </w:tc>
      </w:tr>
      <w:tr w:rsidR="00F10D8E" w14:paraId="548FFBD3" w14:textId="77777777">
        <w:tblPrEx>
          <w:tblCellMar>
            <w:top w:w="0" w:type="dxa"/>
            <w:bottom w:w="0" w:type="dxa"/>
          </w:tblCellMar>
        </w:tblPrEx>
        <w:trPr>
          <w:cantSplit/>
        </w:trPr>
        <w:tc>
          <w:tcPr>
            <w:tcW w:w="1083" w:type="dxa"/>
            <w:tcMar>
              <w:top w:w="80" w:type="dxa"/>
              <w:left w:w="110" w:type="dxa"/>
              <w:bottom w:w="80" w:type="dxa"/>
              <w:right w:w="110" w:type="dxa"/>
            </w:tcMar>
          </w:tcPr>
          <w:p w14:paraId="186C5177" w14:textId="77777777" w:rsidR="00F10D8E" w:rsidRDefault="00000000">
            <w:r>
              <w:rPr>
                <w:color w:val="1F2937"/>
                <w:sz w:val="18"/>
                <w:szCs w:val="18"/>
              </w:rPr>
              <w:t>P2</w:t>
            </w:r>
          </w:p>
        </w:tc>
        <w:tc>
          <w:tcPr>
            <w:tcW w:w="1986" w:type="dxa"/>
            <w:tcMar>
              <w:top w:w="80" w:type="dxa"/>
              <w:left w:w="110" w:type="dxa"/>
              <w:bottom w:w="80" w:type="dxa"/>
              <w:right w:w="110" w:type="dxa"/>
            </w:tcMar>
          </w:tcPr>
          <w:p w14:paraId="0E7E0B10" w14:textId="77777777" w:rsidR="00F10D8E" w:rsidRDefault="00000000">
            <w:r>
              <w:rPr>
                <w:color w:val="1F2937"/>
                <w:sz w:val="18"/>
                <w:szCs w:val="18"/>
              </w:rPr>
              <w:t>Engineering hygiene</w:t>
            </w:r>
          </w:p>
        </w:tc>
        <w:tc>
          <w:tcPr>
            <w:tcW w:w="5957" w:type="dxa"/>
            <w:tcMar>
              <w:top w:w="80" w:type="dxa"/>
              <w:left w:w="110" w:type="dxa"/>
              <w:bottom w:w="80" w:type="dxa"/>
              <w:right w:w="110" w:type="dxa"/>
            </w:tcMar>
          </w:tcPr>
          <w:p w14:paraId="147B2D92" w14:textId="77777777" w:rsidR="00F10D8E" w:rsidRDefault="00000000">
            <w:r>
              <w:rPr>
                <w:color w:val="1F2937"/>
                <w:sz w:val="18"/>
                <w:szCs w:val="18"/>
              </w:rPr>
              <w:t xml:space="preserve">Migrations, CI, dependency audit, </w:t>
            </w:r>
            <w:proofErr w:type="spellStart"/>
            <w:r>
              <w:rPr>
                <w:color w:val="1F2937"/>
                <w:sz w:val="18"/>
                <w:szCs w:val="18"/>
              </w:rPr>
              <w:t>containerised</w:t>
            </w:r>
            <w:proofErr w:type="spellEnd"/>
            <w:r>
              <w:rPr>
                <w:color w:val="1F2937"/>
                <w:sz w:val="18"/>
                <w:szCs w:val="18"/>
              </w:rPr>
              <w:t xml:space="preserve"> local setup.</w:t>
            </w:r>
          </w:p>
        </w:tc>
      </w:tr>
    </w:tbl>
    <w:p w14:paraId="32BCB9ED" w14:textId="77777777" w:rsidR="00F10D8E" w:rsidRDefault="00000000">
      <w:pPr>
        <w:pStyle w:val="Heading1"/>
        <w:pBdr>
          <w:bottom w:val="single" w:sz="6" w:space="4" w:color="183153"/>
        </w:pBdr>
      </w:pPr>
      <w:r>
        <w:t>2. Technical findings and fixes</w:t>
      </w:r>
    </w:p>
    <w:p w14:paraId="0D357EA2" w14:textId="77777777" w:rsidR="00F10D8E" w:rsidRDefault="00000000">
      <w:pPr>
        <w:pStyle w:val="Heading2"/>
      </w:pPr>
      <w:r>
        <w:t>2.1 Document extraction (P0)</w:t>
      </w:r>
    </w:p>
    <w:p w14:paraId="5847D5E8" w14:textId="77777777" w:rsidR="00F10D8E" w:rsidRDefault="00000000">
      <w:pPr>
        <w:spacing w:after="120" w:line="300" w:lineRule="auto"/>
      </w:pPr>
      <w:r>
        <w:t>The extraction in backend/app/domains/documents/extraction.py was run against realistic receipt text. Findings: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9"/>
        <w:gridCol w:w="3516"/>
        <w:gridCol w:w="2881"/>
      </w:tblGrid>
      <w:tr w:rsidR="00F10D8E" w14:paraId="1ABC698D" w14:textId="77777777">
        <w:tblPrEx>
          <w:tblCellMar>
            <w:top w:w="0" w:type="dxa"/>
            <w:bottom w:w="0" w:type="dxa"/>
          </w:tblCellMar>
        </w:tblPrEx>
        <w:trPr>
          <w:tblHeader/>
        </w:trPr>
        <w:tc>
          <w:tcPr>
            <w:tcW w:w="2708" w:type="dxa"/>
            <w:shd w:val="clear" w:color="auto" w:fill="183153"/>
            <w:tcMar>
              <w:top w:w="80" w:type="dxa"/>
              <w:left w:w="110" w:type="dxa"/>
              <w:bottom w:w="80" w:type="dxa"/>
              <w:right w:w="110" w:type="dxa"/>
            </w:tcMar>
          </w:tcPr>
          <w:p w14:paraId="56E602F1" w14:textId="77777777" w:rsidR="00F10D8E" w:rsidRDefault="00000000">
            <w:r>
              <w:rPr>
                <w:b/>
                <w:bCs/>
                <w:color w:val="FFFFFF"/>
                <w:sz w:val="18"/>
                <w:szCs w:val="18"/>
              </w:rPr>
              <w:t>Finding</w:t>
            </w:r>
          </w:p>
        </w:tc>
        <w:tc>
          <w:tcPr>
            <w:tcW w:w="3610" w:type="dxa"/>
            <w:shd w:val="clear" w:color="auto" w:fill="183153"/>
            <w:tcMar>
              <w:top w:w="80" w:type="dxa"/>
              <w:left w:w="110" w:type="dxa"/>
              <w:bottom w:w="80" w:type="dxa"/>
              <w:right w:w="110" w:type="dxa"/>
            </w:tcMar>
          </w:tcPr>
          <w:p w14:paraId="510BB356" w14:textId="77777777" w:rsidR="00F10D8E" w:rsidRDefault="00000000">
            <w:r>
              <w:rPr>
                <w:b/>
                <w:bCs/>
                <w:color w:val="FFFFFF"/>
                <w:sz w:val="18"/>
                <w:szCs w:val="18"/>
              </w:rPr>
              <w:t xml:space="preserve">Observed </w:t>
            </w:r>
            <w:proofErr w:type="spellStart"/>
            <w:r>
              <w:rPr>
                <w:b/>
                <w:bCs/>
                <w:color w:val="FFFFFF"/>
                <w:sz w:val="18"/>
                <w:szCs w:val="18"/>
              </w:rPr>
              <w:t>behaviour</w:t>
            </w:r>
            <w:proofErr w:type="spellEnd"/>
          </w:p>
        </w:tc>
        <w:tc>
          <w:tcPr>
            <w:tcW w:w="2708" w:type="dxa"/>
            <w:shd w:val="clear" w:color="auto" w:fill="183153"/>
            <w:tcMar>
              <w:top w:w="80" w:type="dxa"/>
              <w:left w:w="110" w:type="dxa"/>
              <w:bottom w:w="80" w:type="dxa"/>
              <w:right w:w="110" w:type="dxa"/>
            </w:tcMar>
          </w:tcPr>
          <w:p w14:paraId="48EBD7A3" w14:textId="77777777" w:rsidR="00F10D8E" w:rsidRDefault="00000000">
            <w:r>
              <w:rPr>
                <w:b/>
                <w:bCs/>
                <w:color w:val="FFFFFF"/>
                <w:sz w:val="18"/>
                <w:szCs w:val="18"/>
              </w:rPr>
              <w:t>Fix</w:t>
            </w:r>
          </w:p>
        </w:tc>
      </w:tr>
      <w:tr w:rsidR="00F10D8E" w14:paraId="6F281F06" w14:textId="77777777">
        <w:tblPrEx>
          <w:tblCellMar>
            <w:top w:w="0" w:type="dxa"/>
            <w:bottom w:w="0" w:type="dxa"/>
          </w:tblCellMar>
        </w:tblPrEx>
        <w:trPr>
          <w:cantSplit/>
        </w:trPr>
        <w:tc>
          <w:tcPr>
            <w:tcW w:w="2708" w:type="dxa"/>
            <w:tcMar>
              <w:top w:w="80" w:type="dxa"/>
              <w:left w:w="110" w:type="dxa"/>
              <w:bottom w:w="80" w:type="dxa"/>
              <w:right w:w="110" w:type="dxa"/>
            </w:tcMar>
          </w:tcPr>
          <w:p w14:paraId="4929F7D3" w14:textId="77777777" w:rsidR="00F10D8E" w:rsidRDefault="00000000">
            <w:r>
              <w:rPr>
                <w:color w:val="1F2937"/>
                <w:sz w:val="18"/>
                <w:szCs w:val="18"/>
              </w:rPr>
              <w:t>Title matched as a field</w:t>
            </w:r>
          </w:p>
        </w:tc>
        <w:tc>
          <w:tcPr>
            <w:tcW w:w="3610" w:type="dxa"/>
            <w:tcMar>
              <w:top w:w="80" w:type="dxa"/>
              <w:left w:w="110" w:type="dxa"/>
              <w:bottom w:w="80" w:type="dxa"/>
              <w:right w:w="110" w:type="dxa"/>
            </w:tcMar>
          </w:tcPr>
          <w:p w14:paraId="6A153CEE" w14:textId="77777777" w:rsidR="00F10D8E" w:rsidRDefault="00000000">
            <w:r>
              <w:rPr>
                <w:color w:val="1F2937"/>
                <w:sz w:val="18"/>
                <w:szCs w:val="18"/>
              </w:rPr>
              <w:t>"Fixed Deposit Receipt" is captured as the issuer bank, with a newline, because the bank regex allows line breaks.</w:t>
            </w:r>
          </w:p>
        </w:tc>
        <w:tc>
          <w:tcPr>
            <w:tcW w:w="2708" w:type="dxa"/>
            <w:tcMar>
              <w:top w:w="80" w:type="dxa"/>
              <w:left w:w="110" w:type="dxa"/>
              <w:bottom w:w="80" w:type="dxa"/>
              <w:right w:w="110" w:type="dxa"/>
            </w:tcMar>
          </w:tcPr>
          <w:p w14:paraId="4BCF6A26" w14:textId="77777777" w:rsidR="00F10D8E" w:rsidRDefault="00000000">
            <w:r>
              <w:rPr>
                <w:color w:val="1F2937"/>
                <w:sz w:val="18"/>
                <w:szCs w:val="18"/>
              </w:rPr>
              <w:t>Restrict to single-line matches. Maintain a list of known bank names with a fuzzy match, and exclude document titles.</w:t>
            </w:r>
          </w:p>
        </w:tc>
      </w:tr>
      <w:tr w:rsidR="00F10D8E" w14:paraId="5AF7B6AA" w14:textId="77777777">
        <w:tblPrEx>
          <w:tblCellMar>
            <w:top w:w="0" w:type="dxa"/>
            <w:bottom w:w="0" w:type="dxa"/>
          </w:tblCellMar>
        </w:tblPrEx>
        <w:trPr>
          <w:cantSplit/>
        </w:trPr>
        <w:tc>
          <w:tcPr>
            <w:tcW w:w="2708" w:type="dxa"/>
            <w:shd w:val="clear" w:color="auto" w:fill="F2F4F7"/>
            <w:tcMar>
              <w:top w:w="80" w:type="dxa"/>
              <w:left w:w="110" w:type="dxa"/>
              <w:bottom w:w="80" w:type="dxa"/>
              <w:right w:w="110" w:type="dxa"/>
            </w:tcMar>
          </w:tcPr>
          <w:p w14:paraId="713B269B" w14:textId="77777777" w:rsidR="00F10D8E" w:rsidRDefault="00000000">
            <w:r>
              <w:rPr>
                <w:color w:val="1F2937"/>
                <w:sz w:val="18"/>
                <w:szCs w:val="18"/>
              </w:rPr>
              <w:lastRenderedPageBreak/>
              <w:t>Principal taken from the wrong label</w:t>
            </w:r>
          </w:p>
        </w:tc>
        <w:tc>
          <w:tcPr>
            <w:tcW w:w="3610" w:type="dxa"/>
            <w:shd w:val="clear" w:color="auto" w:fill="F2F4F7"/>
            <w:tcMar>
              <w:top w:w="80" w:type="dxa"/>
              <w:left w:w="110" w:type="dxa"/>
              <w:bottom w:w="80" w:type="dxa"/>
              <w:right w:w="110" w:type="dxa"/>
            </w:tcMar>
          </w:tcPr>
          <w:p w14:paraId="05450B36" w14:textId="77777777" w:rsidR="00F10D8E" w:rsidRDefault="00000000">
            <w:r>
              <w:rPr>
                <w:color w:val="1F2937"/>
                <w:sz w:val="18"/>
                <w:szCs w:val="18"/>
              </w:rPr>
              <w:t>The amount pattern matches the word "Deposit" in the header and reads the FDR number as the principal (5010022334455.00, confidence 0.94).</w:t>
            </w:r>
          </w:p>
        </w:tc>
        <w:tc>
          <w:tcPr>
            <w:tcW w:w="2708" w:type="dxa"/>
            <w:shd w:val="clear" w:color="auto" w:fill="F2F4F7"/>
            <w:tcMar>
              <w:top w:w="80" w:type="dxa"/>
              <w:left w:w="110" w:type="dxa"/>
              <w:bottom w:w="80" w:type="dxa"/>
              <w:right w:w="110" w:type="dxa"/>
            </w:tcMar>
          </w:tcPr>
          <w:p w14:paraId="44CBD6AE" w14:textId="77777777" w:rsidR="00F10D8E" w:rsidRDefault="00000000">
            <w:r>
              <w:rPr>
                <w:color w:val="1F2937"/>
                <w:sz w:val="18"/>
                <w:szCs w:val="18"/>
              </w:rPr>
              <w:t>Anchor on explicit labels (Principal, Deposit Amount). Exclude values that do not fit amount structure.</w:t>
            </w:r>
          </w:p>
        </w:tc>
      </w:tr>
      <w:tr w:rsidR="00F10D8E" w14:paraId="2DDB9582" w14:textId="77777777">
        <w:tblPrEx>
          <w:tblCellMar>
            <w:top w:w="0" w:type="dxa"/>
            <w:bottom w:w="0" w:type="dxa"/>
          </w:tblCellMar>
        </w:tblPrEx>
        <w:trPr>
          <w:cantSplit/>
        </w:trPr>
        <w:tc>
          <w:tcPr>
            <w:tcW w:w="2708" w:type="dxa"/>
            <w:tcMar>
              <w:top w:w="80" w:type="dxa"/>
              <w:left w:w="110" w:type="dxa"/>
              <w:bottom w:w="80" w:type="dxa"/>
              <w:right w:w="110" w:type="dxa"/>
            </w:tcMar>
          </w:tcPr>
          <w:p w14:paraId="6C276F59" w14:textId="77777777" w:rsidR="00F10D8E" w:rsidRDefault="00000000">
            <w:r>
              <w:rPr>
                <w:color w:val="1F2937"/>
                <w:sz w:val="18"/>
                <w:szCs w:val="18"/>
              </w:rPr>
              <w:t>Maturity value taken as principal</w:t>
            </w:r>
          </w:p>
        </w:tc>
        <w:tc>
          <w:tcPr>
            <w:tcW w:w="3610" w:type="dxa"/>
            <w:tcMar>
              <w:top w:w="80" w:type="dxa"/>
              <w:left w:w="110" w:type="dxa"/>
              <w:bottom w:w="80" w:type="dxa"/>
              <w:right w:w="110" w:type="dxa"/>
            </w:tcMar>
          </w:tcPr>
          <w:p w14:paraId="3FE79022" w14:textId="77777777" w:rsidR="00F10D8E" w:rsidRDefault="00000000">
            <w:r>
              <w:rPr>
                <w:color w:val="1F2937"/>
                <w:sz w:val="18"/>
                <w:szCs w:val="18"/>
              </w:rPr>
              <w:t>When "Maturity Amount" appears before "Principal", the maturity value is returned as the principal.</w:t>
            </w:r>
          </w:p>
        </w:tc>
        <w:tc>
          <w:tcPr>
            <w:tcW w:w="2708" w:type="dxa"/>
            <w:tcMar>
              <w:top w:w="80" w:type="dxa"/>
              <w:left w:w="110" w:type="dxa"/>
              <w:bottom w:w="80" w:type="dxa"/>
              <w:right w:w="110" w:type="dxa"/>
            </w:tcMar>
          </w:tcPr>
          <w:p w14:paraId="31914A49" w14:textId="77777777" w:rsidR="00F10D8E" w:rsidRDefault="00000000">
            <w:r>
              <w:rPr>
                <w:color w:val="1F2937"/>
                <w:sz w:val="18"/>
                <w:szCs w:val="18"/>
              </w:rPr>
              <w:t>Match label keywords with word boundaries. Reject maturity and interest labels as principal candidates.</w:t>
            </w:r>
          </w:p>
        </w:tc>
      </w:tr>
      <w:tr w:rsidR="00F10D8E" w14:paraId="66E47243" w14:textId="77777777">
        <w:tblPrEx>
          <w:tblCellMar>
            <w:top w:w="0" w:type="dxa"/>
            <w:bottom w:w="0" w:type="dxa"/>
          </w:tblCellMar>
        </w:tblPrEx>
        <w:trPr>
          <w:cantSplit/>
        </w:trPr>
        <w:tc>
          <w:tcPr>
            <w:tcW w:w="2708" w:type="dxa"/>
            <w:shd w:val="clear" w:color="auto" w:fill="F2F4F7"/>
            <w:tcMar>
              <w:top w:w="80" w:type="dxa"/>
              <w:left w:w="110" w:type="dxa"/>
              <w:bottom w:w="80" w:type="dxa"/>
              <w:right w:w="110" w:type="dxa"/>
            </w:tcMar>
          </w:tcPr>
          <w:p w14:paraId="5C035E89" w14:textId="77777777" w:rsidR="00F10D8E" w:rsidRDefault="00000000">
            <w:r>
              <w:rPr>
                <w:color w:val="1F2937"/>
                <w:sz w:val="18"/>
                <w:szCs w:val="18"/>
              </w:rPr>
              <w:t>Confidence is a constant</w:t>
            </w:r>
          </w:p>
        </w:tc>
        <w:tc>
          <w:tcPr>
            <w:tcW w:w="3610" w:type="dxa"/>
            <w:shd w:val="clear" w:color="auto" w:fill="F2F4F7"/>
            <w:tcMar>
              <w:top w:w="80" w:type="dxa"/>
              <w:left w:w="110" w:type="dxa"/>
              <w:bottom w:w="80" w:type="dxa"/>
              <w:right w:w="110" w:type="dxa"/>
            </w:tcMar>
          </w:tcPr>
          <w:p w14:paraId="084EA476" w14:textId="77777777" w:rsidR="00F10D8E" w:rsidRDefault="00000000">
            <w:r>
              <w:rPr>
                <w:color w:val="1F2937"/>
                <w:sz w:val="18"/>
                <w:szCs w:val="18"/>
              </w:rPr>
              <w:t>Confidence is hardcoded per field type (0.93, 0.94, 0.88, 0.80, 0.72), so the value means nothing.</w:t>
            </w:r>
          </w:p>
        </w:tc>
        <w:tc>
          <w:tcPr>
            <w:tcW w:w="2708" w:type="dxa"/>
            <w:shd w:val="clear" w:color="auto" w:fill="F2F4F7"/>
            <w:tcMar>
              <w:top w:w="80" w:type="dxa"/>
              <w:left w:w="110" w:type="dxa"/>
              <w:bottom w:w="80" w:type="dxa"/>
              <w:right w:w="110" w:type="dxa"/>
            </w:tcMar>
          </w:tcPr>
          <w:p w14:paraId="4C07EB8E" w14:textId="77777777" w:rsidR="00F10D8E" w:rsidRDefault="00000000">
            <w:r>
              <w:rPr>
                <w:color w:val="1F2937"/>
                <w:sz w:val="18"/>
                <w:szCs w:val="18"/>
              </w:rPr>
              <w:t>Derive confidence from measurable signals: label match strength, format validity, cross-field consistency and OCR score. Calibrate against labelled data.</w:t>
            </w:r>
          </w:p>
        </w:tc>
      </w:tr>
      <w:tr w:rsidR="00F10D8E" w14:paraId="27EE01F3" w14:textId="77777777">
        <w:tblPrEx>
          <w:tblCellMar>
            <w:top w:w="0" w:type="dxa"/>
            <w:bottom w:w="0" w:type="dxa"/>
          </w:tblCellMar>
        </w:tblPrEx>
        <w:trPr>
          <w:cantSplit/>
        </w:trPr>
        <w:tc>
          <w:tcPr>
            <w:tcW w:w="2708" w:type="dxa"/>
            <w:tcMar>
              <w:top w:w="80" w:type="dxa"/>
              <w:left w:w="110" w:type="dxa"/>
              <w:bottom w:w="80" w:type="dxa"/>
              <w:right w:w="110" w:type="dxa"/>
            </w:tcMar>
          </w:tcPr>
          <w:p w14:paraId="65005FB6" w14:textId="77777777" w:rsidR="00F10D8E" w:rsidRDefault="00000000">
            <w:r>
              <w:rPr>
                <w:color w:val="1F2937"/>
                <w:sz w:val="18"/>
                <w:szCs w:val="18"/>
              </w:rPr>
              <w:t>Highlight regions are fake</w:t>
            </w:r>
          </w:p>
        </w:tc>
        <w:tc>
          <w:tcPr>
            <w:tcW w:w="3610" w:type="dxa"/>
            <w:tcMar>
              <w:top w:w="80" w:type="dxa"/>
              <w:left w:w="110" w:type="dxa"/>
              <w:bottom w:w="80" w:type="dxa"/>
              <w:right w:w="110" w:type="dxa"/>
            </w:tcMar>
          </w:tcPr>
          <w:p w14:paraId="5A64AE1F" w14:textId="77777777" w:rsidR="00F10D8E" w:rsidRDefault="00000000">
            <w:r>
              <w:rPr>
                <w:color w:val="1F2937"/>
                <w:sz w:val="18"/>
                <w:szCs w:val="18"/>
              </w:rPr>
              <w:t>Bounding boxes are a fixed band chosen from the page index. The README describes source-page highlighting.</w:t>
            </w:r>
          </w:p>
        </w:tc>
        <w:tc>
          <w:tcPr>
            <w:tcW w:w="2708" w:type="dxa"/>
            <w:tcMar>
              <w:top w:w="80" w:type="dxa"/>
              <w:left w:w="110" w:type="dxa"/>
              <w:bottom w:w="80" w:type="dxa"/>
              <w:right w:w="110" w:type="dxa"/>
            </w:tcMar>
          </w:tcPr>
          <w:p w14:paraId="6378AF68" w14:textId="77777777" w:rsidR="00F10D8E" w:rsidRDefault="00000000">
            <w:r>
              <w:rPr>
                <w:color w:val="1F2937"/>
                <w:sz w:val="18"/>
                <w:szCs w:val="18"/>
              </w:rPr>
              <w:t xml:space="preserve">Use real word boxes from </w:t>
            </w:r>
            <w:proofErr w:type="spellStart"/>
            <w:r>
              <w:rPr>
                <w:color w:val="1F2937"/>
                <w:sz w:val="18"/>
                <w:szCs w:val="18"/>
              </w:rPr>
              <w:t>PyMuPDF</w:t>
            </w:r>
            <w:proofErr w:type="spellEnd"/>
            <w:r>
              <w:rPr>
                <w:color w:val="1F2937"/>
                <w:sz w:val="18"/>
                <w:szCs w:val="18"/>
              </w:rPr>
              <w:t xml:space="preserve"> for text PDFs and from the </w:t>
            </w:r>
            <w:proofErr w:type="spellStart"/>
            <w:r>
              <w:rPr>
                <w:color w:val="1F2937"/>
                <w:sz w:val="18"/>
                <w:szCs w:val="18"/>
              </w:rPr>
              <w:t>recogniser</w:t>
            </w:r>
            <w:proofErr w:type="spellEnd"/>
            <w:r>
              <w:rPr>
                <w:color w:val="1F2937"/>
                <w:sz w:val="18"/>
                <w:szCs w:val="18"/>
              </w:rPr>
              <w:t xml:space="preserve"> for scanned pages.</w:t>
            </w:r>
          </w:p>
        </w:tc>
      </w:tr>
      <w:tr w:rsidR="00F10D8E" w14:paraId="4C6AD92F" w14:textId="77777777">
        <w:tblPrEx>
          <w:tblCellMar>
            <w:top w:w="0" w:type="dxa"/>
            <w:bottom w:w="0" w:type="dxa"/>
          </w:tblCellMar>
        </w:tblPrEx>
        <w:trPr>
          <w:cantSplit/>
        </w:trPr>
        <w:tc>
          <w:tcPr>
            <w:tcW w:w="2708" w:type="dxa"/>
            <w:shd w:val="clear" w:color="auto" w:fill="F2F4F7"/>
            <w:tcMar>
              <w:top w:w="80" w:type="dxa"/>
              <w:left w:w="110" w:type="dxa"/>
              <w:bottom w:w="80" w:type="dxa"/>
              <w:right w:w="110" w:type="dxa"/>
            </w:tcMar>
          </w:tcPr>
          <w:p w14:paraId="70CD8098" w14:textId="77777777" w:rsidR="00F10D8E" w:rsidRDefault="00000000">
            <w:r>
              <w:rPr>
                <w:color w:val="1F2937"/>
                <w:sz w:val="18"/>
                <w:szCs w:val="18"/>
              </w:rPr>
              <w:t>Status ignores field errors</w:t>
            </w:r>
          </w:p>
        </w:tc>
        <w:tc>
          <w:tcPr>
            <w:tcW w:w="3610" w:type="dxa"/>
            <w:shd w:val="clear" w:color="auto" w:fill="F2F4F7"/>
            <w:tcMar>
              <w:top w:w="80" w:type="dxa"/>
              <w:left w:w="110" w:type="dxa"/>
              <w:bottom w:w="80" w:type="dxa"/>
              <w:right w:w="110" w:type="dxa"/>
            </w:tcMar>
          </w:tcPr>
          <w:p w14:paraId="16CB45B3" w14:textId="77777777" w:rsidR="00F10D8E" w:rsidRDefault="00000000">
            <w:r>
              <w:rPr>
                <w:color w:val="1F2937"/>
                <w:sz w:val="18"/>
                <w:szCs w:val="18"/>
              </w:rPr>
              <w:t>A document with a wrong principal still reaches READY when the other fields are confident.</w:t>
            </w:r>
          </w:p>
        </w:tc>
        <w:tc>
          <w:tcPr>
            <w:tcW w:w="2708" w:type="dxa"/>
            <w:shd w:val="clear" w:color="auto" w:fill="F2F4F7"/>
            <w:tcMar>
              <w:top w:w="80" w:type="dxa"/>
              <w:left w:w="110" w:type="dxa"/>
              <w:bottom w:w="80" w:type="dxa"/>
              <w:right w:w="110" w:type="dxa"/>
            </w:tcMar>
          </w:tcPr>
          <w:p w14:paraId="0F3DAEE2" w14:textId="77777777" w:rsidR="00F10D8E" w:rsidRDefault="00000000">
            <w:r>
              <w:rPr>
                <w:color w:val="1F2937"/>
                <w:sz w:val="18"/>
                <w:szCs w:val="18"/>
              </w:rPr>
              <w:t>READY only when all critical fields pass cross-checks. Any unresolved conflict yields MANUAL_REVIEW_REQUIRED.</w:t>
            </w:r>
          </w:p>
        </w:tc>
      </w:tr>
      <w:tr w:rsidR="00F10D8E" w14:paraId="2BF37E3E" w14:textId="77777777">
        <w:tblPrEx>
          <w:tblCellMar>
            <w:top w:w="0" w:type="dxa"/>
            <w:bottom w:w="0" w:type="dxa"/>
          </w:tblCellMar>
        </w:tblPrEx>
        <w:trPr>
          <w:cantSplit/>
        </w:trPr>
        <w:tc>
          <w:tcPr>
            <w:tcW w:w="2708" w:type="dxa"/>
            <w:tcMar>
              <w:top w:w="80" w:type="dxa"/>
              <w:left w:w="110" w:type="dxa"/>
              <w:bottom w:w="80" w:type="dxa"/>
              <w:right w:w="110" w:type="dxa"/>
            </w:tcMar>
          </w:tcPr>
          <w:p w14:paraId="3A1ACC0C" w14:textId="77777777" w:rsidR="00F10D8E" w:rsidRDefault="00000000">
            <w:r>
              <w:rPr>
                <w:color w:val="1F2937"/>
                <w:sz w:val="18"/>
                <w:szCs w:val="18"/>
              </w:rPr>
              <w:t>OCR not implemented</w:t>
            </w:r>
          </w:p>
        </w:tc>
        <w:tc>
          <w:tcPr>
            <w:tcW w:w="3610" w:type="dxa"/>
            <w:tcMar>
              <w:top w:w="80" w:type="dxa"/>
              <w:left w:w="110" w:type="dxa"/>
              <w:bottom w:w="80" w:type="dxa"/>
              <w:right w:w="110" w:type="dxa"/>
            </w:tcMar>
          </w:tcPr>
          <w:p w14:paraId="3112B862" w14:textId="77777777" w:rsidR="00F10D8E" w:rsidRDefault="00000000">
            <w:r>
              <w:rPr>
                <w:color w:val="1F2937"/>
                <w:sz w:val="18"/>
                <w:szCs w:val="18"/>
              </w:rPr>
              <w:t xml:space="preserve">The README describes a </w:t>
            </w:r>
            <w:proofErr w:type="spellStart"/>
            <w:r>
              <w:rPr>
                <w:color w:val="1F2937"/>
                <w:sz w:val="18"/>
                <w:szCs w:val="18"/>
              </w:rPr>
              <w:t>PyMuPDF</w:t>
            </w:r>
            <w:proofErr w:type="spellEnd"/>
            <w:r>
              <w:rPr>
                <w:color w:val="1F2937"/>
                <w:sz w:val="18"/>
                <w:szCs w:val="18"/>
              </w:rPr>
              <w:t xml:space="preserve"> and Tesseract pipeline. The code uses </w:t>
            </w:r>
            <w:proofErr w:type="spellStart"/>
            <w:r>
              <w:rPr>
                <w:color w:val="1F2937"/>
                <w:sz w:val="18"/>
                <w:szCs w:val="18"/>
              </w:rPr>
              <w:t>pypdf</w:t>
            </w:r>
            <w:proofErr w:type="spellEnd"/>
            <w:r>
              <w:rPr>
                <w:color w:val="1F2937"/>
                <w:sz w:val="18"/>
                <w:szCs w:val="18"/>
              </w:rPr>
              <w:t xml:space="preserve"> and sends image-only pages to manual review.</w:t>
            </w:r>
          </w:p>
        </w:tc>
        <w:tc>
          <w:tcPr>
            <w:tcW w:w="2708" w:type="dxa"/>
            <w:tcMar>
              <w:top w:w="80" w:type="dxa"/>
              <w:left w:w="110" w:type="dxa"/>
              <w:bottom w:w="80" w:type="dxa"/>
              <w:right w:w="110" w:type="dxa"/>
            </w:tcMar>
          </w:tcPr>
          <w:p w14:paraId="36386124" w14:textId="77777777" w:rsidR="00F10D8E" w:rsidRDefault="00000000">
            <w:r>
              <w:rPr>
                <w:color w:val="1F2937"/>
                <w:sz w:val="18"/>
                <w:szCs w:val="18"/>
              </w:rPr>
              <w:t xml:space="preserve">Either implement OCR (see the OCR notes in the companion measurement guide) or describe the current </w:t>
            </w:r>
            <w:proofErr w:type="spellStart"/>
            <w:r>
              <w:rPr>
                <w:color w:val="1F2937"/>
                <w:sz w:val="18"/>
                <w:szCs w:val="18"/>
              </w:rPr>
              <w:t>behaviour</w:t>
            </w:r>
            <w:proofErr w:type="spellEnd"/>
            <w:r>
              <w:rPr>
                <w:color w:val="1F2937"/>
                <w:sz w:val="18"/>
                <w:szCs w:val="18"/>
              </w:rPr>
              <w:t xml:space="preserve"> exactly.</w:t>
            </w:r>
          </w:p>
        </w:tc>
      </w:tr>
    </w:tbl>
    <w:p w14:paraId="373ED409" w14:textId="77777777" w:rsidR="00F10D8E" w:rsidRDefault="00F10D8E">
      <w:pPr>
        <w:spacing w:after="120"/>
      </w:pPr>
    </w:p>
    <w:p w14:paraId="00592A00" w14:textId="77777777" w:rsidR="00F10D8E" w:rsidRDefault="00000000">
      <w:pPr>
        <w:spacing w:after="120" w:line="300" w:lineRule="auto"/>
      </w:pPr>
      <w:r>
        <w:rPr>
          <w:b/>
          <w:bCs/>
        </w:rPr>
        <w:t xml:space="preserve">Cross-checks to add. </w:t>
      </w:r>
      <w:r>
        <w:t>Maturity date after issue date. Maturity value at least principal. Maturity value consistent with principal, rate and tenure within a tolerance. Institution-entered values matching extracted values. These checks give the officer a reason to trust or question a field, which the current parser does not provide.</w:t>
      </w:r>
    </w:p>
    <w:p w14:paraId="77ACF579" w14:textId="77777777" w:rsidR="00F10D8E" w:rsidRDefault="00000000">
      <w:pPr>
        <w:pStyle w:val="Heading2"/>
      </w:pPr>
      <w:r>
        <w:t>2.2 Security and integrity (P0)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5"/>
        <w:gridCol w:w="3791"/>
        <w:gridCol w:w="3610"/>
      </w:tblGrid>
      <w:tr w:rsidR="00F10D8E" w14:paraId="7C5C384E" w14:textId="77777777">
        <w:tblPrEx>
          <w:tblCellMar>
            <w:top w:w="0" w:type="dxa"/>
            <w:bottom w:w="0" w:type="dxa"/>
          </w:tblCellMar>
        </w:tblPrEx>
        <w:trPr>
          <w:tblHeader/>
        </w:trPr>
        <w:tc>
          <w:tcPr>
            <w:tcW w:w="1625" w:type="dxa"/>
            <w:shd w:val="clear" w:color="auto" w:fill="183153"/>
            <w:tcMar>
              <w:top w:w="80" w:type="dxa"/>
              <w:left w:w="110" w:type="dxa"/>
              <w:bottom w:w="80" w:type="dxa"/>
              <w:right w:w="110" w:type="dxa"/>
            </w:tcMar>
          </w:tcPr>
          <w:p w14:paraId="41521AFE" w14:textId="77777777" w:rsidR="00F10D8E" w:rsidRDefault="00000000">
            <w:r>
              <w:rPr>
                <w:b/>
                <w:bCs/>
                <w:color w:val="FFFFFF"/>
                <w:sz w:val="18"/>
                <w:szCs w:val="18"/>
              </w:rPr>
              <w:t>Area</w:t>
            </w:r>
          </w:p>
        </w:tc>
        <w:tc>
          <w:tcPr>
            <w:tcW w:w="3791" w:type="dxa"/>
            <w:shd w:val="clear" w:color="auto" w:fill="183153"/>
            <w:tcMar>
              <w:top w:w="80" w:type="dxa"/>
              <w:left w:w="110" w:type="dxa"/>
              <w:bottom w:w="80" w:type="dxa"/>
              <w:right w:w="110" w:type="dxa"/>
            </w:tcMar>
          </w:tcPr>
          <w:p w14:paraId="05E26A0E" w14:textId="77777777" w:rsidR="00F10D8E" w:rsidRDefault="00000000">
            <w:r>
              <w:rPr>
                <w:b/>
                <w:bCs/>
                <w:color w:val="FFFFFF"/>
                <w:sz w:val="18"/>
                <w:szCs w:val="18"/>
              </w:rPr>
              <w:t>Current state</w:t>
            </w:r>
          </w:p>
        </w:tc>
        <w:tc>
          <w:tcPr>
            <w:tcW w:w="3610" w:type="dxa"/>
            <w:shd w:val="clear" w:color="auto" w:fill="183153"/>
            <w:tcMar>
              <w:top w:w="80" w:type="dxa"/>
              <w:left w:w="110" w:type="dxa"/>
              <w:bottom w:w="80" w:type="dxa"/>
              <w:right w:w="110" w:type="dxa"/>
            </w:tcMar>
          </w:tcPr>
          <w:p w14:paraId="5A0B3E27" w14:textId="77777777" w:rsidR="00F10D8E" w:rsidRDefault="00000000">
            <w:r>
              <w:rPr>
                <w:b/>
                <w:bCs/>
                <w:color w:val="FFFFFF"/>
                <w:sz w:val="18"/>
                <w:szCs w:val="18"/>
              </w:rPr>
              <w:t>Recommended change</w:t>
            </w:r>
          </w:p>
        </w:tc>
      </w:tr>
      <w:tr w:rsidR="00F10D8E" w14:paraId="6A79E775" w14:textId="77777777">
        <w:tblPrEx>
          <w:tblCellMar>
            <w:top w:w="0" w:type="dxa"/>
            <w:bottom w:w="0" w:type="dxa"/>
          </w:tblCellMar>
        </w:tblPrEx>
        <w:trPr>
          <w:cantSplit/>
        </w:trPr>
        <w:tc>
          <w:tcPr>
            <w:tcW w:w="1625" w:type="dxa"/>
            <w:tcMar>
              <w:top w:w="80" w:type="dxa"/>
              <w:left w:w="110" w:type="dxa"/>
              <w:bottom w:w="80" w:type="dxa"/>
              <w:right w:w="110" w:type="dxa"/>
            </w:tcMar>
          </w:tcPr>
          <w:p w14:paraId="78E8F5E1" w14:textId="77777777" w:rsidR="00F10D8E" w:rsidRDefault="00000000">
            <w:r>
              <w:rPr>
                <w:color w:val="1F2937"/>
                <w:sz w:val="18"/>
                <w:szCs w:val="18"/>
              </w:rPr>
              <w:t>Release approval race</w:t>
            </w:r>
          </w:p>
        </w:tc>
        <w:tc>
          <w:tcPr>
            <w:tcW w:w="3791" w:type="dxa"/>
            <w:tcMar>
              <w:top w:w="80" w:type="dxa"/>
              <w:left w:w="110" w:type="dxa"/>
              <w:bottom w:w="80" w:type="dxa"/>
              <w:right w:w="110" w:type="dxa"/>
            </w:tcMar>
          </w:tcPr>
          <w:p w14:paraId="1C2DA829" w14:textId="77777777" w:rsidR="00F10D8E" w:rsidRDefault="00000000">
            <w:r>
              <w:rPr>
                <w:color w:val="1F2937"/>
                <w:sz w:val="18"/>
                <w:szCs w:val="18"/>
              </w:rPr>
              <w:t>Version is checked, then written, without a row lock or a conditional update. Two approvals can pass on Postgres. No concurrency test exists, and SQLite hides the problem.</w:t>
            </w:r>
          </w:p>
        </w:tc>
        <w:tc>
          <w:tcPr>
            <w:tcW w:w="3610" w:type="dxa"/>
            <w:tcMar>
              <w:top w:w="80" w:type="dxa"/>
              <w:left w:w="110" w:type="dxa"/>
              <w:bottom w:w="80" w:type="dxa"/>
              <w:right w:w="110" w:type="dxa"/>
            </w:tcMar>
          </w:tcPr>
          <w:p w14:paraId="1E98E445" w14:textId="77777777" w:rsidR="00F10D8E" w:rsidRDefault="00000000">
            <w:r>
              <w:rPr>
                <w:color w:val="1F2937"/>
                <w:sz w:val="18"/>
                <w:szCs w:val="18"/>
              </w:rPr>
              <w:t xml:space="preserve">Use SELECT ... FOR UPDATE or UPDATE ... WHERE version </w:t>
            </w:r>
            <w:proofErr w:type="gramStart"/>
            <w:r>
              <w:rPr>
                <w:color w:val="1F2937"/>
                <w:sz w:val="18"/>
                <w:szCs w:val="18"/>
              </w:rPr>
              <w:t>= :expected</w:t>
            </w:r>
            <w:proofErr w:type="gramEnd"/>
            <w:r>
              <w:rPr>
                <w:color w:val="1F2937"/>
                <w:sz w:val="18"/>
                <w:szCs w:val="18"/>
              </w:rPr>
              <w:t xml:space="preserve"> and check the row count. Add a threaded test on Postgres: 20 concurrent approvals must yield exactly one success.</w:t>
            </w:r>
          </w:p>
        </w:tc>
      </w:tr>
      <w:tr w:rsidR="00F10D8E" w14:paraId="4A01082A" w14:textId="77777777">
        <w:tblPrEx>
          <w:tblCellMar>
            <w:top w:w="0" w:type="dxa"/>
            <w:bottom w:w="0" w:type="dxa"/>
          </w:tblCellMar>
        </w:tblPrEx>
        <w:trPr>
          <w:cantSplit/>
        </w:trPr>
        <w:tc>
          <w:tcPr>
            <w:tcW w:w="1625" w:type="dxa"/>
            <w:shd w:val="clear" w:color="auto" w:fill="F2F4F7"/>
            <w:tcMar>
              <w:top w:w="80" w:type="dxa"/>
              <w:left w:w="110" w:type="dxa"/>
              <w:bottom w:w="80" w:type="dxa"/>
              <w:right w:w="110" w:type="dxa"/>
            </w:tcMar>
          </w:tcPr>
          <w:p w14:paraId="61B15CC7" w14:textId="77777777" w:rsidR="00F10D8E" w:rsidRDefault="00000000">
            <w:r>
              <w:rPr>
                <w:color w:val="1F2937"/>
                <w:sz w:val="18"/>
                <w:szCs w:val="18"/>
              </w:rPr>
              <w:t>Audit chain</w:t>
            </w:r>
          </w:p>
        </w:tc>
        <w:tc>
          <w:tcPr>
            <w:tcW w:w="3791" w:type="dxa"/>
            <w:shd w:val="clear" w:color="auto" w:fill="F2F4F7"/>
            <w:tcMar>
              <w:top w:w="80" w:type="dxa"/>
              <w:left w:w="110" w:type="dxa"/>
              <w:bottom w:w="80" w:type="dxa"/>
              <w:right w:w="110" w:type="dxa"/>
            </w:tcMar>
          </w:tcPr>
          <w:p w14:paraId="6C411FFF" w14:textId="77777777" w:rsidR="00F10D8E" w:rsidRDefault="00000000">
            <w:r>
              <w:rPr>
                <w:color w:val="1F2937"/>
                <w:sz w:val="18"/>
                <w:szCs w:val="18"/>
              </w:rPr>
              <w:t>The previous digest is read without a lock, so concurrent writes can fork the chain. Reason and request ID are not included in the digest.</w:t>
            </w:r>
          </w:p>
        </w:tc>
        <w:tc>
          <w:tcPr>
            <w:tcW w:w="3610" w:type="dxa"/>
            <w:shd w:val="clear" w:color="auto" w:fill="F2F4F7"/>
            <w:tcMar>
              <w:top w:w="80" w:type="dxa"/>
              <w:left w:w="110" w:type="dxa"/>
              <w:bottom w:w="80" w:type="dxa"/>
              <w:right w:w="110" w:type="dxa"/>
            </w:tcMar>
          </w:tcPr>
          <w:p w14:paraId="19757472" w14:textId="77777777" w:rsidR="00F10D8E" w:rsidRDefault="00000000">
            <w:proofErr w:type="spellStart"/>
            <w:r>
              <w:rPr>
                <w:color w:val="1F2937"/>
                <w:sz w:val="18"/>
                <w:szCs w:val="18"/>
              </w:rPr>
              <w:t>Serialise</w:t>
            </w:r>
            <w:proofErr w:type="spellEnd"/>
            <w:r>
              <w:rPr>
                <w:color w:val="1F2937"/>
                <w:sz w:val="18"/>
                <w:szCs w:val="18"/>
              </w:rPr>
              <w:t xml:space="preserve"> chain writes with an advisory lock. Include every audited field in the digest. Add a test that tampering with any field is detected.</w:t>
            </w:r>
          </w:p>
        </w:tc>
      </w:tr>
      <w:tr w:rsidR="00F10D8E" w14:paraId="4597AB27" w14:textId="77777777">
        <w:tblPrEx>
          <w:tblCellMar>
            <w:top w:w="0" w:type="dxa"/>
            <w:bottom w:w="0" w:type="dxa"/>
          </w:tblCellMar>
        </w:tblPrEx>
        <w:trPr>
          <w:cantSplit/>
        </w:trPr>
        <w:tc>
          <w:tcPr>
            <w:tcW w:w="1625" w:type="dxa"/>
            <w:tcMar>
              <w:top w:w="80" w:type="dxa"/>
              <w:left w:w="110" w:type="dxa"/>
              <w:bottom w:w="80" w:type="dxa"/>
              <w:right w:w="110" w:type="dxa"/>
            </w:tcMar>
          </w:tcPr>
          <w:p w14:paraId="24A3096D" w14:textId="77777777" w:rsidR="00F10D8E" w:rsidRDefault="00000000">
            <w:r>
              <w:rPr>
                <w:color w:val="1F2937"/>
                <w:sz w:val="18"/>
                <w:szCs w:val="18"/>
              </w:rPr>
              <w:t>Multi-factor authentication</w:t>
            </w:r>
          </w:p>
        </w:tc>
        <w:tc>
          <w:tcPr>
            <w:tcW w:w="3791" w:type="dxa"/>
            <w:tcMar>
              <w:top w:w="80" w:type="dxa"/>
              <w:left w:w="110" w:type="dxa"/>
              <w:bottom w:w="80" w:type="dxa"/>
              <w:right w:w="110" w:type="dxa"/>
            </w:tcMar>
          </w:tcPr>
          <w:p w14:paraId="1DAD7018" w14:textId="77777777" w:rsidR="00F10D8E" w:rsidRDefault="00000000">
            <w:r>
              <w:rPr>
                <w:color w:val="1F2937"/>
                <w:sz w:val="18"/>
                <w:szCs w:val="18"/>
              </w:rPr>
              <w:t xml:space="preserve">Described for officials, but only a </w:t>
            </w:r>
            <w:proofErr w:type="spellStart"/>
            <w:r>
              <w:rPr>
                <w:color w:val="1F2937"/>
                <w:sz w:val="18"/>
                <w:szCs w:val="18"/>
              </w:rPr>
              <w:t>boolean</w:t>
            </w:r>
            <w:proofErr w:type="spellEnd"/>
            <w:r>
              <w:rPr>
                <w:color w:val="1F2937"/>
                <w:sz w:val="18"/>
                <w:szCs w:val="18"/>
              </w:rPr>
              <w:t xml:space="preserve"> flag exists. Nothing enforces it.</w:t>
            </w:r>
          </w:p>
        </w:tc>
        <w:tc>
          <w:tcPr>
            <w:tcW w:w="3610" w:type="dxa"/>
            <w:tcMar>
              <w:top w:w="80" w:type="dxa"/>
              <w:left w:w="110" w:type="dxa"/>
              <w:bottom w:w="80" w:type="dxa"/>
              <w:right w:w="110" w:type="dxa"/>
            </w:tcMar>
          </w:tcPr>
          <w:p w14:paraId="21B205DD" w14:textId="77777777" w:rsidR="00F10D8E" w:rsidRDefault="00000000">
            <w:r>
              <w:rPr>
                <w:color w:val="1F2937"/>
                <w:sz w:val="18"/>
                <w:szCs w:val="18"/>
              </w:rPr>
              <w:t>Implement TOTP (</w:t>
            </w:r>
            <w:proofErr w:type="spellStart"/>
            <w:r>
              <w:rPr>
                <w:color w:val="1F2937"/>
                <w:sz w:val="18"/>
                <w:szCs w:val="18"/>
              </w:rPr>
              <w:t>pyotp</w:t>
            </w:r>
            <w:proofErr w:type="spellEnd"/>
            <w:r>
              <w:rPr>
                <w:color w:val="1F2937"/>
                <w:sz w:val="18"/>
                <w:szCs w:val="18"/>
              </w:rPr>
              <w:t>) with enrolment and a recovery code flow, or state clearly in the demo that MFA is not implemented.</w:t>
            </w:r>
          </w:p>
        </w:tc>
      </w:tr>
      <w:tr w:rsidR="00F10D8E" w14:paraId="5BDADE39" w14:textId="77777777">
        <w:tblPrEx>
          <w:tblCellMar>
            <w:top w:w="0" w:type="dxa"/>
            <w:bottom w:w="0" w:type="dxa"/>
          </w:tblCellMar>
        </w:tblPrEx>
        <w:trPr>
          <w:cantSplit/>
        </w:trPr>
        <w:tc>
          <w:tcPr>
            <w:tcW w:w="1625" w:type="dxa"/>
            <w:shd w:val="clear" w:color="auto" w:fill="F2F4F7"/>
            <w:tcMar>
              <w:top w:w="80" w:type="dxa"/>
              <w:left w:w="110" w:type="dxa"/>
              <w:bottom w:w="80" w:type="dxa"/>
              <w:right w:w="110" w:type="dxa"/>
            </w:tcMar>
          </w:tcPr>
          <w:p w14:paraId="668DD606" w14:textId="77777777" w:rsidR="00F10D8E" w:rsidRDefault="00000000">
            <w:r>
              <w:rPr>
                <w:color w:val="1F2937"/>
                <w:sz w:val="18"/>
                <w:szCs w:val="18"/>
              </w:rPr>
              <w:t>Login protection</w:t>
            </w:r>
          </w:p>
        </w:tc>
        <w:tc>
          <w:tcPr>
            <w:tcW w:w="3791" w:type="dxa"/>
            <w:shd w:val="clear" w:color="auto" w:fill="F2F4F7"/>
            <w:tcMar>
              <w:top w:w="80" w:type="dxa"/>
              <w:left w:w="110" w:type="dxa"/>
              <w:bottom w:w="80" w:type="dxa"/>
              <w:right w:w="110" w:type="dxa"/>
            </w:tcMar>
          </w:tcPr>
          <w:p w14:paraId="6A58A2BB" w14:textId="77777777" w:rsidR="00F10D8E" w:rsidRDefault="00000000">
            <w:r>
              <w:rPr>
                <w:color w:val="1F2937"/>
                <w:sz w:val="18"/>
                <w:szCs w:val="18"/>
              </w:rPr>
              <w:t>No throttling or lockout. An unknown email skips password hashing, so response timing reveals which accounts exist.</w:t>
            </w:r>
          </w:p>
        </w:tc>
        <w:tc>
          <w:tcPr>
            <w:tcW w:w="3610" w:type="dxa"/>
            <w:shd w:val="clear" w:color="auto" w:fill="F2F4F7"/>
            <w:tcMar>
              <w:top w:w="80" w:type="dxa"/>
              <w:left w:w="110" w:type="dxa"/>
              <w:bottom w:w="80" w:type="dxa"/>
              <w:right w:w="110" w:type="dxa"/>
            </w:tcMar>
          </w:tcPr>
          <w:p w14:paraId="6567D81E" w14:textId="77777777" w:rsidR="00F10D8E" w:rsidRDefault="00000000">
            <w:r>
              <w:rPr>
                <w:color w:val="1F2937"/>
                <w:sz w:val="18"/>
                <w:szCs w:val="18"/>
              </w:rPr>
              <w:t>Add per-account and per-IP rate limits. Always run the hash comparison. Log failed attempts to the audit trail.</w:t>
            </w:r>
          </w:p>
        </w:tc>
      </w:tr>
      <w:tr w:rsidR="00F10D8E" w14:paraId="7F2F125C" w14:textId="77777777">
        <w:tblPrEx>
          <w:tblCellMar>
            <w:top w:w="0" w:type="dxa"/>
            <w:bottom w:w="0" w:type="dxa"/>
          </w:tblCellMar>
        </w:tblPrEx>
        <w:trPr>
          <w:cantSplit/>
        </w:trPr>
        <w:tc>
          <w:tcPr>
            <w:tcW w:w="1625" w:type="dxa"/>
            <w:tcMar>
              <w:top w:w="80" w:type="dxa"/>
              <w:left w:w="110" w:type="dxa"/>
              <w:bottom w:w="80" w:type="dxa"/>
              <w:right w:w="110" w:type="dxa"/>
            </w:tcMar>
          </w:tcPr>
          <w:p w14:paraId="768C1D0D" w14:textId="77777777" w:rsidR="00F10D8E" w:rsidRDefault="00000000">
            <w:r>
              <w:rPr>
                <w:color w:val="1F2937"/>
                <w:sz w:val="18"/>
                <w:szCs w:val="18"/>
              </w:rPr>
              <w:t>Session revocation</w:t>
            </w:r>
          </w:p>
        </w:tc>
        <w:tc>
          <w:tcPr>
            <w:tcW w:w="3791" w:type="dxa"/>
            <w:tcMar>
              <w:top w:w="80" w:type="dxa"/>
              <w:left w:w="110" w:type="dxa"/>
              <w:bottom w:w="80" w:type="dxa"/>
              <w:right w:w="110" w:type="dxa"/>
            </w:tcMar>
          </w:tcPr>
          <w:p w14:paraId="78436E96" w14:textId="77777777" w:rsidR="00F10D8E" w:rsidRDefault="00000000">
            <w:r>
              <w:rPr>
                <w:color w:val="1F2937"/>
                <w:sz w:val="18"/>
                <w:szCs w:val="18"/>
              </w:rPr>
              <w:t>Logout clears the cookie only. A copied token stays valid for up to 60 minutes.</w:t>
            </w:r>
          </w:p>
        </w:tc>
        <w:tc>
          <w:tcPr>
            <w:tcW w:w="3610" w:type="dxa"/>
            <w:tcMar>
              <w:top w:w="80" w:type="dxa"/>
              <w:left w:w="110" w:type="dxa"/>
              <w:bottom w:w="80" w:type="dxa"/>
              <w:right w:w="110" w:type="dxa"/>
            </w:tcMar>
          </w:tcPr>
          <w:p w14:paraId="4DF65BDD" w14:textId="77777777" w:rsidR="00F10D8E" w:rsidRDefault="00000000">
            <w:r>
              <w:rPr>
                <w:color w:val="1F2937"/>
                <w:sz w:val="18"/>
                <w:szCs w:val="18"/>
              </w:rPr>
              <w:t>Store a session version on the user and check it on each request. Increment it on logout, deactivation and role change.</w:t>
            </w:r>
          </w:p>
        </w:tc>
      </w:tr>
      <w:tr w:rsidR="00F10D8E" w14:paraId="37D53153" w14:textId="77777777">
        <w:tblPrEx>
          <w:tblCellMar>
            <w:top w:w="0" w:type="dxa"/>
            <w:bottom w:w="0" w:type="dxa"/>
          </w:tblCellMar>
        </w:tblPrEx>
        <w:trPr>
          <w:cantSplit/>
        </w:trPr>
        <w:tc>
          <w:tcPr>
            <w:tcW w:w="1625" w:type="dxa"/>
            <w:shd w:val="clear" w:color="auto" w:fill="F2F4F7"/>
            <w:tcMar>
              <w:top w:w="80" w:type="dxa"/>
              <w:left w:w="110" w:type="dxa"/>
              <w:bottom w:w="80" w:type="dxa"/>
              <w:right w:w="110" w:type="dxa"/>
            </w:tcMar>
          </w:tcPr>
          <w:p w14:paraId="4BE054E6" w14:textId="77777777" w:rsidR="00F10D8E" w:rsidRDefault="00000000">
            <w:r>
              <w:rPr>
                <w:color w:val="1F2937"/>
                <w:sz w:val="18"/>
                <w:szCs w:val="18"/>
              </w:rPr>
              <w:lastRenderedPageBreak/>
              <w:t>Document obfuscation</w:t>
            </w:r>
          </w:p>
        </w:tc>
        <w:tc>
          <w:tcPr>
            <w:tcW w:w="3791" w:type="dxa"/>
            <w:shd w:val="clear" w:color="auto" w:fill="F2F4F7"/>
            <w:tcMar>
              <w:top w:w="80" w:type="dxa"/>
              <w:left w:w="110" w:type="dxa"/>
              <w:bottom w:w="80" w:type="dxa"/>
              <w:right w:w="110" w:type="dxa"/>
            </w:tcMar>
          </w:tcPr>
          <w:p w14:paraId="7825D098" w14:textId="77777777" w:rsidR="00F10D8E" w:rsidRDefault="00000000">
            <w:r>
              <w:rPr>
                <w:color w:val="1F2937"/>
                <w:sz w:val="18"/>
                <w:szCs w:val="18"/>
              </w:rPr>
              <w:t>"</w:t>
            </w:r>
            <w:proofErr w:type="spellStart"/>
            <w:proofErr w:type="gramStart"/>
            <w:r>
              <w:rPr>
                <w:color w:val="1F2937"/>
                <w:sz w:val="18"/>
                <w:szCs w:val="18"/>
              </w:rPr>
              <w:t>obfuscate</w:t>
            </w:r>
            <w:proofErr w:type="gramEnd"/>
            <w:r>
              <w:rPr>
                <w:color w:val="1F2937"/>
                <w:sz w:val="18"/>
                <w:szCs w:val="18"/>
              </w:rPr>
              <w:t>_store</w:t>
            </w:r>
            <w:proofErr w:type="spellEnd"/>
            <w:r>
              <w:rPr>
                <w:color w:val="1F2937"/>
                <w:sz w:val="18"/>
                <w:szCs w:val="18"/>
              </w:rPr>
              <w:t>" is an XOR keystream with no authentication and no nonce. It is labelled as a stand-in, but the spec requires encryption at rest.</w:t>
            </w:r>
          </w:p>
        </w:tc>
        <w:tc>
          <w:tcPr>
            <w:tcW w:w="3610" w:type="dxa"/>
            <w:shd w:val="clear" w:color="auto" w:fill="F2F4F7"/>
            <w:tcMar>
              <w:top w:w="80" w:type="dxa"/>
              <w:left w:w="110" w:type="dxa"/>
              <w:bottom w:w="80" w:type="dxa"/>
              <w:right w:w="110" w:type="dxa"/>
            </w:tcMar>
          </w:tcPr>
          <w:p w14:paraId="5DC05DA3" w14:textId="77777777" w:rsidR="00F10D8E" w:rsidRDefault="00000000">
            <w:r>
              <w:rPr>
                <w:color w:val="1F2937"/>
                <w:sz w:val="18"/>
                <w:szCs w:val="18"/>
              </w:rPr>
              <w:t>Use AES-GCM (cryptography library) with a key from the environment or a KMS, unique nonces and key versioning.</w:t>
            </w:r>
          </w:p>
        </w:tc>
      </w:tr>
      <w:tr w:rsidR="00F10D8E" w14:paraId="467193F6" w14:textId="77777777">
        <w:tblPrEx>
          <w:tblCellMar>
            <w:top w:w="0" w:type="dxa"/>
            <w:bottom w:w="0" w:type="dxa"/>
          </w:tblCellMar>
        </w:tblPrEx>
        <w:trPr>
          <w:cantSplit/>
        </w:trPr>
        <w:tc>
          <w:tcPr>
            <w:tcW w:w="1625" w:type="dxa"/>
            <w:tcMar>
              <w:top w:w="80" w:type="dxa"/>
              <w:left w:w="110" w:type="dxa"/>
              <w:bottom w:w="80" w:type="dxa"/>
              <w:right w:w="110" w:type="dxa"/>
            </w:tcMar>
          </w:tcPr>
          <w:p w14:paraId="08D20157" w14:textId="77777777" w:rsidR="00F10D8E" w:rsidRDefault="00000000">
            <w:r>
              <w:rPr>
                <w:color w:val="1F2937"/>
                <w:sz w:val="18"/>
                <w:szCs w:val="18"/>
              </w:rPr>
              <w:t>Region scope</w:t>
            </w:r>
          </w:p>
        </w:tc>
        <w:tc>
          <w:tcPr>
            <w:tcW w:w="3791" w:type="dxa"/>
            <w:tcMar>
              <w:top w:w="80" w:type="dxa"/>
              <w:left w:w="110" w:type="dxa"/>
              <w:bottom w:w="80" w:type="dxa"/>
              <w:right w:w="110" w:type="dxa"/>
            </w:tcMar>
          </w:tcPr>
          <w:p w14:paraId="7B8A2551" w14:textId="77777777" w:rsidR="00F10D8E" w:rsidRDefault="00000000">
            <w:r>
              <w:rPr>
                <w:color w:val="1F2937"/>
                <w:sz w:val="18"/>
                <w:szCs w:val="18"/>
              </w:rPr>
              <w:t xml:space="preserve">An official with </w:t>
            </w:r>
            <w:proofErr w:type="spellStart"/>
            <w:proofErr w:type="gramStart"/>
            <w:r>
              <w:rPr>
                <w:color w:val="1F2937"/>
                <w:sz w:val="18"/>
                <w:szCs w:val="18"/>
              </w:rPr>
              <w:t>fdr:read</w:t>
            </w:r>
            <w:proofErr w:type="gramEnd"/>
            <w:r>
              <w:rPr>
                <w:color w:val="1F2937"/>
                <w:sz w:val="18"/>
                <w:szCs w:val="18"/>
              </w:rPr>
              <w:t>_all</w:t>
            </w:r>
            <w:proofErr w:type="spellEnd"/>
            <w:r>
              <w:rPr>
                <w:color w:val="1F2937"/>
                <w:sz w:val="18"/>
                <w:szCs w:val="18"/>
              </w:rPr>
              <w:t xml:space="preserve"> and no region assignment sees all regions.</w:t>
            </w:r>
          </w:p>
        </w:tc>
        <w:tc>
          <w:tcPr>
            <w:tcW w:w="3610" w:type="dxa"/>
            <w:tcMar>
              <w:top w:w="80" w:type="dxa"/>
              <w:left w:w="110" w:type="dxa"/>
              <w:bottom w:w="80" w:type="dxa"/>
              <w:right w:w="110" w:type="dxa"/>
            </w:tcMar>
          </w:tcPr>
          <w:p w14:paraId="7DC695E6" w14:textId="77777777" w:rsidR="00F10D8E" w:rsidRDefault="00000000">
            <w:r>
              <w:rPr>
                <w:color w:val="1F2937"/>
                <w:sz w:val="18"/>
                <w:szCs w:val="18"/>
              </w:rPr>
              <w:t>Fail closed: no region assignment means no access. Add a test for this case.</w:t>
            </w:r>
          </w:p>
        </w:tc>
      </w:tr>
      <w:tr w:rsidR="00F10D8E" w14:paraId="5BDE8BAB" w14:textId="77777777">
        <w:tblPrEx>
          <w:tblCellMar>
            <w:top w:w="0" w:type="dxa"/>
            <w:bottom w:w="0" w:type="dxa"/>
          </w:tblCellMar>
        </w:tblPrEx>
        <w:trPr>
          <w:cantSplit/>
        </w:trPr>
        <w:tc>
          <w:tcPr>
            <w:tcW w:w="1625" w:type="dxa"/>
            <w:shd w:val="clear" w:color="auto" w:fill="F2F4F7"/>
            <w:tcMar>
              <w:top w:w="80" w:type="dxa"/>
              <w:left w:w="110" w:type="dxa"/>
              <w:bottom w:w="80" w:type="dxa"/>
              <w:right w:w="110" w:type="dxa"/>
            </w:tcMar>
          </w:tcPr>
          <w:p w14:paraId="0E462481" w14:textId="77777777" w:rsidR="00F10D8E" w:rsidRDefault="00000000">
            <w:r>
              <w:rPr>
                <w:color w:val="1F2937"/>
                <w:sz w:val="18"/>
                <w:szCs w:val="18"/>
              </w:rPr>
              <w:t>Mock-bank replay guard</w:t>
            </w:r>
          </w:p>
        </w:tc>
        <w:tc>
          <w:tcPr>
            <w:tcW w:w="3791" w:type="dxa"/>
            <w:shd w:val="clear" w:color="auto" w:fill="F2F4F7"/>
            <w:tcMar>
              <w:top w:w="80" w:type="dxa"/>
              <w:left w:w="110" w:type="dxa"/>
              <w:bottom w:w="80" w:type="dxa"/>
              <w:right w:w="110" w:type="dxa"/>
            </w:tcMar>
          </w:tcPr>
          <w:p w14:paraId="33F31E10" w14:textId="77777777" w:rsidR="00F10D8E" w:rsidRDefault="00000000">
            <w:r>
              <w:rPr>
                <w:color w:val="1F2937"/>
                <w:sz w:val="18"/>
                <w:szCs w:val="18"/>
              </w:rPr>
              <w:t>Kept in an in-memory set, so it resets on restart and does not hold across serverless instances.</w:t>
            </w:r>
          </w:p>
        </w:tc>
        <w:tc>
          <w:tcPr>
            <w:tcW w:w="3610" w:type="dxa"/>
            <w:shd w:val="clear" w:color="auto" w:fill="F2F4F7"/>
            <w:tcMar>
              <w:top w:w="80" w:type="dxa"/>
              <w:left w:w="110" w:type="dxa"/>
              <w:bottom w:w="80" w:type="dxa"/>
              <w:right w:w="110" w:type="dxa"/>
            </w:tcMar>
          </w:tcPr>
          <w:p w14:paraId="10D5244E" w14:textId="77777777" w:rsidR="00F10D8E" w:rsidRDefault="00000000">
            <w:r>
              <w:rPr>
                <w:color w:val="1F2937"/>
                <w:sz w:val="18"/>
                <w:szCs w:val="18"/>
              </w:rPr>
              <w:t>Persist response IDs in a table with a unique constraint.</w:t>
            </w:r>
          </w:p>
        </w:tc>
      </w:tr>
    </w:tbl>
    <w:p w14:paraId="03A0F5F8" w14:textId="77777777" w:rsidR="00F10D8E" w:rsidRDefault="00000000">
      <w:pPr>
        <w:pStyle w:val="Heading2"/>
      </w:pPr>
      <w:r>
        <w:t>2.3 Documentation and claims (P0)</w:t>
      </w:r>
    </w:p>
    <w:p w14:paraId="5108CC36" w14:textId="77777777" w:rsidR="00F10D8E" w:rsidRDefault="00000000">
      <w:pPr>
        <w:pStyle w:val="ListParagraph"/>
        <w:numPr>
          <w:ilvl w:val="0"/>
          <w:numId w:val="2"/>
        </w:numPr>
        <w:spacing w:after="80" w:line="290" w:lineRule="auto"/>
      </w:pPr>
      <w:r>
        <w:t>Reconcile clearance codes. The README lists CLEARANCE_APPROVAL_BUREAU and CLEARANCE_LEGAL_CELL. The code uses PGRC, VIGILANCE and FINANCE_BUREAU, and the Legal Cell code does not appear in the code.</w:t>
      </w:r>
    </w:p>
    <w:p w14:paraId="598F1865" w14:textId="77777777" w:rsidR="00F10D8E" w:rsidRDefault="00000000">
      <w:pPr>
        <w:pStyle w:val="ListParagraph"/>
        <w:numPr>
          <w:ilvl w:val="0"/>
          <w:numId w:val="2"/>
        </w:numPr>
        <w:spacing w:after="80" w:line="290" w:lineRule="auto"/>
      </w:pPr>
      <w:r>
        <w:t>Reconcile bank scenario names. The README and the code use different identifiers.</w:t>
      </w:r>
    </w:p>
    <w:p w14:paraId="61A7C04B" w14:textId="77777777" w:rsidR="00F10D8E" w:rsidRDefault="00000000">
      <w:pPr>
        <w:pStyle w:val="ListParagraph"/>
        <w:numPr>
          <w:ilvl w:val="0"/>
          <w:numId w:val="2"/>
        </w:numPr>
        <w:spacing w:after="80" w:line="290" w:lineRule="auto"/>
      </w:pPr>
      <w:r>
        <w:t>Remove or qualify tooling claims. Alembic and Playwright are listed but not present. The README describes Next.js and PostgreSQL as the stack, while the frontend is Vite and the local build uses SQLite.</w:t>
      </w:r>
    </w:p>
    <w:p w14:paraId="7B88E2C5" w14:textId="77777777" w:rsidR="00F10D8E" w:rsidRDefault="00000000">
      <w:pPr>
        <w:pStyle w:val="ListParagraph"/>
        <w:numPr>
          <w:ilvl w:val="0"/>
          <w:numId w:val="2"/>
        </w:numPr>
        <w:spacing w:after="80" w:line="290" w:lineRule="auto"/>
      </w:pPr>
      <w:r>
        <w:t>Keep the "not an official AICTE site" and "simulated bank" disclaimers. They are good and should appear on every screen that shows mock data.</w:t>
      </w:r>
    </w:p>
    <w:p w14:paraId="4D70A47D" w14:textId="77777777" w:rsidR="00F10D8E" w:rsidRDefault="00000000">
      <w:pPr>
        <w:pStyle w:val="ListParagraph"/>
        <w:numPr>
          <w:ilvl w:val="0"/>
          <w:numId w:val="2"/>
        </w:numPr>
        <w:spacing w:after="80" w:line="290" w:lineRule="auto"/>
      </w:pPr>
      <w:r>
        <w:t xml:space="preserve">Generate the API table from the </w:t>
      </w:r>
      <w:proofErr w:type="spellStart"/>
      <w:r>
        <w:t>OpenAPI</w:t>
      </w:r>
      <w:proofErr w:type="spellEnd"/>
      <w:r>
        <w:t xml:space="preserve"> schema so it cannot drift.</w:t>
      </w:r>
    </w:p>
    <w:p w14:paraId="7563323D" w14:textId="77777777" w:rsidR="00F10D8E" w:rsidRDefault="00000000">
      <w:pPr>
        <w:pStyle w:val="Heading2"/>
      </w:pPr>
      <w:r>
        <w:t>2.4 Engineering hygiene (P2)</w:t>
      </w:r>
    </w:p>
    <w:p w14:paraId="798B3E66" w14:textId="77777777" w:rsidR="00F10D8E" w:rsidRDefault="00000000">
      <w:pPr>
        <w:pStyle w:val="ListParagraph"/>
        <w:numPr>
          <w:ilvl w:val="0"/>
          <w:numId w:val="2"/>
        </w:numPr>
        <w:spacing w:after="80" w:line="290" w:lineRule="auto"/>
      </w:pPr>
      <w:r>
        <w:t xml:space="preserve">Add Alembic migrations. The spec calls for versioned migrations, and the deployment currently relies on </w:t>
      </w:r>
      <w:proofErr w:type="spellStart"/>
      <w:r>
        <w:t>create_all</w:t>
      </w:r>
      <w:proofErr w:type="spellEnd"/>
      <w:r>
        <w:t>.</w:t>
      </w:r>
    </w:p>
    <w:p w14:paraId="6DE5D327" w14:textId="77777777" w:rsidR="00F10D8E" w:rsidRDefault="00000000">
      <w:pPr>
        <w:pStyle w:val="ListParagraph"/>
        <w:numPr>
          <w:ilvl w:val="0"/>
          <w:numId w:val="2"/>
        </w:numPr>
        <w:spacing w:after="80" w:line="290" w:lineRule="auto"/>
      </w:pPr>
      <w:r>
        <w:t xml:space="preserve">Add CI: ruff, </w:t>
      </w:r>
      <w:proofErr w:type="spellStart"/>
      <w:r>
        <w:t>pytest</w:t>
      </w:r>
      <w:proofErr w:type="spellEnd"/>
      <w:r>
        <w:t xml:space="preserve"> on SQLite and Postgres, the frontend type-check and build, pip-audit and </w:t>
      </w:r>
      <w:proofErr w:type="spellStart"/>
      <w:r>
        <w:t>npm</w:t>
      </w:r>
      <w:proofErr w:type="spellEnd"/>
      <w:r>
        <w:t xml:space="preserve"> audit, and secret scanning.</w:t>
      </w:r>
    </w:p>
    <w:p w14:paraId="24E26200" w14:textId="77777777" w:rsidR="00F10D8E" w:rsidRDefault="00000000">
      <w:pPr>
        <w:pStyle w:val="ListParagraph"/>
        <w:numPr>
          <w:ilvl w:val="0"/>
          <w:numId w:val="2"/>
        </w:numPr>
        <w:spacing w:after="80" w:line="290" w:lineRule="auto"/>
      </w:pPr>
      <w:r>
        <w:t xml:space="preserve">Add docker-compose with Postgres and </w:t>
      </w:r>
      <w:proofErr w:type="spellStart"/>
      <w:r>
        <w:t>MinIO</w:t>
      </w:r>
      <w:proofErr w:type="spellEnd"/>
      <w:r>
        <w:t xml:space="preserve"> so the production shape runs locally.</w:t>
      </w:r>
    </w:p>
    <w:p w14:paraId="1BD663F5" w14:textId="77777777" w:rsidR="00F10D8E" w:rsidRDefault="00000000">
      <w:pPr>
        <w:pStyle w:val="ListParagraph"/>
        <w:numPr>
          <w:ilvl w:val="0"/>
          <w:numId w:val="2"/>
        </w:numPr>
        <w:spacing w:after="80" w:line="290" w:lineRule="auto"/>
      </w:pPr>
      <w:r>
        <w:t>Add a load test (k6 or Locust) on a seeded dataset of about 10,000 FDRs, and report the hardware and method with each result.</w:t>
      </w:r>
    </w:p>
    <w:p w14:paraId="0AC56C33" w14:textId="77777777" w:rsidR="00F10D8E" w:rsidRDefault="00000000">
      <w:pPr>
        <w:pStyle w:val="Heading1"/>
        <w:pBdr>
          <w:bottom w:val="single" w:sz="6" w:space="4" w:color="183153"/>
        </w:pBdr>
      </w:pPr>
      <w:r>
        <w:t>3. Measurement plan</w:t>
      </w:r>
    </w:p>
    <w:p w14:paraId="52D48ADC" w14:textId="77777777" w:rsidR="00F10D8E" w:rsidRDefault="00000000">
      <w:pPr>
        <w:spacing w:after="120" w:line="300" w:lineRule="auto"/>
      </w:pPr>
      <w:r>
        <w:t>The problem statement asks for measurable improvement, and the spec says not to invent figures. The repository currently has no evaluation. The plan below creates one that can be reproduced.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4062"/>
        <w:gridCol w:w="2256"/>
      </w:tblGrid>
      <w:tr w:rsidR="00F10D8E" w14:paraId="3766E77F" w14:textId="77777777">
        <w:tblPrEx>
          <w:tblCellMar>
            <w:top w:w="0" w:type="dxa"/>
            <w:bottom w:w="0" w:type="dxa"/>
          </w:tblCellMar>
        </w:tblPrEx>
        <w:trPr>
          <w:tblHeader/>
        </w:trPr>
        <w:tc>
          <w:tcPr>
            <w:tcW w:w="2708" w:type="dxa"/>
            <w:shd w:val="clear" w:color="auto" w:fill="183153"/>
            <w:tcMar>
              <w:top w:w="80" w:type="dxa"/>
              <w:left w:w="110" w:type="dxa"/>
              <w:bottom w:w="80" w:type="dxa"/>
              <w:right w:w="110" w:type="dxa"/>
            </w:tcMar>
          </w:tcPr>
          <w:p w14:paraId="3EE00BD0" w14:textId="77777777" w:rsidR="00F10D8E" w:rsidRDefault="00000000">
            <w:r>
              <w:rPr>
                <w:b/>
                <w:bCs/>
                <w:color w:val="FFFFFF"/>
                <w:sz w:val="18"/>
                <w:szCs w:val="18"/>
              </w:rPr>
              <w:t>Measure</w:t>
            </w:r>
          </w:p>
        </w:tc>
        <w:tc>
          <w:tcPr>
            <w:tcW w:w="4062" w:type="dxa"/>
            <w:shd w:val="clear" w:color="auto" w:fill="183153"/>
            <w:tcMar>
              <w:top w:w="80" w:type="dxa"/>
              <w:left w:w="110" w:type="dxa"/>
              <w:bottom w:w="80" w:type="dxa"/>
              <w:right w:w="110" w:type="dxa"/>
            </w:tcMar>
          </w:tcPr>
          <w:p w14:paraId="34320800" w14:textId="77777777" w:rsidR="00F10D8E" w:rsidRDefault="00000000">
            <w:r>
              <w:rPr>
                <w:b/>
                <w:bCs/>
                <w:color w:val="FFFFFF"/>
                <w:sz w:val="18"/>
                <w:szCs w:val="18"/>
              </w:rPr>
              <w:t>Method</w:t>
            </w:r>
          </w:p>
        </w:tc>
        <w:tc>
          <w:tcPr>
            <w:tcW w:w="2256" w:type="dxa"/>
            <w:shd w:val="clear" w:color="auto" w:fill="183153"/>
            <w:tcMar>
              <w:top w:w="80" w:type="dxa"/>
              <w:left w:w="110" w:type="dxa"/>
              <w:bottom w:w="80" w:type="dxa"/>
              <w:right w:w="110" w:type="dxa"/>
            </w:tcMar>
          </w:tcPr>
          <w:p w14:paraId="7E69AEE1" w14:textId="77777777" w:rsidR="00F10D8E" w:rsidRDefault="00000000">
            <w:r>
              <w:rPr>
                <w:b/>
                <w:bCs/>
                <w:color w:val="FFFFFF"/>
                <w:sz w:val="18"/>
                <w:szCs w:val="18"/>
              </w:rPr>
              <w:t>Reported as</w:t>
            </w:r>
          </w:p>
        </w:tc>
      </w:tr>
      <w:tr w:rsidR="00F10D8E" w14:paraId="5CFC94EA" w14:textId="77777777">
        <w:tblPrEx>
          <w:tblCellMar>
            <w:top w:w="0" w:type="dxa"/>
            <w:bottom w:w="0" w:type="dxa"/>
          </w:tblCellMar>
        </w:tblPrEx>
        <w:trPr>
          <w:cantSplit/>
        </w:trPr>
        <w:tc>
          <w:tcPr>
            <w:tcW w:w="2708" w:type="dxa"/>
            <w:tcMar>
              <w:top w:w="80" w:type="dxa"/>
              <w:left w:w="110" w:type="dxa"/>
              <w:bottom w:w="80" w:type="dxa"/>
              <w:right w:w="110" w:type="dxa"/>
            </w:tcMar>
          </w:tcPr>
          <w:p w14:paraId="01CBD36C" w14:textId="77777777" w:rsidR="00F10D8E" w:rsidRDefault="00000000">
            <w:r>
              <w:rPr>
                <w:color w:val="1F2937"/>
                <w:sz w:val="18"/>
                <w:szCs w:val="18"/>
              </w:rPr>
              <w:t>Field extraction precision and coverage</w:t>
            </w:r>
          </w:p>
        </w:tc>
        <w:tc>
          <w:tcPr>
            <w:tcW w:w="4062" w:type="dxa"/>
            <w:tcMar>
              <w:top w:w="80" w:type="dxa"/>
              <w:left w:w="110" w:type="dxa"/>
              <w:bottom w:w="80" w:type="dxa"/>
              <w:right w:w="110" w:type="dxa"/>
            </w:tcMar>
          </w:tcPr>
          <w:p w14:paraId="037A9960" w14:textId="77777777" w:rsidR="00F10D8E" w:rsidRDefault="00000000">
            <w:r>
              <w:rPr>
                <w:color w:val="1F2937"/>
                <w:sz w:val="18"/>
                <w:szCs w:val="18"/>
              </w:rPr>
              <w:t>Labelled synthetic receipts in several bank-style layouts, rendered as native PDF, clean raster and degraded scan. Split by template, not by document.</w:t>
            </w:r>
          </w:p>
        </w:tc>
        <w:tc>
          <w:tcPr>
            <w:tcW w:w="2256" w:type="dxa"/>
            <w:tcMar>
              <w:top w:w="80" w:type="dxa"/>
              <w:left w:w="110" w:type="dxa"/>
              <w:bottom w:w="80" w:type="dxa"/>
              <w:right w:w="110" w:type="dxa"/>
            </w:tcMar>
          </w:tcPr>
          <w:p w14:paraId="115AA1C4" w14:textId="77777777" w:rsidR="00F10D8E" w:rsidRDefault="00000000">
            <w:r>
              <w:rPr>
                <w:color w:val="1F2937"/>
                <w:sz w:val="18"/>
                <w:szCs w:val="18"/>
              </w:rPr>
              <w:t>Per field, per condition, with Wilson 95% intervals.</w:t>
            </w:r>
          </w:p>
        </w:tc>
      </w:tr>
      <w:tr w:rsidR="00F10D8E" w14:paraId="3BC825A2" w14:textId="77777777">
        <w:tblPrEx>
          <w:tblCellMar>
            <w:top w:w="0" w:type="dxa"/>
            <w:bottom w:w="0" w:type="dxa"/>
          </w:tblCellMar>
        </w:tblPrEx>
        <w:trPr>
          <w:cantSplit/>
        </w:trPr>
        <w:tc>
          <w:tcPr>
            <w:tcW w:w="2708" w:type="dxa"/>
            <w:shd w:val="clear" w:color="auto" w:fill="F2F4F7"/>
            <w:tcMar>
              <w:top w:w="80" w:type="dxa"/>
              <w:left w:w="110" w:type="dxa"/>
              <w:bottom w:w="80" w:type="dxa"/>
              <w:right w:w="110" w:type="dxa"/>
            </w:tcMar>
          </w:tcPr>
          <w:p w14:paraId="60E9B2DB" w14:textId="77777777" w:rsidR="00F10D8E" w:rsidRDefault="00000000">
            <w:r>
              <w:rPr>
                <w:color w:val="1F2937"/>
                <w:sz w:val="18"/>
                <w:szCs w:val="18"/>
              </w:rPr>
              <w:t>Silent-error rate</w:t>
            </w:r>
          </w:p>
        </w:tc>
        <w:tc>
          <w:tcPr>
            <w:tcW w:w="4062" w:type="dxa"/>
            <w:shd w:val="clear" w:color="auto" w:fill="F2F4F7"/>
            <w:tcMar>
              <w:top w:w="80" w:type="dxa"/>
              <w:left w:w="110" w:type="dxa"/>
              <w:bottom w:w="80" w:type="dxa"/>
              <w:right w:w="110" w:type="dxa"/>
            </w:tcMar>
          </w:tcPr>
          <w:p w14:paraId="007F55A0" w14:textId="77777777" w:rsidR="00F10D8E" w:rsidRDefault="00000000">
            <w:r>
              <w:rPr>
                <w:color w:val="1F2937"/>
                <w:sz w:val="18"/>
                <w:szCs w:val="18"/>
              </w:rPr>
              <w:t>Share of documents with a wrong value that the system marked READY at confidence ≥ 0.85.</w:t>
            </w:r>
          </w:p>
        </w:tc>
        <w:tc>
          <w:tcPr>
            <w:tcW w:w="2256" w:type="dxa"/>
            <w:shd w:val="clear" w:color="auto" w:fill="F2F4F7"/>
            <w:tcMar>
              <w:top w:w="80" w:type="dxa"/>
              <w:left w:w="110" w:type="dxa"/>
              <w:bottom w:w="80" w:type="dxa"/>
              <w:right w:w="110" w:type="dxa"/>
            </w:tcMar>
          </w:tcPr>
          <w:p w14:paraId="30049B57" w14:textId="77777777" w:rsidR="00F10D8E" w:rsidRDefault="00000000">
            <w:r>
              <w:rPr>
                <w:color w:val="1F2937"/>
                <w:sz w:val="18"/>
                <w:szCs w:val="18"/>
              </w:rPr>
              <w:t>Headline safety metric. Target: zero for critical fields.</w:t>
            </w:r>
          </w:p>
        </w:tc>
      </w:tr>
      <w:tr w:rsidR="00F10D8E" w14:paraId="3646CBBE" w14:textId="77777777">
        <w:tblPrEx>
          <w:tblCellMar>
            <w:top w:w="0" w:type="dxa"/>
            <w:bottom w:w="0" w:type="dxa"/>
          </w:tblCellMar>
        </w:tblPrEx>
        <w:trPr>
          <w:cantSplit/>
        </w:trPr>
        <w:tc>
          <w:tcPr>
            <w:tcW w:w="2708" w:type="dxa"/>
            <w:tcMar>
              <w:top w:w="80" w:type="dxa"/>
              <w:left w:w="110" w:type="dxa"/>
              <w:bottom w:w="80" w:type="dxa"/>
              <w:right w:w="110" w:type="dxa"/>
            </w:tcMar>
          </w:tcPr>
          <w:p w14:paraId="085892B5" w14:textId="77777777" w:rsidR="00F10D8E" w:rsidRDefault="00000000">
            <w:r>
              <w:rPr>
                <w:color w:val="1F2937"/>
                <w:sz w:val="18"/>
                <w:szCs w:val="18"/>
              </w:rPr>
              <w:t>Calibration</w:t>
            </w:r>
          </w:p>
        </w:tc>
        <w:tc>
          <w:tcPr>
            <w:tcW w:w="4062" w:type="dxa"/>
            <w:tcMar>
              <w:top w:w="80" w:type="dxa"/>
              <w:left w:w="110" w:type="dxa"/>
              <w:bottom w:w="80" w:type="dxa"/>
              <w:right w:w="110" w:type="dxa"/>
            </w:tcMar>
          </w:tcPr>
          <w:p w14:paraId="4900D344" w14:textId="77777777" w:rsidR="00F10D8E" w:rsidRDefault="00000000">
            <w:r>
              <w:rPr>
                <w:color w:val="1F2937"/>
                <w:sz w:val="18"/>
                <w:szCs w:val="18"/>
              </w:rPr>
              <w:t>Bin predictions by confidence and compare with observed accuracy.</w:t>
            </w:r>
          </w:p>
        </w:tc>
        <w:tc>
          <w:tcPr>
            <w:tcW w:w="2256" w:type="dxa"/>
            <w:tcMar>
              <w:top w:w="80" w:type="dxa"/>
              <w:left w:w="110" w:type="dxa"/>
              <w:bottom w:w="80" w:type="dxa"/>
              <w:right w:w="110" w:type="dxa"/>
            </w:tcMar>
          </w:tcPr>
          <w:p w14:paraId="3FB5A34E" w14:textId="77777777" w:rsidR="00F10D8E" w:rsidRDefault="00000000">
            <w:r>
              <w:rPr>
                <w:color w:val="1F2937"/>
                <w:sz w:val="18"/>
                <w:szCs w:val="18"/>
              </w:rPr>
              <w:t>Reliability plot.</w:t>
            </w:r>
          </w:p>
        </w:tc>
      </w:tr>
      <w:tr w:rsidR="00F10D8E" w14:paraId="0287BE8B" w14:textId="77777777">
        <w:tblPrEx>
          <w:tblCellMar>
            <w:top w:w="0" w:type="dxa"/>
            <w:bottom w:w="0" w:type="dxa"/>
          </w:tblCellMar>
        </w:tblPrEx>
        <w:trPr>
          <w:cantSplit/>
        </w:trPr>
        <w:tc>
          <w:tcPr>
            <w:tcW w:w="2708" w:type="dxa"/>
            <w:shd w:val="clear" w:color="auto" w:fill="F2F4F7"/>
            <w:tcMar>
              <w:top w:w="80" w:type="dxa"/>
              <w:left w:w="110" w:type="dxa"/>
              <w:bottom w:w="80" w:type="dxa"/>
              <w:right w:w="110" w:type="dxa"/>
            </w:tcMar>
          </w:tcPr>
          <w:p w14:paraId="5502FAC9" w14:textId="77777777" w:rsidR="00F10D8E" w:rsidRDefault="00000000">
            <w:r>
              <w:rPr>
                <w:color w:val="1F2937"/>
                <w:sz w:val="18"/>
                <w:szCs w:val="18"/>
              </w:rPr>
              <w:lastRenderedPageBreak/>
              <w:t>OCR character error rate</w:t>
            </w:r>
          </w:p>
        </w:tc>
        <w:tc>
          <w:tcPr>
            <w:tcW w:w="4062" w:type="dxa"/>
            <w:shd w:val="clear" w:color="auto" w:fill="F2F4F7"/>
            <w:tcMar>
              <w:top w:w="80" w:type="dxa"/>
              <w:left w:w="110" w:type="dxa"/>
              <w:bottom w:w="80" w:type="dxa"/>
              <w:right w:w="110" w:type="dxa"/>
            </w:tcMar>
          </w:tcPr>
          <w:p w14:paraId="6E5BC4C9" w14:textId="77777777" w:rsidR="00F10D8E" w:rsidRDefault="00000000">
            <w:r>
              <w:rPr>
                <w:color w:val="1F2937"/>
                <w:sz w:val="18"/>
                <w:szCs w:val="18"/>
              </w:rPr>
              <w:t>Edit distance over characters on the cropped text-line set.</w:t>
            </w:r>
          </w:p>
        </w:tc>
        <w:tc>
          <w:tcPr>
            <w:tcW w:w="2256" w:type="dxa"/>
            <w:shd w:val="clear" w:color="auto" w:fill="F2F4F7"/>
            <w:tcMar>
              <w:top w:w="80" w:type="dxa"/>
              <w:left w:w="110" w:type="dxa"/>
              <w:bottom w:w="80" w:type="dxa"/>
              <w:right w:w="110" w:type="dxa"/>
            </w:tcMar>
          </w:tcPr>
          <w:p w14:paraId="51995612" w14:textId="77777777" w:rsidR="00F10D8E" w:rsidRDefault="00000000">
            <w:r>
              <w:rPr>
                <w:color w:val="1F2937"/>
                <w:sz w:val="18"/>
                <w:szCs w:val="18"/>
              </w:rPr>
              <w:t>CER by script and by condition.</w:t>
            </w:r>
          </w:p>
        </w:tc>
      </w:tr>
      <w:tr w:rsidR="00F10D8E" w14:paraId="546B1AE2" w14:textId="77777777">
        <w:tblPrEx>
          <w:tblCellMar>
            <w:top w:w="0" w:type="dxa"/>
            <w:bottom w:w="0" w:type="dxa"/>
          </w:tblCellMar>
        </w:tblPrEx>
        <w:trPr>
          <w:cantSplit/>
        </w:trPr>
        <w:tc>
          <w:tcPr>
            <w:tcW w:w="2708" w:type="dxa"/>
            <w:tcMar>
              <w:top w:w="80" w:type="dxa"/>
              <w:left w:w="110" w:type="dxa"/>
              <w:bottom w:w="80" w:type="dxa"/>
              <w:right w:w="110" w:type="dxa"/>
            </w:tcMar>
          </w:tcPr>
          <w:p w14:paraId="2CA59158" w14:textId="77777777" w:rsidR="00F10D8E" w:rsidRDefault="00000000">
            <w:r>
              <w:rPr>
                <w:color w:val="1F2937"/>
                <w:sz w:val="18"/>
                <w:szCs w:val="18"/>
              </w:rPr>
              <w:t>Reviewer workload and speed</w:t>
            </w:r>
          </w:p>
        </w:tc>
        <w:tc>
          <w:tcPr>
            <w:tcW w:w="4062" w:type="dxa"/>
            <w:tcMar>
              <w:top w:w="80" w:type="dxa"/>
              <w:left w:w="110" w:type="dxa"/>
              <w:bottom w:w="80" w:type="dxa"/>
              <w:right w:w="110" w:type="dxa"/>
            </w:tcMar>
          </w:tcPr>
          <w:p w14:paraId="66C5B54F" w14:textId="77777777" w:rsidR="00F10D8E" w:rsidRDefault="00000000">
            <w:r>
              <w:rPr>
                <w:color w:val="1F2937"/>
                <w:sz w:val="18"/>
                <w:szCs w:val="18"/>
              </w:rPr>
              <w:t>Crossover study with 8–10 volunteers, manual versus assisted, counterbalanced. Use audit timestamps for timing. Seed discrepancies in about 30% of cases.</w:t>
            </w:r>
          </w:p>
        </w:tc>
        <w:tc>
          <w:tcPr>
            <w:tcW w:w="2256" w:type="dxa"/>
            <w:tcMar>
              <w:top w:w="80" w:type="dxa"/>
              <w:left w:w="110" w:type="dxa"/>
              <w:bottom w:w="80" w:type="dxa"/>
              <w:right w:w="110" w:type="dxa"/>
            </w:tcMar>
          </w:tcPr>
          <w:p w14:paraId="49C98E76" w14:textId="77777777" w:rsidR="00F10D8E" w:rsidRDefault="00000000">
            <w:r>
              <w:rPr>
                <w:color w:val="1F2937"/>
                <w:sz w:val="18"/>
                <w:szCs w:val="18"/>
              </w:rPr>
              <w:t>Median time with CI, paired Wilcoxon test, detection rate, SUS score. State N and that participants are students.</w:t>
            </w:r>
          </w:p>
        </w:tc>
      </w:tr>
      <w:tr w:rsidR="00F10D8E" w14:paraId="7C384BA5" w14:textId="77777777">
        <w:tblPrEx>
          <w:tblCellMar>
            <w:top w:w="0" w:type="dxa"/>
            <w:bottom w:w="0" w:type="dxa"/>
          </w:tblCellMar>
        </w:tblPrEx>
        <w:trPr>
          <w:cantSplit/>
        </w:trPr>
        <w:tc>
          <w:tcPr>
            <w:tcW w:w="2708" w:type="dxa"/>
            <w:shd w:val="clear" w:color="auto" w:fill="F2F4F7"/>
            <w:tcMar>
              <w:top w:w="80" w:type="dxa"/>
              <w:left w:w="110" w:type="dxa"/>
              <w:bottom w:w="80" w:type="dxa"/>
              <w:right w:w="110" w:type="dxa"/>
            </w:tcMar>
          </w:tcPr>
          <w:p w14:paraId="2BF33E06" w14:textId="77777777" w:rsidR="00F10D8E" w:rsidRDefault="00000000">
            <w:r>
              <w:rPr>
                <w:color w:val="1F2937"/>
                <w:sz w:val="18"/>
                <w:szCs w:val="18"/>
              </w:rPr>
              <w:t>Automation-bias check</w:t>
            </w:r>
          </w:p>
        </w:tc>
        <w:tc>
          <w:tcPr>
            <w:tcW w:w="4062" w:type="dxa"/>
            <w:shd w:val="clear" w:color="auto" w:fill="F2F4F7"/>
            <w:tcMar>
              <w:top w:w="80" w:type="dxa"/>
              <w:left w:w="110" w:type="dxa"/>
              <w:bottom w:w="80" w:type="dxa"/>
              <w:right w:w="110" w:type="dxa"/>
            </w:tcMar>
          </w:tcPr>
          <w:p w14:paraId="2D9F3191" w14:textId="77777777" w:rsidR="00F10D8E" w:rsidRDefault="00000000">
            <w:r>
              <w:rPr>
                <w:color w:val="1F2937"/>
                <w:sz w:val="18"/>
                <w:szCs w:val="18"/>
              </w:rPr>
              <w:t>Include cases where extraction is wrong and measure whether the reviewer catches them.</w:t>
            </w:r>
          </w:p>
        </w:tc>
        <w:tc>
          <w:tcPr>
            <w:tcW w:w="2256" w:type="dxa"/>
            <w:shd w:val="clear" w:color="auto" w:fill="F2F4F7"/>
            <w:tcMar>
              <w:top w:w="80" w:type="dxa"/>
              <w:left w:w="110" w:type="dxa"/>
              <w:bottom w:w="80" w:type="dxa"/>
              <w:right w:w="110" w:type="dxa"/>
            </w:tcMar>
          </w:tcPr>
          <w:p w14:paraId="4F3D42CB" w14:textId="77777777" w:rsidR="00F10D8E" w:rsidRDefault="00000000">
            <w:r>
              <w:rPr>
                <w:color w:val="1F2937"/>
                <w:sz w:val="18"/>
                <w:szCs w:val="18"/>
              </w:rPr>
              <w:t>Catch rate with and without the assisted view.</w:t>
            </w:r>
          </w:p>
        </w:tc>
      </w:tr>
      <w:tr w:rsidR="00F10D8E" w14:paraId="13036E76" w14:textId="77777777">
        <w:tblPrEx>
          <w:tblCellMar>
            <w:top w:w="0" w:type="dxa"/>
            <w:bottom w:w="0" w:type="dxa"/>
          </w:tblCellMar>
        </w:tblPrEx>
        <w:trPr>
          <w:cantSplit/>
        </w:trPr>
        <w:tc>
          <w:tcPr>
            <w:tcW w:w="2708" w:type="dxa"/>
            <w:tcMar>
              <w:top w:w="80" w:type="dxa"/>
              <w:left w:w="110" w:type="dxa"/>
              <w:bottom w:w="80" w:type="dxa"/>
              <w:right w:w="110" w:type="dxa"/>
            </w:tcMar>
          </w:tcPr>
          <w:p w14:paraId="16BAFA58" w14:textId="77777777" w:rsidR="00F10D8E" w:rsidRDefault="00000000">
            <w:r>
              <w:rPr>
                <w:color w:val="1F2937"/>
                <w:sz w:val="18"/>
                <w:szCs w:val="18"/>
              </w:rPr>
              <w:t>Reliability and security</w:t>
            </w:r>
          </w:p>
        </w:tc>
        <w:tc>
          <w:tcPr>
            <w:tcW w:w="4062" w:type="dxa"/>
            <w:tcMar>
              <w:top w:w="80" w:type="dxa"/>
              <w:left w:w="110" w:type="dxa"/>
              <w:bottom w:w="80" w:type="dxa"/>
              <w:right w:w="110" w:type="dxa"/>
            </w:tcMar>
          </w:tcPr>
          <w:p w14:paraId="1E22D01F" w14:textId="77777777" w:rsidR="00F10D8E" w:rsidRDefault="00000000">
            <w:r>
              <w:rPr>
                <w:color w:val="1F2937"/>
                <w:sz w:val="18"/>
                <w:szCs w:val="18"/>
              </w:rPr>
              <w:t xml:space="preserve">Duplicate reminders over repeated scheduler </w:t>
            </w:r>
            <w:proofErr w:type="gramStart"/>
            <w:r>
              <w:rPr>
                <w:color w:val="1F2937"/>
                <w:sz w:val="18"/>
                <w:szCs w:val="18"/>
              </w:rPr>
              <w:t>runs</w:t>
            </w:r>
            <w:proofErr w:type="gramEnd"/>
            <w:r>
              <w:rPr>
                <w:color w:val="1F2937"/>
                <w:sz w:val="18"/>
                <w:szCs w:val="18"/>
              </w:rPr>
              <w:t xml:space="preserve">; concurrent approvals; tenant-isolation matrix generated from the </w:t>
            </w:r>
            <w:proofErr w:type="spellStart"/>
            <w:r>
              <w:rPr>
                <w:color w:val="1F2937"/>
                <w:sz w:val="18"/>
                <w:szCs w:val="18"/>
              </w:rPr>
              <w:t>OpenAPI</w:t>
            </w:r>
            <w:proofErr w:type="spellEnd"/>
            <w:r>
              <w:rPr>
                <w:color w:val="1F2937"/>
                <w:sz w:val="18"/>
                <w:szCs w:val="18"/>
              </w:rPr>
              <w:t xml:space="preserve"> schema; audit atomicity under forced failure.</w:t>
            </w:r>
          </w:p>
        </w:tc>
        <w:tc>
          <w:tcPr>
            <w:tcW w:w="2256" w:type="dxa"/>
            <w:tcMar>
              <w:top w:w="80" w:type="dxa"/>
              <w:left w:w="110" w:type="dxa"/>
              <w:bottom w:w="80" w:type="dxa"/>
              <w:right w:w="110" w:type="dxa"/>
            </w:tcMar>
          </w:tcPr>
          <w:p w14:paraId="3896FA0C" w14:textId="77777777" w:rsidR="00F10D8E" w:rsidRDefault="00000000">
            <w:r>
              <w:rPr>
                <w:color w:val="1F2937"/>
                <w:sz w:val="18"/>
                <w:szCs w:val="18"/>
              </w:rPr>
              <w:t>Pass/fail table with counts and the commit hash.</w:t>
            </w:r>
          </w:p>
        </w:tc>
      </w:tr>
      <w:tr w:rsidR="00F10D8E" w14:paraId="15B8975F" w14:textId="77777777">
        <w:tblPrEx>
          <w:tblCellMar>
            <w:top w:w="0" w:type="dxa"/>
            <w:bottom w:w="0" w:type="dxa"/>
          </w:tblCellMar>
        </w:tblPrEx>
        <w:trPr>
          <w:cantSplit/>
        </w:trPr>
        <w:tc>
          <w:tcPr>
            <w:tcW w:w="2708" w:type="dxa"/>
            <w:shd w:val="clear" w:color="auto" w:fill="F2F4F7"/>
            <w:tcMar>
              <w:top w:w="80" w:type="dxa"/>
              <w:left w:w="110" w:type="dxa"/>
              <w:bottom w:w="80" w:type="dxa"/>
              <w:right w:w="110" w:type="dxa"/>
            </w:tcMar>
          </w:tcPr>
          <w:p w14:paraId="05B15F04" w14:textId="77777777" w:rsidR="00F10D8E" w:rsidRDefault="00000000">
            <w:r>
              <w:rPr>
                <w:color w:val="1F2937"/>
                <w:sz w:val="18"/>
                <w:szCs w:val="18"/>
              </w:rPr>
              <w:t>Latency</w:t>
            </w:r>
          </w:p>
        </w:tc>
        <w:tc>
          <w:tcPr>
            <w:tcW w:w="4062" w:type="dxa"/>
            <w:shd w:val="clear" w:color="auto" w:fill="F2F4F7"/>
            <w:tcMar>
              <w:top w:w="80" w:type="dxa"/>
              <w:left w:w="110" w:type="dxa"/>
              <w:bottom w:w="80" w:type="dxa"/>
              <w:right w:w="110" w:type="dxa"/>
            </w:tcMar>
          </w:tcPr>
          <w:p w14:paraId="0096CE23" w14:textId="77777777" w:rsidR="00F10D8E" w:rsidRDefault="00000000">
            <w:r>
              <w:rPr>
                <w:color w:val="1F2937"/>
                <w:sz w:val="18"/>
                <w:szCs w:val="18"/>
              </w:rPr>
              <w:t>Read endpoints on the seeded dataset, with hardware and concurrency stated.</w:t>
            </w:r>
          </w:p>
        </w:tc>
        <w:tc>
          <w:tcPr>
            <w:tcW w:w="2256" w:type="dxa"/>
            <w:shd w:val="clear" w:color="auto" w:fill="F2F4F7"/>
            <w:tcMar>
              <w:top w:w="80" w:type="dxa"/>
              <w:left w:w="110" w:type="dxa"/>
              <w:bottom w:w="80" w:type="dxa"/>
              <w:right w:w="110" w:type="dxa"/>
            </w:tcMar>
          </w:tcPr>
          <w:p w14:paraId="346EB23D" w14:textId="77777777" w:rsidR="00F10D8E" w:rsidRDefault="00000000">
            <w:r>
              <w:rPr>
                <w:color w:val="1F2937"/>
                <w:sz w:val="18"/>
                <w:szCs w:val="18"/>
              </w:rPr>
              <w:t>p50, p95, p99.</w:t>
            </w:r>
          </w:p>
        </w:tc>
      </w:tr>
    </w:tbl>
    <w:p w14:paraId="6593C1E2" w14:textId="77777777" w:rsidR="00F10D8E" w:rsidRDefault="00F10D8E">
      <w:pPr>
        <w:spacing w:after="120"/>
      </w:pPr>
    </w:p>
    <w:p w14:paraId="7081DD4B" w14:textId="77777777" w:rsidR="00F10D8E" w:rsidRDefault="00000000">
      <w:pPr>
        <w:spacing w:after="120" w:line="300" w:lineRule="auto"/>
      </w:pPr>
      <w:r>
        <w:rPr>
          <w:b/>
          <w:bCs/>
        </w:rPr>
        <w:t xml:space="preserve">Reporting rules. </w:t>
      </w:r>
      <w:r>
        <w:t>Always report the baseline (current parser) next to every improved result. Publish the dataset generator and the labels with the repository. State sample sizes. Never describe synthetic results as field accuracy on real FDRs.</w:t>
      </w:r>
    </w:p>
    <w:p w14:paraId="411374D7" w14:textId="77777777" w:rsidR="00F10D8E" w:rsidRDefault="00000000">
      <w:pPr>
        <w:pStyle w:val="Heading1"/>
        <w:pBdr>
          <w:bottom w:val="single" w:sz="6" w:space="4" w:color="183153"/>
        </w:pBdr>
      </w:pPr>
      <w:r>
        <w:t>4. Feature suggestions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4152"/>
        <w:gridCol w:w="1264"/>
        <w:gridCol w:w="1444"/>
      </w:tblGrid>
      <w:tr w:rsidR="00F10D8E" w14:paraId="12767676" w14:textId="77777777">
        <w:tblPrEx>
          <w:tblCellMar>
            <w:top w:w="0" w:type="dxa"/>
            <w:bottom w:w="0" w:type="dxa"/>
          </w:tblCellMar>
        </w:tblPrEx>
        <w:trPr>
          <w:tblHeader/>
        </w:trPr>
        <w:tc>
          <w:tcPr>
            <w:tcW w:w="2166" w:type="dxa"/>
            <w:shd w:val="clear" w:color="auto" w:fill="183153"/>
            <w:tcMar>
              <w:top w:w="80" w:type="dxa"/>
              <w:left w:w="110" w:type="dxa"/>
              <w:bottom w:w="80" w:type="dxa"/>
              <w:right w:w="110" w:type="dxa"/>
            </w:tcMar>
          </w:tcPr>
          <w:p w14:paraId="227639D8" w14:textId="77777777" w:rsidR="00F10D8E" w:rsidRDefault="00000000">
            <w:r>
              <w:rPr>
                <w:b/>
                <w:bCs/>
                <w:color w:val="FFFFFF"/>
                <w:sz w:val="18"/>
                <w:szCs w:val="18"/>
              </w:rPr>
              <w:t>Feature</w:t>
            </w:r>
          </w:p>
        </w:tc>
        <w:tc>
          <w:tcPr>
            <w:tcW w:w="4152" w:type="dxa"/>
            <w:shd w:val="clear" w:color="auto" w:fill="183153"/>
            <w:tcMar>
              <w:top w:w="80" w:type="dxa"/>
              <w:left w:w="110" w:type="dxa"/>
              <w:bottom w:w="80" w:type="dxa"/>
              <w:right w:w="110" w:type="dxa"/>
            </w:tcMar>
          </w:tcPr>
          <w:p w14:paraId="2C95CFDD" w14:textId="77777777" w:rsidR="00F10D8E" w:rsidRDefault="00000000">
            <w:r>
              <w:rPr>
                <w:b/>
                <w:bCs/>
                <w:color w:val="FFFFFF"/>
                <w:sz w:val="18"/>
                <w:szCs w:val="18"/>
              </w:rPr>
              <w:t>Value to AICTE officers</w:t>
            </w:r>
          </w:p>
        </w:tc>
        <w:tc>
          <w:tcPr>
            <w:tcW w:w="1264" w:type="dxa"/>
            <w:shd w:val="clear" w:color="auto" w:fill="183153"/>
            <w:tcMar>
              <w:top w:w="80" w:type="dxa"/>
              <w:left w:w="110" w:type="dxa"/>
              <w:bottom w:w="80" w:type="dxa"/>
              <w:right w:w="110" w:type="dxa"/>
            </w:tcMar>
          </w:tcPr>
          <w:p w14:paraId="0A541433" w14:textId="77777777" w:rsidR="00F10D8E" w:rsidRDefault="00000000">
            <w:r>
              <w:rPr>
                <w:b/>
                <w:bCs/>
                <w:color w:val="FFFFFF"/>
                <w:sz w:val="18"/>
                <w:szCs w:val="18"/>
              </w:rPr>
              <w:t>Effort</w:t>
            </w:r>
          </w:p>
        </w:tc>
        <w:tc>
          <w:tcPr>
            <w:tcW w:w="1444" w:type="dxa"/>
            <w:shd w:val="clear" w:color="auto" w:fill="183153"/>
            <w:tcMar>
              <w:top w:w="80" w:type="dxa"/>
              <w:left w:w="110" w:type="dxa"/>
              <w:bottom w:w="80" w:type="dxa"/>
              <w:right w:w="110" w:type="dxa"/>
            </w:tcMar>
          </w:tcPr>
          <w:p w14:paraId="5697A3DF" w14:textId="77777777" w:rsidR="00F10D8E" w:rsidRDefault="00000000">
            <w:r>
              <w:rPr>
                <w:b/>
                <w:bCs/>
                <w:color w:val="FFFFFF"/>
                <w:sz w:val="18"/>
                <w:szCs w:val="18"/>
              </w:rPr>
              <w:t>Notes</w:t>
            </w:r>
          </w:p>
        </w:tc>
      </w:tr>
      <w:tr w:rsidR="00F10D8E" w14:paraId="2369E490" w14:textId="77777777">
        <w:tblPrEx>
          <w:tblCellMar>
            <w:top w:w="0" w:type="dxa"/>
            <w:bottom w:w="0" w:type="dxa"/>
          </w:tblCellMar>
        </w:tblPrEx>
        <w:trPr>
          <w:cantSplit/>
        </w:trPr>
        <w:tc>
          <w:tcPr>
            <w:tcW w:w="2166" w:type="dxa"/>
            <w:tcMar>
              <w:top w:w="80" w:type="dxa"/>
              <w:left w:w="110" w:type="dxa"/>
              <w:bottom w:w="80" w:type="dxa"/>
              <w:right w:w="110" w:type="dxa"/>
            </w:tcMar>
          </w:tcPr>
          <w:p w14:paraId="65AB352D" w14:textId="77777777" w:rsidR="00F10D8E" w:rsidRDefault="00000000">
            <w:r>
              <w:rPr>
                <w:color w:val="1F2937"/>
                <w:sz w:val="18"/>
                <w:szCs w:val="18"/>
              </w:rPr>
              <w:t>Bulk import (CSV / XLSX)</w:t>
            </w:r>
          </w:p>
        </w:tc>
        <w:tc>
          <w:tcPr>
            <w:tcW w:w="4152" w:type="dxa"/>
            <w:tcMar>
              <w:top w:w="80" w:type="dxa"/>
              <w:left w:w="110" w:type="dxa"/>
              <w:bottom w:w="80" w:type="dxa"/>
              <w:right w:w="110" w:type="dxa"/>
            </w:tcMar>
          </w:tcPr>
          <w:p w14:paraId="7423F4E8" w14:textId="77777777" w:rsidR="00F10D8E" w:rsidRDefault="00000000">
            <w:r>
              <w:rPr>
                <w:color w:val="1F2937"/>
                <w:sz w:val="18"/>
                <w:szCs w:val="18"/>
              </w:rPr>
              <w:t>Existing deposits live in spreadsheets. An import with row-level validation and duplicate review is the realistic way to onboard data.</w:t>
            </w:r>
          </w:p>
        </w:tc>
        <w:tc>
          <w:tcPr>
            <w:tcW w:w="1264" w:type="dxa"/>
            <w:tcMar>
              <w:top w:w="80" w:type="dxa"/>
              <w:left w:w="110" w:type="dxa"/>
              <w:bottom w:w="80" w:type="dxa"/>
              <w:right w:w="110" w:type="dxa"/>
            </w:tcMar>
          </w:tcPr>
          <w:p w14:paraId="22776843" w14:textId="77777777" w:rsidR="00F10D8E" w:rsidRDefault="00000000">
            <w:r>
              <w:rPr>
                <w:color w:val="1F2937"/>
                <w:sz w:val="18"/>
                <w:szCs w:val="18"/>
              </w:rPr>
              <w:t>Medium</w:t>
            </w:r>
          </w:p>
        </w:tc>
        <w:tc>
          <w:tcPr>
            <w:tcW w:w="1444" w:type="dxa"/>
            <w:tcMar>
              <w:top w:w="80" w:type="dxa"/>
              <w:left w:w="110" w:type="dxa"/>
              <w:bottom w:w="80" w:type="dxa"/>
              <w:right w:w="110" w:type="dxa"/>
            </w:tcMar>
          </w:tcPr>
          <w:p w14:paraId="59E78F1B" w14:textId="77777777" w:rsidR="00F10D8E" w:rsidRDefault="00000000">
            <w:r>
              <w:rPr>
                <w:color w:val="1F2937"/>
                <w:sz w:val="18"/>
                <w:szCs w:val="18"/>
              </w:rPr>
              <w:t>Core for adoption</w:t>
            </w:r>
          </w:p>
        </w:tc>
      </w:tr>
      <w:tr w:rsidR="00F10D8E" w14:paraId="3FCAFCCF" w14:textId="77777777">
        <w:tblPrEx>
          <w:tblCellMar>
            <w:top w:w="0" w:type="dxa"/>
            <w:bottom w:w="0" w:type="dxa"/>
          </w:tblCellMar>
        </w:tblPrEx>
        <w:trPr>
          <w:cantSplit/>
        </w:trPr>
        <w:tc>
          <w:tcPr>
            <w:tcW w:w="2166" w:type="dxa"/>
            <w:shd w:val="clear" w:color="auto" w:fill="F2F4F7"/>
            <w:tcMar>
              <w:top w:w="80" w:type="dxa"/>
              <w:left w:w="110" w:type="dxa"/>
              <w:bottom w:w="80" w:type="dxa"/>
              <w:right w:w="110" w:type="dxa"/>
            </w:tcMar>
          </w:tcPr>
          <w:p w14:paraId="3072356A" w14:textId="77777777" w:rsidR="00F10D8E" w:rsidRDefault="00000000">
            <w:r>
              <w:rPr>
                <w:color w:val="1F2937"/>
                <w:sz w:val="18"/>
                <w:szCs w:val="18"/>
              </w:rPr>
              <w:t>Maturity-value consistency rule</w:t>
            </w:r>
          </w:p>
        </w:tc>
        <w:tc>
          <w:tcPr>
            <w:tcW w:w="4152" w:type="dxa"/>
            <w:shd w:val="clear" w:color="auto" w:fill="F2F4F7"/>
            <w:tcMar>
              <w:top w:w="80" w:type="dxa"/>
              <w:left w:w="110" w:type="dxa"/>
              <w:bottom w:w="80" w:type="dxa"/>
              <w:right w:w="110" w:type="dxa"/>
            </w:tcMar>
          </w:tcPr>
          <w:p w14:paraId="2877F9D4" w14:textId="77777777" w:rsidR="00F10D8E" w:rsidRDefault="00000000">
            <w:r>
              <w:rPr>
                <w:color w:val="1F2937"/>
                <w:sz w:val="18"/>
                <w:szCs w:val="18"/>
              </w:rPr>
              <w:t>Flags stated maturity values that do not fit principal, rate and tenure. Adds an integrity check the current engine lacks.</w:t>
            </w:r>
          </w:p>
        </w:tc>
        <w:tc>
          <w:tcPr>
            <w:tcW w:w="1264" w:type="dxa"/>
            <w:shd w:val="clear" w:color="auto" w:fill="F2F4F7"/>
            <w:tcMar>
              <w:top w:w="80" w:type="dxa"/>
              <w:left w:w="110" w:type="dxa"/>
              <w:bottom w:w="80" w:type="dxa"/>
              <w:right w:w="110" w:type="dxa"/>
            </w:tcMar>
          </w:tcPr>
          <w:p w14:paraId="1DB7F716" w14:textId="77777777" w:rsidR="00F10D8E" w:rsidRDefault="00000000">
            <w:r>
              <w:rPr>
                <w:color w:val="1F2937"/>
                <w:sz w:val="18"/>
                <w:szCs w:val="18"/>
              </w:rPr>
              <w:t>Low</w:t>
            </w:r>
          </w:p>
        </w:tc>
        <w:tc>
          <w:tcPr>
            <w:tcW w:w="1444" w:type="dxa"/>
            <w:shd w:val="clear" w:color="auto" w:fill="F2F4F7"/>
            <w:tcMar>
              <w:top w:w="80" w:type="dxa"/>
              <w:left w:w="110" w:type="dxa"/>
              <w:bottom w:w="80" w:type="dxa"/>
              <w:right w:w="110" w:type="dxa"/>
            </w:tcMar>
          </w:tcPr>
          <w:p w14:paraId="358EBBE4" w14:textId="77777777" w:rsidR="00F10D8E" w:rsidRDefault="00000000">
            <w:r>
              <w:rPr>
                <w:color w:val="1F2937"/>
                <w:sz w:val="18"/>
                <w:szCs w:val="18"/>
              </w:rPr>
              <w:t xml:space="preserve">Add to </w:t>
            </w:r>
            <w:proofErr w:type="spellStart"/>
            <w:proofErr w:type="gramStart"/>
            <w:r>
              <w:rPr>
                <w:color w:val="1F2937"/>
                <w:sz w:val="18"/>
                <w:szCs w:val="18"/>
              </w:rPr>
              <w:t>rules.yaml</w:t>
            </w:r>
            <w:proofErr w:type="spellEnd"/>
            <w:proofErr w:type="gramEnd"/>
          </w:p>
        </w:tc>
      </w:tr>
      <w:tr w:rsidR="00F10D8E" w14:paraId="012CC0A5" w14:textId="77777777">
        <w:tblPrEx>
          <w:tblCellMar>
            <w:top w:w="0" w:type="dxa"/>
            <w:bottom w:w="0" w:type="dxa"/>
          </w:tblCellMar>
        </w:tblPrEx>
        <w:trPr>
          <w:cantSplit/>
        </w:trPr>
        <w:tc>
          <w:tcPr>
            <w:tcW w:w="2166" w:type="dxa"/>
            <w:tcMar>
              <w:top w:w="80" w:type="dxa"/>
              <w:left w:w="110" w:type="dxa"/>
              <w:bottom w:w="80" w:type="dxa"/>
              <w:right w:w="110" w:type="dxa"/>
            </w:tcMar>
          </w:tcPr>
          <w:p w14:paraId="69516903" w14:textId="77777777" w:rsidR="00F10D8E" w:rsidRDefault="00000000">
            <w:r>
              <w:rPr>
                <w:color w:val="1F2937"/>
                <w:sz w:val="18"/>
                <w:szCs w:val="18"/>
              </w:rPr>
              <w:t>Digital signature verification</w:t>
            </w:r>
          </w:p>
        </w:tc>
        <w:tc>
          <w:tcPr>
            <w:tcW w:w="4152" w:type="dxa"/>
            <w:tcMar>
              <w:top w:w="80" w:type="dxa"/>
              <w:left w:w="110" w:type="dxa"/>
              <w:bottom w:w="80" w:type="dxa"/>
              <w:right w:w="110" w:type="dxa"/>
            </w:tcMar>
          </w:tcPr>
          <w:p w14:paraId="733693CB" w14:textId="77777777" w:rsidR="00F10D8E" w:rsidRDefault="00000000">
            <w:r>
              <w:rPr>
                <w:color w:val="1F2937"/>
                <w:sz w:val="18"/>
                <w:szCs w:val="18"/>
              </w:rPr>
              <w:t xml:space="preserve">Many e-FDRs and </w:t>
            </w:r>
            <w:proofErr w:type="spellStart"/>
            <w:r>
              <w:rPr>
                <w:color w:val="1F2937"/>
                <w:sz w:val="18"/>
                <w:szCs w:val="18"/>
              </w:rPr>
              <w:t>DigiLocker</w:t>
            </w:r>
            <w:proofErr w:type="spellEnd"/>
            <w:r>
              <w:rPr>
                <w:color w:val="1F2937"/>
                <w:sz w:val="18"/>
                <w:szCs w:val="18"/>
              </w:rPr>
              <w:t xml:space="preserve"> documents are digitally signed. Verifying the signature gives real evidence of the signer without a bank API.</w:t>
            </w:r>
          </w:p>
        </w:tc>
        <w:tc>
          <w:tcPr>
            <w:tcW w:w="1264" w:type="dxa"/>
            <w:tcMar>
              <w:top w:w="80" w:type="dxa"/>
              <w:left w:w="110" w:type="dxa"/>
              <w:bottom w:w="80" w:type="dxa"/>
              <w:right w:w="110" w:type="dxa"/>
            </w:tcMar>
          </w:tcPr>
          <w:p w14:paraId="0FD0CEAE" w14:textId="77777777" w:rsidR="00F10D8E" w:rsidRDefault="00000000">
            <w:r>
              <w:rPr>
                <w:color w:val="1F2937"/>
                <w:sz w:val="18"/>
                <w:szCs w:val="18"/>
              </w:rPr>
              <w:t>Medium</w:t>
            </w:r>
          </w:p>
        </w:tc>
        <w:tc>
          <w:tcPr>
            <w:tcW w:w="1444" w:type="dxa"/>
            <w:tcMar>
              <w:top w:w="80" w:type="dxa"/>
              <w:left w:w="110" w:type="dxa"/>
              <w:bottom w:w="80" w:type="dxa"/>
              <w:right w:w="110" w:type="dxa"/>
            </w:tcMar>
          </w:tcPr>
          <w:p w14:paraId="5895AD78" w14:textId="77777777" w:rsidR="00F10D8E" w:rsidRDefault="00000000">
            <w:r>
              <w:rPr>
                <w:color w:val="1F2937"/>
                <w:sz w:val="18"/>
                <w:szCs w:val="18"/>
              </w:rPr>
              <w:t xml:space="preserve">Check feasibility with </w:t>
            </w:r>
            <w:proofErr w:type="spellStart"/>
            <w:r>
              <w:rPr>
                <w:color w:val="1F2937"/>
                <w:sz w:val="18"/>
                <w:szCs w:val="18"/>
              </w:rPr>
              <w:t>pyHanko</w:t>
            </w:r>
            <w:proofErr w:type="spellEnd"/>
            <w:r>
              <w:rPr>
                <w:color w:val="1F2937"/>
                <w:sz w:val="18"/>
                <w:szCs w:val="18"/>
              </w:rPr>
              <w:t xml:space="preserve"> first</w:t>
            </w:r>
          </w:p>
        </w:tc>
      </w:tr>
      <w:tr w:rsidR="00F10D8E" w14:paraId="5A90662F" w14:textId="77777777">
        <w:tblPrEx>
          <w:tblCellMar>
            <w:top w:w="0" w:type="dxa"/>
            <w:bottom w:w="0" w:type="dxa"/>
          </w:tblCellMar>
        </w:tblPrEx>
        <w:trPr>
          <w:cantSplit/>
        </w:trPr>
        <w:tc>
          <w:tcPr>
            <w:tcW w:w="2166" w:type="dxa"/>
            <w:shd w:val="clear" w:color="auto" w:fill="F2F4F7"/>
            <w:tcMar>
              <w:top w:w="80" w:type="dxa"/>
              <w:left w:w="110" w:type="dxa"/>
              <w:bottom w:w="80" w:type="dxa"/>
              <w:right w:w="110" w:type="dxa"/>
            </w:tcMar>
          </w:tcPr>
          <w:p w14:paraId="2CE72A92" w14:textId="77777777" w:rsidR="00F10D8E" w:rsidRDefault="00000000">
            <w:r>
              <w:rPr>
                <w:color w:val="1F2937"/>
                <w:sz w:val="18"/>
                <w:szCs w:val="18"/>
              </w:rPr>
              <w:t>Real notification delivery</w:t>
            </w:r>
          </w:p>
        </w:tc>
        <w:tc>
          <w:tcPr>
            <w:tcW w:w="4152" w:type="dxa"/>
            <w:shd w:val="clear" w:color="auto" w:fill="F2F4F7"/>
            <w:tcMar>
              <w:top w:w="80" w:type="dxa"/>
              <w:left w:w="110" w:type="dxa"/>
              <w:bottom w:w="80" w:type="dxa"/>
              <w:right w:w="110" w:type="dxa"/>
            </w:tcMar>
          </w:tcPr>
          <w:p w14:paraId="3B58F876" w14:textId="77777777" w:rsidR="00F10D8E" w:rsidRDefault="00000000">
            <w:r>
              <w:rPr>
                <w:color w:val="1F2937"/>
                <w:sz w:val="18"/>
                <w:szCs w:val="18"/>
              </w:rPr>
              <w:t>Email or SMS on the 90/60/30/7-day schedule, through the outbox with retries.</w:t>
            </w:r>
          </w:p>
        </w:tc>
        <w:tc>
          <w:tcPr>
            <w:tcW w:w="1264" w:type="dxa"/>
            <w:shd w:val="clear" w:color="auto" w:fill="F2F4F7"/>
            <w:tcMar>
              <w:top w:w="80" w:type="dxa"/>
              <w:left w:w="110" w:type="dxa"/>
              <w:bottom w:w="80" w:type="dxa"/>
              <w:right w:w="110" w:type="dxa"/>
            </w:tcMar>
          </w:tcPr>
          <w:p w14:paraId="5F40888A" w14:textId="77777777" w:rsidR="00F10D8E" w:rsidRDefault="00000000">
            <w:r>
              <w:rPr>
                <w:color w:val="1F2937"/>
                <w:sz w:val="18"/>
                <w:szCs w:val="18"/>
              </w:rPr>
              <w:t>Medium</w:t>
            </w:r>
          </w:p>
        </w:tc>
        <w:tc>
          <w:tcPr>
            <w:tcW w:w="1444" w:type="dxa"/>
            <w:shd w:val="clear" w:color="auto" w:fill="F2F4F7"/>
            <w:tcMar>
              <w:top w:w="80" w:type="dxa"/>
              <w:left w:w="110" w:type="dxa"/>
              <w:bottom w:w="80" w:type="dxa"/>
              <w:right w:w="110" w:type="dxa"/>
            </w:tcMar>
          </w:tcPr>
          <w:p w14:paraId="49C30B2C" w14:textId="77777777" w:rsidR="00F10D8E" w:rsidRDefault="00000000">
            <w:r>
              <w:rPr>
                <w:color w:val="1F2937"/>
                <w:sz w:val="18"/>
                <w:szCs w:val="18"/>
              </w:rPr>
              <w:t>Use an approved relay</w:t>
            </w:r>
          </w:p>
        </w:tc>
      </w:tr>
      <w:tr w:rsidR="00F10D8E" w14:paraId="4FE6A985" w14:textId="77777777">
        <w:tblPrEx>
          <w:tblCellMar>
            <w:top w:w="0" w:type="dxa"/>
            <w:bottom w:w="0" w:type="dxa"/>
          </w:tblCellMar>
        </w:tblPrEx>
        <w:trPr>
          <w:cantSplit/>
        </w:trPr>
        <w:tc>
          <w:tcPr>
            <w:tcW w:w="2166" w:type="dxa"/>
            <w:tcMar>
              <w:top w:w="80" w:type="dxa"/>
              <w:left w:w="110" w:type="dxa"/>
              <w:bottom w:w="80" w:type="dxa"/>
              <w:right w:w="110" w:type="dxa"/>
            </w:tcMar>
          </w:tcPr>
          <w:p w14:paraId="70ACF2B0" w14:textId="77777777" w:rsidR="00F10D8E" w:rsidRDefault="00000000">
            <w:r>
              <w:rPr>
                <w:color w:val="1F2937"/>
                <w:sz w:val="18"/>
                <w:szCs w:val="18"/>
              </w:rPr>
              <w:t>Turnaround analytics</w:t>
            </w:r>
          </w:p>
        </w:tc>
        <w:tc>
          <w:tcPr>
            <w:tcW w:w="4152" w:type="dxa"/>
            <w:tcMar>
              <w:top w:w="80" w:type="dxa"/>
              <w:left w:w="110" w:type="dxa"/>
              <w:bottom w:w="80" w:type="dxa"/>
              <w:right w:w="110" w:type="dxa"/>
            </w:tcMar>
          </w:tcPr>
          <w:p w14:paraId="35E72D12" w14:textId="77777777" w:rsidR="00F10D8E" w:rsidRDefault="00000000">
            <w:r>
              <w:rPr>
                <w:color w:val="1F2937"/>
                <w:sz w:val="18"/>
                <w:szCs w:val="18"/>
              </w:rPr>
              <w:t>Scrutiny ageing, backlog by region and bank, and a maturity-cliff forecast for the next 90 days.</w:t>
            </w:r>
          </w:p>
        </w:tc>
        <w:tc>
          <w:tcPr>
            <w:tcW w:w="1264" w:type="dxa"/>
            <w:tcMar>
              <w:top w:w="80" w:type="dxa"/>
              <w:left w:w="110" w:type="dxa"/>
              <w:bottom w:w="80" w:type="dxa"/>
              <w:right w:w="110" w:type="dxa"/>
            </w:tcMar>
          </w:tcPr>
          <w:p w14:paraId="00B8CB02" w14:textId="77777777" w:rsidR="00F10D8E" w:rsidRDefault="00000000">
            <w:r>
              <w:rPr>
                <w:color w:val="1F2937"/>
                <w:sz w:val="18"/>
                <w:szCs w:val="18"/>
              </w:rPr>
              <w:t>Medium</w:t>
            </w:r>
          </w:p>
        </w:tc>
        <w:tc>
          <w:tcPr>
            <w:tcW w:w="1444" w:type="dxa"/>
            <w:tcMar>
              <w:top w:w="80" w:type="dxa"/>
              <w:left w:w="110" w:type="dxa"/>
              <w:bottom w:w="80" w:type="dxa"/>
              <w:right w:w="110" w:type="dxa"/>
            </w:tcMar>
          </w:tcPr>
          <w:p w14:paraId="4C50B96F" w14:textId="77777777" w:rsidR="00F10D8E" w:rsidRDefault="00000000">
            <w:r>
              <w:rPr>
                <w:color w:val="1F2937"/>
                <w:sz w:val="18"/>
                <w:szCs w:val="18"/>
              </w:rPr>
              <w:t>Strong demo value</w:t>
            </w:r>
          </w:p>
        </w:tc>
      </w:tr>
      <w:tr w:rsidR="00F10D8E" w14:paraId="71F9BFC1" w14:textId="77777777">
        <w:tblPrEx>
          <w:tblCellMar>
            <w:top w:w="0" w:type="dxa"/>
            <w:bottom w:w="0" w:type="dxa"/>
          </w:tblCellMar>
        </w:tblPrEx>
        <w:trPr>
          <w:cantSplit/>
        </w:trPr>
        <w:tc>
          <w:tcPr>
            <w:tcW w:w="2166" w:type="dxa"/>
            <w:shd w:val="clear" w:color="auto" w:fill="F2F4F7"/>
            <w:tcMar>
              <w:top w:w="80" w:type="dxa"/>
              <w:left w:w="110" w:type="dxa"/>
              <w:bottom w:w="80" w:type="dxa"/>
              <w:right w:w="110" w:type="dxa"/>
            </w:tcMar>
          </w:tcPr>
          <w:p w14:paraId="5F024295" w14:textId="77777777" w:rsidR="00F10D8E" w:rsidRDefault="00000000">
            <w:r>
              <w:rPr>
                <w:color w:val="1F2937"/>
                <w:sz w:val="18"/>
                <w:szCs w:val="18"/>
              </w:rPr>
              <w:t>Hindi interface toggle</w:t>
            </w:r>
          </w:p>
        </w:tc>
        <w:tc>
          <w:tcPr>
            <w:tcW w:w="4152" w:type="dxa"/>
            <w:shd w:val="clear" w:color="auto" w:fill="F2F4F7"/>
            <w:tcMar>
              <w:top w:w="80" w:type="dxa"/>
              <w:left w:w="110" w:type="dxa"/>
              <w:bottom w:w="80" w:type="dxa"/>
              <w:right w:w="110" w:type="dxa"/>
            </w:tcMar>
          </w:tcPr>
          <w:p w14:paraId="74C14437" w14:textId="77777777" w:rsidR="00F10D8E" w:rsidRDefault="00000000">
            <w:r>
              <w:rPr>
                <w:color w:val="1F2937"/>
                <w:sz w:val="18"/>
                <w:szCs w:val="18"/>
              </w:rPr>
              <w:t>Relevant to the user base. Requires a translated string catalogue.</w:t>
            </w:r>
          </w:p>
        </w:tc>
        <w:tc>
          <w:tcPr>
            <w:tcW w:w="1264" w:type="dxa"/>
            <w:shd w:val="clear" w:color="auto" w:fill="F2F4F7"/>
            <w:tcMar>
              <w:top w:w="80" w:type="dxa"/>
              <w:left w:w="110" w:type="dxa"/>
              <w:bottom w:w="80" w:type="dxa"/>
              <w:right w:w="110" w:type="dxa"/>
            </w:tcMar>
          </w:tcPr>
          <w:p w14:paraId="3562D603" w14:textId="77777777" w:rsidR="00F10D8E" w:rsidRDefault="00000000">
            <w:r>
              <w:rPr>
                <w:color w:val="1F2937"/>
                <w:sz w:val="18"/>
                <w:szCs w:val="18"/>
              </w:rPr>
              <w:t>Medium</w:t>
            </w:r>
          </w:p>
        </w:tc>
        <w:tc>
          <w:tcPr>
            <w:tcW w:w="1444" w:type="dxa"/>
            <w:shd w:val="clear" w:color="auto" w:fill="F2F4F7"/>
            <w:tcMar>
              <w:top w:w="80" w:type="dxa"/>
              <w:left w:w="110" w:type="dxa"/>
              <w:bottom w:w="80" w:type="dxa"/>
              <w:right w:w="110" w:type="dxa"/>
            </w:tcMar>
          </w:tcPr>
          <w:p w14:paraId="2BB8F773" w14:textId="77777777" w:rsidR="00F10D8E" w:rsidRDefault="00000000">
            <w:r>
              <w:rPr>
                <w:color w:val="1F2937"/>
                <w:sz w:val="18"/>
                <w:szCs w:val="18"/>
              </w:rPr>
              <w:t>Lower priority than correctness</w:t>
            </w:r>
          </w:p>
        </w:tc>
      </w:tr>
      <w:tr w:rsidR="00F10D8E" w14:paraId="21A5A189" w14:textId="77777777">
        <w:tblPrEx>
          <w:tblCellMar>
            <w:top w:w="0" w:type="dxa"/>
            <w:bottom w:w="0" w:type="dxa"/>
          </w:tblCellMar>
        </w:tblPrEx>
        <w:trPr>
          <w:cantSplit/>
        </w:trPr>
        <w:tc>
          <w:tcPr>
            <w:tcW w:w="2166" w:type="dxa"/>
            <w:tcMar>
              <w:top w:w="80" w:type="dxa"/>
              <w:left w:w="110" w:type="dxa"/>
              <w:bottom w:w="80" w:type="dxa"/>
              <w:right w:w="110" w:type="dxa"/>
            </w:tcMar>
          </w:tcPr>
          <w:p w14:paraId="153E4C2C" w14:textId="77777777" w:rsidR="00F10D8E" w:rsidRDefault="00000000">
            <w:r>
              <w:rPr>
                <w:color w:val="1F2937"/>
                <w:sz w:val="18"/>
                <w:szCs w:val="18"/>
              </w:rPr>
              <w:t>Audit export with chain verification</w:t>
            </w:r>
          </w:p>
        </w:tc>
        <w:tc>
          <w:tcPr>
            <w:tcW w:w="4152" w:type="dxa"/>
            <w:tcMar>
              <w:top w:w="80" w:type="dxa"/>
              <w:left w:w="110" w:type="dxa"/>
              <w:bottom w:w="80" w:type="dxa"/>
              <w:right w:w="110" w:type="dxa"/>
            </w:tcMar>
          </w:tcPr>
          <w:p w14:paraId="11FCED9B" w14:textId="77777777" w:rsidR="00F10D8E" w:rsidRDefault="00000000">
            <w:r>
              <w:rPr>
                <w:color w:val="1F2937"/>
                <w:sz w:val="18"/>
                <w:szCs w:val="18"/>
              </w:rPr>
              <w:t>A report that states whether the digest chain verified, with the range checked.</w:t>
            </w:r>
          </w:p>
        </w:tc>
        <w:tc>
          <w:tcPr>
            <w:tcW w:w="1264" w:type="dxa"/>
            <w:tcMar>
              <w:top w:w="80" w:type="dxa"/>
              <w:left w:w="110" w:type="dxa"/>
              <w:bottom w:w="80" w:type="dxa"/>
              <w:right w:w="110" w:type="dxa"/>
            </w:tcMar>
          </w:tcPr>
          <w:p w14:paraId="2F3420F0" w14:textId="77777777" w:rsidR="00F10D8E" w:rsidRDefault="00000000">
            <w:r>
              <w:rPr>
                <w:color w:val="1F2937"/>
                <w:sz w:val="18"/>
                <w:szCs w:val="18"/>
              </w:rPr>
              <w:t>Low</w:t>
            </w:r>
          </w:p>
        </w:tc>
        <w:tc>
          <w:tcPr>
            <w:tcW w:w="1444" w:type="dxa"/>
            <w:tcMar>
              <w:top w:w="80" w:type="dxa"/>
              <w:left w:w="110" w:type="dxa"/>
              <w:bottom w:w="80" w:type="dxa"/>
              <w:right w:w="110" w:type="dxa"/>
            </w:tcMar>
          </w:tcPr>
          <w:p w14:paraId="7DE0518E" w14:textId="77777777" w:rsidR="00F10D8E" w:rsidRDefault="00000000">
            <w:r>
              <w:rPr>
                <w:color w:val="1F2937"/>
                <w:sz w:val="18"/>
                <w:szCs w:val="18"/>
              </w:rPr>
              <w:t xml:space="preserve">Builds on existing </w:t>
            </w:r>
            <w:proofErr w:type="spellStart"/>
            <w:r>
              <w:rPr>
                <w:color w:val="1F2937"/>
                <w:sz w:val="18"/>
                <w:szCs w:val="18"/>
              </w:rPr>
              <w:t>verify_chain</w:t>
            </w:r>
            <w:proofErr w:type="spellEnd"/>
          </w:p>
        </w:tc>
      </w:tr>
      <w:tr w:rsidR="00F10D8E" w14:paraId="3E6D2FCC" w14:textId="77777777">
        <w:tblPrEx>
          <w:tblCellMar>
            <w:top w:w="0" w:type="dxa"/>
            <w:bottom w:w="0" w:type="dxa"/>
          </w:tblCellMar>
        </w:tblPrEx>
        <w:trPr>
          <w:cantSplit/>
        </w:trPr>
        <w:tc>
          <w:tcPr>
            <w:tcW w:w="2166" w:type="dxa"/>
            <w:shd w:val="clear" w:color="auto" w:fill="F2F4F7"/>
            <w:tcMar>
              <w:top w:w="80" w:type="dxa"/>
              <w:left w:w="110" w:type="dxa"/>
              <w:bottom w:w="80" w:type="dxa"/>
              <w:right w:w="110" w:type="dxa"/>
            </w:tcMar>
          </w:tcPr>
          <w:p w14:paraId="6A32BC70" w14:textId="77777777" w:rsidR="00F10D8E" w:rsidRDefault="00000000">
            <w:r>
              <w:rPr>
                <w:color w:val="1F2937"/>
                <w:sz w:val="18"/>
                <w:szCs w:val="18"/>
              </w:rPr>
              <w:t>Document OCR pipeline</w:t>
            </w:r>
          </w:p>
        </w:tc>
        <w:tc>
          <w:tcPr>
            <w:tcW w:w="4152" w:type="dxa"/>
            <w:shd w:val="clear" w:color="auto" w:fill="F2F4F7"/>
            <w:tcMar>
              <w:top w:w="80" w:type="dxa"/>
              <w:left w:w="110" w:type="dxa"/>
              <w:bottom w:w="80" w:type="dxa"/>
              <w:right w:w="110" w:type="dxa"/>
            </w:tcMar>
          </w:tcPr>
          <w:p w14:paraId="37741351" w14:textId="77777777" w:rsidR="00F10D8E" w:rsidRDefault="00000000">
            <w:r>
              <w:rPr>
                <w:color w:val="1F2937"/>
                <w:sz w:val="18"/>
                <w:szCs w:val="18"/>
              </w:rPr>
              <w:t>Handles scanned receipts. Implement after the measurement set exists.</w:t>
            </w:r>
          </w:p>
        </w:tc>
        <w:tc>
          <w:tcPr>
            <w:tcW w:w="1264" w:type="dxa"/>
            <w:shd w:val="clear" w:color="auto" w:fill="F2F4F7"/>
            <w:tcMar>
              <w:top w:w="80" w:type="dxa"/>
              <w:left w:w="110" w:type="dxa"/>
              <w:bottom w:w="80" w:type="dxa"/>
              <w:right w:w="110" w:type="dxa"/>
            </w:tcMar>
          </w:tcPr>
          <w:p w14:paraId="7B15E336" w14:textId="77777777" w:rsidR="00F10D8E" w:rsidRDefault="00000000">
            <w:r>
              <w:rPr>
                <w:color w:val="1F2937"/>
                <w:sz w:val="18"/>
                <w:szCs w:val="18"/>
              </w:rPr>
              <w:t>High</w:t>
            </w:r>
          </w:p>
        </w:tc>
        <w:tc>
          <w:tcPr>
            <w:tcW w:w="1444" w:type="dxa"/>
            <w:shd w:val="clear" w:color="auto" w:fill="F2F4F7"/>
            <w:tcMar>
              <w:top w:w="80" w:type="dxa"/>
              <w:left w:w="110" w:type="dxa"/>
              <w:bottom w:w="80" w:type="dxa"/>
              <w:right w:w="110" w:type="dxa"/>
            </w:tcMar>
          </w:tcPr>
          <w:p w14:paraId="11BA9830" w14:textId="77777777" w:rsidR="00F10D8E" w:rsidRDefault="00000000">
            <w:r>
              <w:rPr>
                <w:color w:val="1F2937"/>
                <w:sz w:val="18"/>
                <w:szCs w:val="18"/>
              </w:rPr>
              <w:t>Follow the OCR notes</w:t>
            </w:r>
          </w:p>
        </w:tc>
      </w:tr>
    </w:tbl>
    <w:p w14:paraId="3B212049" w14:textId="1369680F" w:rsidR="00F10D8E" w:rsidRDefault="00F10D8E" w:rsidP="00E51E8A">
      <w:pPr>
        <w:pStyle w:val="Heading1"/>
        <w:pBdr>
          <w:bottom w:val="single" w:sz="6" w:space="4" w:color="183153"/>
        </w:pBdr>
      </w:pPr>
    </w:p>
    <w:sectPr w:rsidR="00F10D8E">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7EB56" w14:textId="77777777" w:rsidR="00FF072B" w:rsidRDefault="00FF072B">
      <w:r>
        <w:separator/>
      </w:r>
    </w:p>
  </w:endnote>
  <w:endnote w:type="continuationSeparator" w:id="0">
    <w:p w14:paraId="6939AF15" w14:textId="77777777" w:rsidR="00FF072B" w:rsidRDefault="00FF07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2EF36" w14:textId="77777777" w:rsidR="00F10D8E"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E51E8A">
      <w:rPr>
        <w:noProof/>
        <w:color w:val="6B7280"/>
        <w:sz w:val="16"/>
        <w:szCs w:val="16"/>
      </w:rPr>
      <w:t>1</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E51E8A">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E751C" w14:textId="77777777" w:rsidR="00FF072B" w:rsidRDefault="00FF072B">
      <w:r>
        <w:separator/>
      </w:r>
    </w:p>
  </w:footnote>
  <w:footnote w:type="continuationSeparator" w:id="0">
    <w:p w14:paraId="645D43B5" w14:textId="77777777" w:rsidR="00FF072B" w:rsidRDefault="00FF07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4A34B" w14:textId="77777777" w:rsidR="00F10D8E" w:rsidRDefault="00000000">
    <w:pPr>
      <w:jc w:val="right"/>
    </w:pPr>
    <w:proofErr w:type="spellStart"/>
    <w:r>
      <w:rPr>
        <w:color w:val="6B7280"/>
        <w:sz w:val="16"/>
        <w:szCs w:val="16"/>
      </w:rPr>
      <w:t>KoshSetu</w:t>
    </w:r>
    <w:proofErr w:type="spellEnd"/>
    <w:r>
      <w:rPr>
        <w:color w:val="6B7280"/>
        <w:sz w:val="16"/>
        <w:szCs w:val="16"/>
      </w:rPr>
      <w:t xml:space="preserve"> · Improvement Plan · SIH26265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3B2D9F"/>
    <w:multiLevelType w:val="hybridMultilevel"/>
    <w:tmpl w:val="B93A9A9E"/>
    <w:lvl w:ilvl="0" w:tplc="0C9CFD6C">
      <w:start w:val="1"/>
      <w:numFmt w:val="bullet"/>
      <w:lvlText w:val="•"/>
      <w:lvlJc w:val="left"/>
      <w:pPr>
        <w:ind w:left="540" w:hanging="270"/>
      </w:pPr>
    </w:lvl>
    <w:lvl w:ilvl="1" w:tplc="DA82640C">
      <w:start w:val="1"/>
      <w:numFmt w:val="bullet"/>
      <w:lvlText w:val="–"/>
      <w:lvlJc w:val="left"/>
      <w:pPr>
        <w:ind w:left="1000" w:hanging="270"/>
      </w:pPr>
    </w:lvl>
    <w:lvl w:ilvl="2" w:tplc="B8FAF02C">
      <w:numFmt w:val="decimal"/>
      <w:lvlText w:val=""/>
      <w:lvlJc w:val="left"/>
    </w:lvl>
    <w:lvl w:ilvl="3" w:tplc="696CF2A0">
      <w:numFmt w:val="decimal"/>
      <w:lvlText w:val=""/>
      <w:lvlJc w:val="left"/>
    </w:lvl>
    <w:lvl w:ilvl="4" w:tplc="92787CA0">
      <w:numFmt w:val="decimal"/>
      <w:lvlText w:val=""/>
      <w:lvlJc w:val="left"/>
    </w:lvl>
    <w:lvl w:ilvl="5" w:tplc="9AD6726A">
      <w:numFmt w:val="decimal"/>
      <w:lvlText w:val=""/>
      <w:lvlJc w:val="left"/>
    </w:lvl>
    <w:lvl w:ilvl="6" w:tplc="DBBEAB7C">
      <w:numFmt w:val="decimal"/>
      <w:lvlText w:val=""/>
      <w:lvlJc w:val="left"/>
    </w:lvl>
    <w:lvl w:ilvl="7" w:tplc="6882B5CA">
      <w:numFmt w:val="decimal"/>
      <w:lvlText w:val=""/>
      <w:lvlJc w:val="left"/>
    </w:lvl>
    <w:lvl w:ilvl="8" w:tplc="898AF7FE">
      <w:numFmt w:val="decimal"/>
      <w:lvlText w:val=""/>
      <w:lvlJc w:val="left"/>
    </w:lvl>
  </w:abstractNum>
  <w:abstractNum w:abstractNumId="1" w15:restartNumberingAfterBreak="0">
    <w:nsid w:val="6BAC017D"/>
    <w:multiLevelType w:val="hybridMultilevel"/>
    <w:tmpl w:val="7F660CC6"/>
    <w:lvl w:ilvl="0" w:tplc="650C0616">
      <w:start w:val="1"/>
      <w:numFmt w:val="bullet"/>
      <w:lvlText w:val="●"/>
      <w:lvlJc w:val="left"/>
      <w:pPr>
        <w:ind w:left="720" w:hanging="360"/>
      </w:pPr>
    </w:lvl>
    <w:lvl w:ilvl="1" w:tplc="EA484966">
      <w:start w:val="1"/>
      <w:numFmt w:val="bullet"/>
      <w:lvlText w:val="○"/>
      <w:lvlJc w:val="left"/>
      <w:pPr>
        <w:ind w:left="1440" w:hanging="360"/>
      </w:pPr>
    </w:lvl>
    <w:lvl w:ilvl="2" w:tplc="5E3E0780">
      <w:start w:val="1"/>
      <w:numFmt w:val="bullet"/>
      <w:lvlText w:val="■"/>
      <w:lvlJc w:val="left"/>
      <w:pPr>
        <w:ind w:left="2160" w:hanging="360"/>
      </w:pPr>
    </w:lvl>
    <w:lvl w:ilvl="3" w:tplc="27BA5E14">
      <w:start w:val="1"/>
      <w:numFmt w:val="bullet"/>
      <w:lvlText w:val="●"/>
      <w:lvlJc w:val="left"/>
      <w:pPr>
        <w:ind w:left="2880" w:hanging="360"/>
      </w:pPr>
    </w:lvl>
    <w:lvl w:ilvl="4" w:tplc="A07A1450">
      <w:start w:val="1"/>
      <w:numFmt w:val="bullet"/>
      <w:lvlText w:val="○"/>
      <w:lvlJc w:val="left"/>
      <w:pPr>
        <w:ind w:left="3600" w:hanging="360"/>
      </w:pPr>
    </w:lvl>
    <w:lvl w:ilvl="5" w:tplc="C8307A9E">
      <w:start w:val="1"/>
      <w:numFmt w:val="bullet"/>
      <w:lvlText w:val="■"/>
      <w:lvlJc w:val="left"/>
      <w:pPr>
        <w:ind w:left="4320" w:hanging="360"/>
      </w:pPr>
    </w:lvl>
    <w:lvl w:ilvl="6" w:tplc="7B0C0C1A">
      <w:start w:val="1"/>
      <w:numFmt w:val="bullet"/>
      <w:lvlText w:val="●"/>
      <w:lvlJc w:val="left"/>
      <w:pPr>
        <w:ind w:left="5040" w:hanging="360"/>
      </w:pPr>
    </w:lvl>
    <w:lvl w:ilvl="7" w:tplc="9EF0E7FA">
      <w:start w:val="1"/>
      <w:numFmt w:val="bullet"/>
      <w:lvlText w:val="●"/>
      <w:lvlJc w:val="left"/>
      <w:pPr>
        <w:ind w:left="5760" w:hanging="360"/>
      </w:pPr>
    </w:lvl>
    <w:lvl w:ilvl="8" w:tplc="1D5A8472">
      <w:start w:val="1"/>
      <w:numFmt w:val="bullet"/>
      <w:lvlText w:val="●"/>
      <w:lvlJc w:val="left"/>
      <w:pPr>
        <w:ind w:left="6480" w:hanging="360"/>
      </w:pPr>
    </w:lvl>
  </w:abstractNum>
  <w:num w:numId="1" w16cid:durableId="600648654">
    <w:abstractNumId w:val="1"/>
    <w:lvlOverride w:ilvl="0">
      <w:startOverride w:val="1"/>
    </w:lvlOverride>
  </w:num>
  <w:num w:numId="2" w16cid:durableId="13835557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0D8E"/>
    <w:rsid w:val="00672B5C"/>
    <w:rsid w:val="00E51E8A"/>
    <w:rsid w:val="00F10D8E"/>
    <w:rsid w:val="00FF0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BB77F"/>
  <w15:docId w15:val="{D724BA71-1498-424B-B805-269E833E5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83153"/>
      <w:sz w:val="30"/>
      <w:szCs w:val="30"/>
    </w:rPr>
  </w:style>
  <w:style w:type="paragraph" w:styleId="Heading2">
    <w:name w:val="heading 2"/>
    <w:uiPriority w:val="9"/>
    <w:unhideWhenUsed/>
    <w:qFormat/>
    <w:pPr>
      <w:spacing w:before="240" w:after="120"/>
      <w:outlineLvl w:val="1"/>
    </w:pPr>
    <w:rPr>
      <w:b/>
      <w:bCs/>
      <w:color w:val="244DB1"/>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1588</Words>
  <Characters>9057</Characters>
  <Application>Microsoft Office Word</Application>
  <DocSecurity>0</DocSecurity>
  <Lines>75</Lines>
  <Paragraphs>21</Paragraphs>
  <ScaleCrop>false</ScaleCrop>
  <Company/>
  <LinksUpToDate>false</LinksUpToDate>
  <CharactersWithSpaces>10624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KoshSetu Improvement Plan and UI Direction</dc:title>
  <dc:creator>KoshSetu team</dc:creator>
  <cp:lastModifiedBy>Dipesh Kumar</cp:lastModifiedBy>
  <cp:revision>2</cp:revision>
  <dcterms:created xsi:type="dcterms:W3CDTF">2026-10-27T11:32:00Z</dcterms:created>
  <dcterms:modified xsi:type="dcterms:W3CDTF">2026-10-27T11:48:00Z</dcterms:modified>
</cp:coreProperties>
</file>