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520" w:lineRule="exact"/>
        <w:jc w:val="center"/>
      </w:pPr>
      <w:r>
        <w:rPr>
          <w:rFonts w:ascii="Times New Roman" w:hAnsi="Times New Roman"/>
          <w:b/>
          <w:sz w:val="36"/>
        </w:rPr>
        <w:t>Autonomous Multi-Agent LLM Pipeline for Continuous Software Creation:</w:t>
        <w:br/>
        <w:t>Architecture, Empirical Findings, and Emergent Behaviours</w:t>
      </w:r>
    </w:p>
    <w:p>
      <w:pPr>
        <w:spacing w:before="0" w:after="120" w:line="280" w:lineRule="exact"/>
        <w:jc w:val="both"/>
        <w:pBdr>
          <w:bottom w:val="single" w:sz="4" w:space="1" w:color="CCCCCC"/>
        </w:pBdr>
      </w:pPr>
    </w:p>
    <w:p>
      <w:pPr>
        <w:spacing w:before="80" w:after="40" w:line="280" w:lineRule="exact"/>
        <w:jc w:val="center"/>
      </w:pPr>
      <w:r>
        <w:rPr>
          <w:rFonts w:ascii="Times New Roman" w:hAnsi="Times New Roman"/>
          <w:b/>
          <w:i w:val="0"/>
          <w:sz w:val="22"/>
        </w:rPr>
        <w:t>Dipesh Ray</w:t>
      </w:r>
    </w:p>
    <w:p>
      <w:pPr>
        <w:spacing w:before="0" w:after="40" w:line="280" w:lineRule="exact"/>
        <w:jc w:val="center"/>
      </w:pPr>
      <w:r>
        <w:rPr>
          <w:rFonts w:ascii="Times New Roman" w:hAnsi="Times New Roman"/>
          <w:b w:val="0"/>
          <w:i/>
          <w:sz w:val="20"/>
        </w:rPr>
        <w:t>Ulster University, Belfast, United Kingdom</w:t>
      </w:r>
    </w:p>
    <w:p>
      <w:pPr>
        <w:spacing w:before="0" w:after="160" w:line="280" w:lineRule="exact"/>
        <w:jc w:val="center"/>
      </w:pPr>
      <w:r>
        <w:rPr>
          <w:rFonts w:ascii="Times New Roman" w:hAnsi="Times New Roman"/>
          <w:b w:val="0"/>
          <w:i/>
          <w:sz w:val="18"/>
        </w:rPr>
        <w:t>ray-d@ulster.ac.uk  ·  ORCID: 0009-0001-9970-0220</w:t>
      </w:r>
    </w:p>
    <w:p>
      <w:pPr>
        <w:spacing w:before="0" w:after="120" w:line="280" w:lineRule="exact"/>
        <w:jc w:val="both"/>
        <w:pBdr>
          <w:bottom w:val="single" w:sz="4" w:space="1" w:color="CCCCCC"/>
        </w:pBdr>
      </w:pPr>
    </w:p>
    <w:p>
      <w:pPr>
        <w:spacing w:before="120" w:after="0" w:line="280" w:lineRule="exact"/>
        <w:jc w:val="left"/>
      </w:pPr>
      <w:r>
        <w:rPr>
          <w:rFonts w:ascii="Times New Roman" w:hAnsi="Times New Roman"/>
          <w:b/>
          <w:i w:val="0"/>
          <w:sz w:val="18"/>
        </w:rPr>
        <w:t>Abstract</w:t>
      </w:r>
    </w:p>
    <w:p>
      <w:pPr>
        <w:spacing w:before="0" w:after="120" w:line="280" w:lineRule="exact"/>
        <w:ind w:left="340"/>
        <w:jc w:val="both"/>
      </w:pPr>
      <w:r>
        <w:rPr>
          <w:rFonts w:ascii="Times New Roman" w:hAnsi="Times New Roman"/>
          <w:b w:val="0"/>
          <w:i/>
          <w:sz w:val="18"/>
        </w:rPr>
        <w:t xml:space="preserve">This paper presents the design, implementation, and empirical evaluation of an autonomous multi-agent Large Language Model (LLM) pipeline that continuously conceives, architects, implements, quality-assures, and publishes novel software projects without human intervention. The system, </w:t>
      </w:r>
      <w:r>
        <w:rPr>
          <w:rFonts w:ascii="Times New Roman" w:hAnsi="Times New Roman"/>
          <w:b w:val="0"/>
          <w:i/>
          <w:sz w:val="18"/>
        </w:rPr>
        <w:t>Autonomous Brain</w:t>
      </w:r>
      <w:r>
        <w:rPr>
          <w:rFonts w:ascii="Times New Roman" w:hAnsi="Times New Roman"/>
          <w:b w:val="0"/>
          <w:i/>
          <w:sz w:val="18"/>
        </w:rPr>
        <w:t>, operates entirely on free-tier infrastructure, GitHub Actions for compute, GitHub Models API for LLM inference [2], and GitHub Pages for deployment, incurring zero operational cost. Over a 21-day observation period, the pipeline shipped 50 projects spanning six distinct project types, with complexity scores ranging from 3 to 52 on an open-ended scale, and 191 refused builds documented and analysed. The work demonstrates that hierarchical LLM role specialisation, failure-aware persistent memory, and automated quality gates can produce a self-improving, self-healing creative pipeline at zero marginal cost. Emergent behaviours, including autonomous strategy pivots, type bans, complexity escalation, and recovery modes, are characterised and analysed against the prior multi-agent systems literature [6][7][8].</w:t>
      </w:r>
    </w:p>
    <w:p>
      <w:pPr>
        <w:spacing w:before="0" w:after="200" w:line="280" w:lineRule="exact"/>
        <w:ind w:left="340"/>
        <w:jc w:val="both"/>
      </w:pPr>
      <w:r>
        <w:rPr>
          <w:rFonts w:ascii="Times New Roman" w:hAnsi="Times New Roman"/>
          <w:b/>
          <w:i w:val="0"/>
          <w:sz w:val="18"/>
        </w:rPr>
        <w:t>Index Terms</w:t>
      </w:r>
      <w:r>
        <w:rPr>
          <w:rFonts w:ascii="Times New Roman" w:hAnsi="Times New Roman"/>
          <w:b w:val="0"/>
          <w:i w:val="0"/>
          <w:sz w:val="18"/>
        </w:rPr>
        <w:t>: multi-agent LLM systems, autonomous software engineering, GitHub Actions, continuous deployment, emergent AI behaviour, zero-cost infrastructure.</w:t>
      </w:r>
    </w:p>
    <w:p>
      <w:pPr>
        <w:spacing w:before="0" w:after="120" w:line="280" w:lineRule="exact"/>
        <w:jc w:val="both"/>
        <w:pBdr>
          <w:bottom w:val="single" w:sz="4" w:space="1" w:color="CCCCCC"/>
        </w:pBdr>
      </w:pPr>
    </w:p>
    <w:p>
      <w:pPr>
        <w:spacing w:before="280" w:after="80" w:line="280" w:lineRule="exact"/>
        <w:jc w:val="center"/>
      </w:pPr>
      <w:r>
        <w:rPr>
          <w:rFonts w:ascii="Times New Roman" w:hAnsi="Times New Roman"/>
          <w:b/>
          <w:sz w:val="20"/>
        </w:rPr>
        <w:t>I. Introduction</w:t>
      </w:r>
    </w:p>
    <w:p>
      <w:pPr>
        <w:spacing w:before="0" w:after="120" w:line="280" w:lineRule="exact"/>
        <w:jc w:val="both"/>
      </w:pPr>
      <w:r>
        <w:rPr>
          <w:rFonts w:ascii="Times New Roman" w:hAnsi="Times New Roman"/>
          <w:b w:val="0"/>
          <w:i w:val="0"/>
          <w:sz w:val="20"/>
        </w:rPr>
        <w:t xml:space="preserve">The rapid capability improvement of large language models (LLMs) has prompted significant research interest in </w:t>
      </w:r>
      <w:r>
        <w:rPr>
          <w:rFonts w:ascii="Times New Roman" w:hAnsi="Times New Roman"/>
          <w:b w:val="0"/>
          <w:i/>
          <w:sz w:val="20"/>
        </w:rPr>
        <w:t>agentic</w:t>
      </w:r>
      <w:r>
        <w:rPr>
          <w:rFonts w:ascii="Times New Roman" w:hAnsi="Times New Roman"/>
          <w:b w:val="0"/>
          <w:i w:val="0"/>
          <w:sz w:val="20"/>
        </w:rPr>
        <w:t xml:space="preserve"> systems: pipelines in which multiple LLM calls are chained to accomplish multi-step tasks [6]. Prior work has concentrated on narrow agentic loops, code completion, web browsing, and tool use, rather than on sustained creative output over extended periods. This paper addresses a distinct question: </w:t>
      </w:r>
      <w:r>
        <w:rPr>
          <w:rFonts w:ascii="Times New Roman" w:hAnsi="Times New Roman"/>
          <w:b w:val="0"/>
          <w:i/>
          <w:sz w:val="20"/>
        </w:rPr>
        <w:t>can a hierarchical, multi-agent LLM system autonomously create diverse and novel software projects continuously, without human prompting, on entirely free-tier infrastructure?</w:t>
      </w:r>
    </w:p>
    <w:p>
      <w:pPr>
        <w:spacing w:before="0" w:after="120" w:line="280" w:lineRule="exact"/>
        <w:jc w:val="both"/>
      </w:pPr>
      <w:r>
        <w:rPr>
          <w:rFonts w:ascii="Times New Roman" w:hAnsi="Times New Roman"/>
          <w:b w:val="0"/>
          <w:i w:val="0"/>
          <w:sz w:val="20"/>
        </w:rPr>
        <w:t>The motivation is twofold. First, practically: many researchers and independent practitioners lack the budget for commercial AI APIs. GitHub's free tier, unlimited Actions compute, the GitHub Models API [2], and GitHub Pages, provides a meaningful zero-cost substrate if the system can be designed to operate within its constraints. Second, scientifically: studying what such a system produces over weeks, and where it fails, reveals properties of LLM-based creative autonomy that are not observable in single-turn or short-horizon experiments.</w:t>
      </w:r>
    </w:p>
    <w:p>
      <w:pPr>
        <w:spacing w:before="0" w:after="120" w:line="280" w:lineRule="exact"/>
        <w:jc w:val="both"/>
      </w:pPr>
      <w:r>
        <w:rPr>
          <w:rFonts w:ascii="Times New Roman" w:hAnsi="Times New Roman"/>
          <w:b w:val="0"/>
          <w:i w:val="0"/>
          <w:sz w:val="20"/>
        </w:rPr>
        <w:t xml:space="preserve">The contributions of this work are: (1) a complete, open-source autonomous software-creation pipeline running on zero-cost infrastructure; (2) a hierarchical role architecture with thirteen distinct LLM personas, drawn from three different model families, with adversarial disagreement structurally encouraged; (3) an empirical record of projects shipped and builds refused over 21 days; (4) documentation of emergent system behaviours - failure-driven strategy pivots, autonomous type bans, complexity escalation, and self-healing recovery, that were not explicitly programmed; and (5) a </w:t>
      </w:r>
      <w:r>
        <w:rPr>
          <w:rFonts w:ascii="Times New Roman" w:hAnsi="Times New Roman"/>
          <w:b w:val="0"/>
          <w:i/>
          <w:sz w:val="20"/>
        </w:rPr>
        <w:t>Project Evolution</w:t>
      </w:r>
      <w:r>
        <w:rPr>
          <w:rFonts w:ascii="Times New Roman" w:hAnsi="Times New Roman"/>
          <w:b w:val="0"/>
          <w:i w:val="0"/>
          <w:sz w:val="20"/>
        </w:rPr>
        <w:t xml:space="preserve"> mandate that successfully expands the system beyond web applications into Python tools, browser games, generative art, research documents, and compiled CLI tools.</w:t>
      </w:r>
    </w:p>
    <w:p>
      <w:pPr>
        <w:spacing w:before="200" w:after="60" w:line="280" w:lineRule="exact"/>
        <w:jc w:val="left"/>
      </w:pPr>
      <w:r>
        <w:rPr>
          <w:rFonts w:ascii="Times New Roman" w:hAnsi="Times New Roman"/>
          <w:b/>
          <w:i/>
          <w:sz w:val="20"/>
        </w:rPr>
        <w:t>A. Scope and Limitations</w:t>
      </w:r>
    </w:p>
    <w:p>
      <w:pPr>
        <w:spacing w:before="0" w:after="120" w:line="280" w:lineRule="exact"/>
        <w:jc w:val="both"/>
      </w:pPr>
      <w:r>
        <w:rPr>
          <w:rFonts w:ascii="Times New Roman" w:hAnsi="Times New Roman"/>
          <w:b w:val="0"/>
          <w:i w:val="0"/>
          <w:sz w:val="20"/>
        </w:rPr>
        <w:t>This work is observational rather than controlled. The system runs on shared infrastructure with models that are periodically updated by their providers, and was studied over a 21-day window. Findings are descriptive rather than statistically rigorous. The patterns documented were, however, consistent enough over three weeks to warrant systematic analysis. All source code and the complete memory log are publicly available at the repository stated above.</w:t>
      </w:r>
    </w:p>
    <w:p>
      <w:pPr>
        <w:spacing w:before="280" w:after="80" w:line="280" w:lineRule="exact"/>
        <w:jc w:val="center"/>
      </w:pPr>
      <w:r>
        <w:rPr>
          <w:rFonts w:ascii="Times New Roman" w:hAnsi="Times New Roman"/>
          <w:b/>
          <w:sz w:val="20"/>
        </w:rPr>
        <w:t>II. Related Work</w:t>
      </w:r>
    </w:p>
    <w:p>
      <w:pPr>
        <w:spacing w:before="0" w:after="120" w:line="280" w:lineRule="exact"/>
        <w:jc w:val="both"/>
      </w:pPr>
      <w:r>
        <w:rPr>
          <w:rFonts w:ascii="Times New Roman" w:hAnsi="Times New Roman"/>
          <w:b w:val="0"/>
          <w:i w:val="0"/>
          <w:sz w:val="20"/>
        </w:rPr>
        <w:t>The closest prior work to this system is AutoGen [8], which provides a framework for multi-agent LLM conversation. Where AutoGen provides general orchestration primitives, the present work instantiates a specific creative pipeline with persistent memory, typed output validation, and mechanical browser-level quality gates. The generative agents system of Park et al. [7] demonstrates emergent social behaviour from LLM agents with memory; this paper examines analogous emergence in a software-engineering context.</w:t>
      </w:r>
    </w:p>
    <w:p>
      <w:pPr>
        <w:spacing w:before="0" w:after="120" w:line="280" w:lineRule="exact"/>
        <w:jc w:val="both"/>
      </w:pPr>
      <w:r>
        <w:rPr>
          <w:rFonts w:ascii="Times New Roman" w:hAnsi="Times New Roman"/>
          <w:b w:val="0"/>
          <w:i w:val="0"/>
          <w:sz w:val="20"/>
        </w:rPr>
        <w:t>ReAct [6] demonstrates the value of interleaving reasoning and action in agentic tasks. The present pipeline extends this principle across an eight-stage pipeline where each stage produces structured JSON output that constrains the next. Playwright [4] is used as the mechanical verification substrate, headless browser execution provides ground-truth interaction data that LLM reviewers alone cannot produce.</w:t>
      </w:r>
    </w:p>
    <w:p>
      <w:pPr>
        <w:spacing w:before="280" w:after="80" w:line="280" w:lineRule="exact"/>
        <w:jc w:val="center"/>
      </w:pPr>
      <w:r>
        <w:rPr>
          <w:rFonts w:ascii="Times New Roman" w:hAnsi="Times New Roman"/>
          <w:b/>
          <w:sz w:val="20"/>
        </w:rPr>
        <w:t>III. System Architecture</w:t>
      </w:r>
    </w:p>
    <w:p>
      <w:pPr>
        <w:spacing w:before="200" w:after="60" w:line="280" w:lineRule="exact"/>
        <w:jc w:val="left"/>
      </w:pPr>
      <w:r>
        <w:rPr>
          <w:rFonts w:ascii="Times New Roman" w:hAnsi="Times New Roman"/>
          <w:b/>
          <w:i/>
          <w:sz w:val="20"/>
        </w:rPr>
        <w:t>A. Infrastructure</w:t>
      </w:r>
    </w:p>
    <w:p>
      <w:pPr>
        <w:spacing w:before="0" w:after="120" w:line="280" w:lineRule="exact"/>
        <w:jc w:val="both"/>
      </w:pPr>
      <w:r>
        <w:rPr>
          <w:rFonts w:ascii="Times New Roman" w:hAnsi="Times New Roman"/>
          <w:b w:val="0"/>
          <w:i w:val="0"/>
          <w:sz w:val="20"/>
        </w:rPr>
        <w:t xml:space="preserve">The entire system runs on GitHub's free tier. GitHub Actions [1] provides compute (unlimited minutes for public repositories). The GitHub Models API [2] gives access to GPT-4o and GPT-4o-mini via an OpenAI-compatible endpoint authenticated with the auto-injected GITHUB_TOKEN. Groq [2] provides Llama and Mixtral inference at zero cost. Google AI Studio provides Gemini at zero cost. GitHub Pages [5] serves static output. The system's persistent state is a single JSON file, </w:t>
      </w:r>
      <w:r>
        <w:rPr>
          <w:rFonts w:ascii="Times New Roman" w:hAnsi="Times New Roman"/>
          <w:b w:val="0"/>
          <w:i/>
          <w:sz w:val="20"/>
        </w:rPr>
        <w:t>memory_log.json</w:t>
      </w:r>
      <w:r>
        <w:rPr>
          <w:rFonts w:ascii="Times New Roman" w:hAnsi="Times New Roman"/>
          <w:b w:val="0"/>
          <w:i w:val="0"/>
          <w:sz w:val="20"/>
        </w:rPr>
        <w:t>, committed to the repository after each run.</w:t>
      </w:r>
    </w:p>
    <w:p>
      <w:pPr>
        <w:spacing w:before="200" w:after="80" w:line="280" w:lineRule="exact"/>
        <w:jc w:val="center"/>
      </w:pPr>
      <w:r>
        <w:rPr>
          <w:rFonts w:ascii="Times New Roman" w:hAnsi="Times New Roman"/>
          <w:b/>
          <w:sz w:val="18"/>
        </w:rPr>
        <w:t>TABLE I. Infrastructure Components and Operational Costs</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3009"/>
        <w:gridCol w:w="3009"/>
        <w:gridCol w:w="3009"/>
      </w:tblGrid>
      <w:tr>
        <w:tc>
          <w:tcPr>
            <w:tcW w:type="dxa" w:w="2835"/>
          </w:tcPr>
          <w:p>
            <w:pPr>
              <w:spacing w:before="60" w:after="60" w:line="260" w:lineRule="exact"/>
              <w:jc w:val="left"/>
            </w:pPr>
            <w:r>
              <w:rPr>
                <w:rFonts w:ascii="Times New Roman" w:hAnsi="Times New Roman"/>
                <w:b/>
                <w:i w:val="0"/>
                <w:sz w:val="18"/>
              </w:rPr>
              <w:t>Component</w:t>
            </w:r>
          </w:p>
        </w:tc>
        <w:tc>
          <w:tcPr>
            <w:tcW w:type="dxa" w:w="4252"/>
          </w:tcPr>
          <w:p>
            <w:pPr>
              <w:spacing w:before="60" w:after="60" w:line="260" w:lineRule="exact"/>
              <w:jc w:val="left"/>
            </w:pPr>
            <w:r>
              <w:rPr>
                <w:rFonts w:ascii="Times New Roman" w:hAnsi="Times New Roman"/>
                <w:b/>
                <w:i w:val="0"/>
                <w:sz w:val="18"/>
              </w:rPr>
              <w:t>Free-Tier Resource</w:t>
            </w:r>
          </w:p>
        </w:tc>
        <w:tc>
          <w:tcPr>
            <w:tcW w:type="dxa" w:w="1701"/>
          </w:tcPr>
          <w:p>
            <w:pPr>
              <w:spacing w:before="60" w:after="60" w:line="260" w:lineRule="exact"/>
              <w:jc w:val="left"/>
            </w:pPr>
            <w:r>
              <w:rPr>
                <w:rFonts w:ascii="Times New Roman" w:hAnsi="Times New Roman"/>
                <w:b/>
                <w:i w:val="0"/>
                <w:sz w:val="18"/>
              </w:rPr>
              <w:t>Monthly Cost</w:t>
            </w:r>
          </w:p>
        </w:tc>
      </w:tr>
      <w:tr>
        <w:tc>
          <w:tcPr>
            <w:tcW w:type="dxa" w:w="2835"/>
          </w:tcPr>
          <w:p>
            <w:pPr>
              <w:spacing w:before="60" w:after="60" w:line="260" w:lineRule="exact"/>
              <w:jc w:val="left"/>
            </w:pPr>
            <w:r>
              <w:rPr>
                <w:rFonts w:ascii="Times New Roman" w:hAnsi="Times New Roman"/>
                <w:b w:val="0"/>
                <w:i w:val="0"/>
                <w:sz w:val="18"/>
              </w:rPr>
              <w:t>Compute</w:t>
            </w:r>
          </w:p>
        </w:tc>
        <w:tc>
          <w:tcPr>
            <w:tcW w:type="dxa" w:w="4252"/>
          </w:tcPr>
          <w:p>
            <w:pPr>
              <w:spacing w:before="60" w:after="60" w:line="260" w:lineRule="exact"/>
              <w:jc w:val="left"/>
            </w:pPr>
            <w:r>
              <w:rPr>
                <w:rFonts w:ascii="Times New Roman" w:hAnsi="Times New Roman"/>
                <w:b w:val="0"/>
                <w:i w:val="0"/>
                <w:sz w:val="18"/>
              </w:rPr>
              <w:t>GitHub Actions (public repo)</w:t>
            </w:r>
          </w:p>
        </w:tc>
        <w:tc>
          <w:tcPr>
            <w:tcW w:type="dxa" w:w="1701"/>
          </w:tcPr>
          <w:p>
            <w:pPr>
              <w:spacing w:before="60" w:after="60" w:line="260" w:lineRule="exact"/>
              <w:jc w:val="left"/>
            </w:pPr>
            <w:r>
              <w:rPr>
                <w:rFonts w:ascii="Times New Roman" w:hAnsi="Times New Roman"/>
                <w:b w:val="0"/>
                <w:i w:val="0"/>
                <w:sz w:val="18"/>
              </w:rPr>
              <w:t>£0</w:t>
            </w:r>
          </w:p>
        </w:tc>
      </w:tr>
      <w:tr>
        <w:tc>
          <w:tcPr>
            <w:tcW w:type="dxa" w:w="2835"/>
            <w:shd w:val="clear" w:color="auto" w:fill="F7F7F7"/>
          </w:tcPr>
          <w:p>
            <w:pPr>
              <w:spacing w:before="60" w:after="60" w:line="260" w:lineRule="exact"/>
              <w:jc w:val="left"/>
            </w:pPr>
            <w:r>
              <w:rPr>
                <w:rFonts w:ascii="Times New Roman" w:hAnsi="Times New Roman"/>
                <w:b w:val="0"/>
                <w:i w:val="0"/>
                <w:sz w:val="18"/>
              </w:rPr>
              <w:t>LLM inference</w:t>
            </w:r>
          </w:p>
        </w:tc>
        <w:tc>
          <w:tcPr>
            <w:tcW w:type="dxa" w:w="4252"/>
            <w:shd w:val="clear" w:color="auto" w:fill="F7F7F7"/>
          </w:tcPr>
          <w:p>
            <w:pPr>
              <w:spacing w:before="60" w:after="60" w:line="260" w:lineRule="exact"/>
              <w:jc w:val="left"/>
            </w:pPr>
            <w:r>
              <w:rPr>
                <w:rFonts w:ascii="Times New Roman" w:hAnsi="Times New Roman"/>
                <w:b w:val="0"/>
                <w:i w:val="0"/>
                <w:sz w:val="18"/>
              </w:rPr>
              <w:t>GitHub Models, Groq, Google AI</w:t>
            </w:r>
          </w:p>
        </w:tc>
        <w:tc>
          <w:tcPr>
            <w:tcW w:type="dxa" w:w="1701"/>
            <w:shd w:val="clear" w:color="auto" w:fill="F7F7F7"/>
          </w:tcPr>
          <w:p>
            <w:pPr>
              <w:spacing w:before="60" w:after="60" w:line="260" w:lineRule="exact"/>
              <w:jc w:val="left"/>
            </w:pPr>
            <w:r>
              <w:rPr>
                <w:rFonts w:ascii="Times New Roman" w:hAnsi="Times New Roman"/>
                <w:b w:val="0"/>
                <w:i w:val="0"/>
                <w:sz w:val="18"/>
              </w:rPr>
              <w:t>£0</w:t>
            </w:r>
          </w:p>
        </w:tc>
      </w:tr>
      <w:tr>
        <w:tc>
          <w:tcPr>
            <w:tcW w:type="dxa" w:w="2835"/>
          </w:tcPr>
          <w:p>
            <w:pPr>
              <w:spacing w:before="60" w:after="60" w:line="260" w:lineRule="exact"/>
              <w:jc w:val="left"/>
            </w:pPr>
            <w:r>
              <w:rPr>
                <w:rFonts w:ascii="Times New Roman" w:hAnsi="Times New Roman"/>
                <w:b w:val="0"/>
                <w:i w:val="0"/>
                <w:sz w:val="18"/>
              </w:rPr>
              <w:t>Hosting</w:t>
            </w:r>
          </w:p>
        </w:tc>
        <w:tc>
          <w:tcPr>
            <w:tcW w:type="dxa" w:w="4252"/>
          </w:tcPr>
          <w:p>
            <w:pPr>
              <w:spacing w:before="60" w:after="60" w:line="260" w:lineRule="exact"/>
              <w:jc w:val="left"/>
            </w:pPr>
            <w:r>
              <w:rPr>
                <w:rFonts w:ascii="Times New Roman" w:hAnsi="Times New Roman"/>
                <w:b w:val="0"/>
                <w:i w:val="0"/>
                <w:sz w:val="18"/>
              </w:rPr>
              <w:t>GitHub Pages (static, unlimited)</w:t>
            </w:r>
          </w:p>
        </w:tc>
        <w:tc>
          <w:tcPr>
            <w:tcW w:type="dxa" w:w="1701"/>
          </w:tcPr>
          <w:p>
            <w:pPr>
              <w:spacing w:before="60" w:after="60" w:line="260" w:lineRule="exact"/>
              <w:jc w:val="left"/>
            </w:pPr>
            <w:r>
              <w:rPr>
                <w:rFonts w:ascii="Times New Roman" w:hAnsi="Times New Roman"/>
                <w:b w:val="0"/>
                <w:i w:val="0"/>
                <w:sz w:val="18"/>
              </w:rPr>
              <w:t>£0</w:t>
            </w:r>
          </w:p>
        </w:tc>
      </w:tr>
      <w:tr>
        <w:tc>
          <w:tcPr>
            <w:tcW w:type="dxa" w:w="2835"/>
            <w:shd w:val="clear" w:color="auto" w:fill="F7F7F7"/>
          </w:tcPr>
          <w:p>
            <w:pPr>
              <w:spacing w:before="60" w:after="60" w:line="260" w:lineRule="exact"/>
              <w:jc w:val="left"/>
            </w:pPr>
            <w:r>
              <w:rPr>
                <w:rFonts w:ascii="Times New Roman" w:hAnsi="Times New Roman"/>
                <w:b w:val="0"/>
                <w:i w:val="0"/>
                <w:sz w:val="18"/>
              </w:rPr>
              <w:t>Persistent state</w:t>
            </w:r>
          </w:p>
        </w:tc>
        <w:tc>
          <w:tcPr>
            <w:tcW w:type="dxa" w:w="4252"/>
            <w:shd w:val="clear" w:color="auto" w:fill="F7F7F7"/>
          </w:tcPr>
          <w:p>
            <w:pPr>
              <w:spacing w:before="60" w:after="60" w:line="260" w:lineRule="exact"/>
              <w:jc w:val="left"/>
            </w:pPr>
            <w:r>
              <w:rPr>
                <w:rFonts w:ascii="Times New Roman" w:hAnsi="Times New Roman"/>
                <w:b w:val="0"/>
                <w:i w:val="0"/>
                <w:sz w:val="18"/>
              </w:rPr>
              <w:t>Git-committed JSON file</w:t>
            </w:r>
          </w:p>
        </w:tc>
        <w:tc>
          <w:tcPr>
            <w:tcW w:type="dxa" w:w="1701"/>
            <w:shd w:val="clear" w:color="auto" w:fill="F7F7F7"/>
          </w:tcPr>
          <w:p>
            <w:pPr>
              <w:spacing w:before="60" w:after="60" w:line="260" w:lineRule="exact"/>
              <w:jc w:val="left"/>
            </w:pPr>
            <w:r>
              <w:rPr>
                <w:rFonts w:ascii="Times New Roman" w:hAnsi="Times New Roman"/>
                <w:b w:val="0"/>
                <w:i w:val="0"/>
                <w:sz w:val="18"/>
              </w:rPr>
              <w:t>£0</w:t>
            </w:r>
          </w:p>
        </w:tc>
      </w:tr>
      <w:tr>
        <w:tc>
          <w:tcPr>
            <w:tcW w:type="dxa" w:w="2835"/>
          </w:tcPr>
          <w:p>
            <w:pPr>
              <w:spacing w:before="60" w:after="60" w:line="260" w:lineRule="exact"/>
              <w:jc w:val="left"/>
            </w:pPr>
            <w:r>
              <w:rPr>
                <w:rFonts w:ascii="Times New Roman" w:hAnsi="Times New Roman"/>
                <w:b w:val="0"/>
                <w:i w:val="0"/>
                <w:sz w:val="18"/>
              </w:rPr>
              <w:t>Total</w:t>
            </w:r>
          </w:p>
        </w:tc>
        <w:tc>
          <w:tcPr>
            <w:tcW w:type="dxa" w:w="4252"/>
          </w:tcPr>
          <w:p>
            <w:pPr>
              <w:spacing w:before="60" w:after="60" w:line="260" w:lineRule="exact"/>
              <w:jc w:val="left"/>
            </w:pPr>
          </w:p>
        </w:tc>
        <w:tc>
          <w:tcPr>
            <w:tcW w:type="dxa" w:w="1701"/>
          </w:tcPr>
          <w:p>
            <w:pPr>
              <w:spacing w:before="60" w:after="60" w:line="260" w:lineRule="exact"/>
              <w:jc w:val="left"/>
            </w:pPr>
            <w:r>
              <w:rPr>
                <w:rFonts w:ascii="Times New Roman" w:hAnsi="Times New Roman"/>
                <w:b w:val="0"/>
                <w:i w:val="0"/>
                <w:sz w:val="18"/>
              </w:rPr>
              <w:t>£0</w:t>
            </w:r>
          </w:p>
        </w:tc>
      </w:tr>
    </w:tbl>
    <w:p>
      <w:pPr>
        <w:spacing w:before="0" w:after="80" w:line="280" w:lineRule="exact"/>
        <w:jc w:val="both"/>
      </w:pPr>
    </w:p>
    <w:p>
      <w:pPr>
        <w:spacing w:before="200" w:after="60" w:line="280" w:lineRule="exact"/>
        <w:jc w:val="left"/>
      </w:pPr>
      <w:r>
        <w:rPr>
          <w:rFonts w:ascii="Times New Roman" w:hAnsi="Times New Roman"/>
          <w:b/>
          <w:i/>
          <w:sz w:val="20"/>
        </w:rPr>
        <w:t>B. Agent Roles</w:t>
      </w:r>
    </w:p>
    <w:p>
      <w:pPr>
        <w:spacing w:before="0" w:after="120" w:line="280" w:lineRule="exact"/>
        <w:jc w:val="both"/>
      </w:pPr>
      <w:r>
        <w:rPr>
          <w:rFonts w:ascii="Times New Roman" w:hAnsi="Times New Roman"/>
          <w:b w:val="0"/>
          <w:i w:val="0"/>
          <w:sz w:val="20"/>
        </w:rPr>
        <w:t xml:space="preserve">The pipeline instantiates a </w:t>
      </w:r>
      <w:r>
        <w:rPr>
          <w:rFonts w:ascii="Times New Roman" w:hAnsi="Times New Roman"/>
          <w:b w:val="0"/>
          <w:i/>
          <w:sz w:val="20"/>
        </w:rPr>
        <w:t>boardroom</w:t>
      </w:r>
      <w:r>
        <w:rPr>
          <w:rFonts w:ascii="Times New Roman" w:hAnsi="Times New Roman"/>
          <w:b w:val="0"/>
          <w:i w:val="0"/>
          <w:sz w:val="20"/>
        </w:rPr>
        <w:t xml:space="preserve"> metaphor: thirteen distinct LLM roles, each with a specific mandate and, critically, explicit instruction to disagree with the others. Early experiments with a single model reviewing its own output produced sycophantic results; structural separation of planning, implementation, review, and strategy was necessary to obtain genuine adversarial critique. Table II summarises the roles. Architects run at temperature=1.0 to maximise proposal diversity; higher-stakes roles (Judge, QA Tester) use lower temperatures for consistency.</w:t>
      </w:r>
    </w:p>
    <w:p>
      <w:pPr>
        <w:spacing w:before="200" w:after="80" w:line="280" w:lineRule="exact"/>
        <w:jc w:val="center"/>
      </w:pPr>
      <w:r>
        <w:rPr>
          <w:rFonts w:ascii="Times New Roman" w:hAnsi="Times New Roman"/>
          <w:b/>
          <w:sz w:val="18"/>
        </w:rPr>
        <w:t>TABLE II. Agent Roles, Models, and Mandates</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2256"/>
        <w:gridCol w:w="2256"/>
        <w:gridCol w:w="2256"/>
        <w:gridCol w:w="2256"/>
      </w:tblGrid>
      <w:tr>
        <w:tc>
          <w:tcPr>
            <w:tcW w:type="dxa" w:w="1984"/>
          </w:tcPr>
          <w:p>
            <w:pPr>
              <w:spacing w:before="60" w:after="60" w:line="260" w:lineRule="exact"/>
              <w:jc w:val="left"/>
            </w:pPr>
            <w:r>
              <w:rPr>
                <w:rFonts w:ascii="Times New Roman" w:hAnsi="Times New Roman"/>
                <w:b/>
                <w:i w:val="0"/>
                <w:sz w:val="18"/>
              </w:rPr>
              <w:t>Role</w:t>
            </w:r>
          </w:p>
        </w:tc>
        <w:tc>
          <w:tcPr>
            <w:tcW w:type="dxa" w:w="1701"/>
          </w:tcPr>
          <w:p>
            <w:pPr>
              <w:spacing w:before="60" w:after="60" w:line="260" w:lineRule="exact"/>
              <w:jc w:val="left"/>
            </w:pPr>
            <w:r>
              <w:rPr>
                <w:rFonts w:ascii="Times New Roman" w:hAnsi="Times New Roman"/>
                <w:b/>
                <w:i w:val="0"/>
                <w:sz w:val="18"/>
              </w:rPr>
              <w:t>Model</w:t>
            </w:r>
          </w:p>
        </w:tc>
        <w:tc>
          <w:tcPr>
            <w:tcW w:type="dxa" w:w="1587"/>
          </w:tcPr>
          <w:p>
            <w:pPr>
              <w:spacing w:before="60" w:after="60" w:line="260" w:lineRule="exact"/>
              <w:jc w:val="left"/>
            </w:pPr>
            <w:r>
              <w:rPr>
                <w:rFonts w:ascii="Times New Roman" w:hAnsi="Times New Roman"/>
                <w:b/>
                <w:i w:val="0"/>
                <w:sz w:val="18"/>
              </w:rPr>
              <w:t>Provider</w:t>
            </w:r>
          </w:p>
        </w:tc>
        <w:tc>
          <w:tcPr>
            <w:tcW w:type="dxa" w:w="3515"/>
          </w:tcPr>
          <w:p>
            <w:pPr>
              <w:spacing w:before="60" w:after="60" w:line="260" w:lineRule="exact"/>
              <w:jc w:val="left"/>
            </w:pPr>
            <w:r>
              <w:rPr>
                <w:rFonts w:ascii="Times New Roman" w:hAnsi="Times New Roman"/>
                <w:b/>
                <w:i w:val="0"/>
                <w:sz w:val="18"/>
              </w:rPr>
              <w:t>Mandate</w:t>
            </w:r>
          </w:p>
        </w:tc>
      </w:tr>
      <w:tr>
        <w:tc>
          <w:tcPr>
            <w:tcW w:type="dxa" w:w="1984"/>
          </w:tcPr>
          <w:p>
            <w:pPr>
              <w:spacing w:before="60" w:after="60" w:line="260" w:lineRule="exact"/>
              <w:jc w:val="left"/>
            </w:pPr>
            <w:r>
              <w:rPr>
                <w:rFonts w:ascii="Times New Roman" w:hAnsi="Times New Roman"/>
                <w:b w:val="0"/>
                <w:i w:val="0"/>
                <w:sz w:val="18"/>
              </w:rPr>
              <w:t>CEO</w:t>
            </w:r>
          </w:p>
        </w:tc>
        <w:tc>
          <w:tcPr>
            <w:tcW w:type="dxa" w:w="1701"/>
          </w:tcPr>
          <w:p>
            <w:pPr>
              <w:spacing w:before="60" w:after="60" w:line="260" w:lineRule="exact"/>
              <w:jc w:val="left"/>
            </w:pPr>
            <w:r>
              <w:rPr>
                <w:rFonts w:ascii="Times New Roman" w:hAnsi="Times New Roman"/>
                <w:b w:val="0"/>
                <w:i w:val="0"/>
                <w:sz w:val="18"/>
              </w:rPr>
              <w:t>gpt-4o</w:t>
            </w:r>
          </w:p>
        </w:tc>
        <w:tc>
          <w:tcPr>
            <w:tcW w:type="dxa" w:w="1587"/>
          </w:tcPr>
          <w:p>
            <w:pPr>
              <w:spacing w:before="60" w:after="60" w:line="260" w:lineRule="exact"/>
              <w:jc w:val="left"/>
            </w:pPr>
            <w:r>
              <w:rPr>
                <w:rFonts w:ascii="Times New Roman" w:hAnsi="Times New Roman"/>
                <w:b w:val="0"/>
                <w:i w:val="0"/>
                <w:sz w:val="18"/>
              </w:rPr>
              <w:t>GitHub Models</w:t>
            </w:r>
          </w:p>
        </w:tc>
        <w:tc>
          <w:tcPr>
            <w:tcW w:type="dxa" w:w="3515"/>
          </w:tcPr>
          <w:p>
            <w:pPr>
              <w:spacing w:before="60" w:after="60" w:line="260" w:lineRule="exact"/>
              <w:jc w:val="left"/>
            </w:pPr>
            <w:r>
              <w:rPr>
                <w:rFonts w:ascii="Times New Roman" w:hAnsi="Times New Roman"/>
                <w:b w:val="0"/>
                <w:i w:val="0"/>
                <w:sz w:val="18"/>
              </w:rPr>
              <w:t>Visionary strategy, failure-aware directives</w:t>
            </w:r>
          </w:p>
        </w:tc>
      </w:tr>
      <w:tr>
        <w:tc>
          <w:tcPr>
            <w:tcW w:type="dxa" w:w="1984"/>
            <w:shd w:val="clear" w:color="auto" w:fill="F7F7F7"/>
          </w:tcPr>
          <w:p>
            <w:pPr>
              <w:spacing w:before="60" w:after="60" w:line="260" w:lineRule="exact"/>
              <w:jc w:val="left"/>
            </w:pPr>
            <w:r>
              <w:rPr>
                <w:rFonts w:ascii="Times New Roman" w:hAnsi="Times New Roman"/>
                <w:b w:val="0"/>
                <w:i w:val="0"/>
                <w:sz w:val="18"/>
              </w:rPr>
              <w:t>CSO</w:t>
            </w:r>
          </w:p>
        </w:tc>
        <w:tc>
          <w:tcPr>
            <w:tcW w:type="dxa" w:w="1701"/>
            <w:shd w:val="clear" w:color="auto" w:fill="F7F7F7"/>
          </w:tcPr>
          <w:p>
            <w:pPr>
              <w:spacing w:before="60" w:after="60" w:line="260" w:lineRule="exact"/>
              <w:jc w:val="left"/>
            </w:pPr>
            <w:r>
              <w:rPr>
                <w:rFonts w:ascii="Times New Roman" w:hAnsi="Times New Roman"/>
                <w:b w:val="0"/>
                <w:i w:val="0"/>
                <w:sz w:val="18"/>
              </w:rPr>
              <w:t>llama-3.3-70b</w:t>
            </w:r>
          </w:p>
        </w:tc>
        <w:tc>
          <w:tcPr>
            <w:tcW w:type="dxa" w:w="1587"/>
            <w:shd w:val="clear" w:color="auto" w:fill="F7F7F7"/>
          </w:tcPr>
          <w:p>
            <w:pPr>
              <w:spacing w:before="60" w:after="60" w:line="260" w:lineRule="exact"/>
              <w:jc w:val="left"/>
            </w:pPr>
            <w:r>
              <w:rPr>
                <w:rFonts w:ascii="Times New Roman" w:hAnsi="Times New Roman"/>
                <w:b w:val="0"/>
                <w:i w:val="0"/>
                <w:sz w:val="18"/>
              </w:rPr>
              <w:t>Groq</w:t>
            </w:r>
          </w:p>
        </w:tc>
        <w:tc>
          <w:tcPr>
            <w:tcW w:type="dxa" w:w="3515"/>
            <w:shd w:val="clear" w:color="auto" w:fill="F7F7F7"/>
          </w:tcPr>
          <w:p>
            <w:pPr>
              <w:spacing w:before="60" w:after="60" w:line="260" w:lineRule="exact"/>
              <w:jc w:val="left"/>
            </w:pPr>
            <w:r>
              <w:rPr>
                <w:rFonts w:ascii="Times New Roman" w:hAnsi="Times New Roman"/>
                <w:b w:val="0"/>
                <w:i w:val="0"/>
                <w:sz w:val="18"/>
              </w:rPr>
              <w:t>Scientific novelty, algorithmic depth</w:t>
            </w:r>
          </w:p>
        </w:tc>
      </w:tr>
      <w:tr>
        <w:tc>
          <w:tcPr>
            <w:tcW w:type="dxa" w:w="1984"/>
          </w:tcPr>
          <w:p>
            <w:pPr>
              <w:spacing w:before="60" w:after="60" w:line="260" w:lineRule="exact"/>
              <w:jc w:val="left"/>
            </w:pPr>
            <w:r>
              <w:rPr>
                <w:rFonts w:ascii="Times New Roman" w:hAnsi="Times New Roman"/>
                <w:b w:val="0"/>
                <w:i w:val="0"/>
                <w:sz w:val="18"/>
              </w:rPr>
              <w:t>CTO</w:t>
            </w:r>
          </w:p>
        </w:tc>
        <w:tc>
          <w:tcPr>
            <w:tcW w:type="dxa" w:w="1701"/>
          </w:tcPr>
          <w:p>
            <w:pPr>
              <w:spacing w:before="60" w:after="60" w:line="260" w:lineRule="exact"/>
              <w:jc w:val="left"/>
            </w:pPr>
            <w:r>
              <w:rPr>
                <w:rFonts w:ascii="Times New Roman" w:hAnsi="Times New Roman"/>
                <w:b w:val="0"/>
                <w:i w:val="0"/>
                <w:sz w:val="18"/>
              </w:rPr>
              <w:t>gemini-2.0-flash</w:t>
            </w:r>
          </w:p>
        </w:tc>
        <w:tc>
          <w:tcPr>
            <w:tcW w:type="dxa" w:w="1587"/>
          </w:tcPr>
          <w:p>
            <w:pPr>
              <w:spacing w:before="60" w:after="60" w:line="260" w:lineRule="exact"/>
              <w:jc w:val="left"/>
            </w:pPr>
            <w:r>
              <w:rPr>
                <w:rFonts w:ascii="Times New Roman" w:hAnsi="Times New Roman"/>
                <w:b w:val="0"/>
                <w:i w:val="0"/>
                <w:sz w:val="18"/>
              </w:rPr>
              <w:t>Google</w:t>
            </w:r>
          </w:p>
        </w:tc>
        <w:tc>
          <w:tcPr>
            <w:tcW w:type="dxa" w:w="3515"/>
          </w:tcPr>
          <w:p>
            <w:pPr>
              <w:spacing w:before="60" w:after="60" w:line="260" w:lineRule="exact"/>
              <w:jc w:val="left"/>
            </w:pPr>
            <w:r>
              <w:rPr>
                <w:rFonts w:ascii="Times New Roman" w:hAnsi="Times New Roman"/>
                <w:b w:val="0"/>
                <w:i w:val="0"/>
                <w:sz w:val="18"/>
              </w:rPr>
              <w:t>Self-improvement: patches own source code</w:t>
            </w:r>
          </w:p>
        </w:tc>
      </w:tr>
      <w:tr>
        <w:tc>
          <w:tcPr>
            <w:tcW w:type="dxa" w:w="1984"/>
            <w:shd w:val="clear" w:color="auto" w:fill="F7F7F7"/>
          </w:tcPr>
          <w:p>
            <w:pPr>
              <w:spacing w:before="60" w:after="60" w:line="260" w:lineRule="exact"/>
              <w:jc w:val="left"/>
            </w:pPr>
            <w:r>
              <w:rPr>
                <w:rFonts w:ascii="Times New Roman" w:hAnsi="Times New Roman"/>
                <w:b w:val="0"/>
                <w:i w:val="0"/>
                <w:sz w:val="18"/>
              </w:rPr>
              <w:t>Architect A/B</w:t>
            </w:r>
          </w:p>
        </w:tc>
        <w:tc>
          <w:tcPr>
            <w:tcW w:type="dxa" w:w="1701"/>
            <w:shd w:val="clear" w:color="auto" w:fill="F7F7F7"/>
          </w:tcPr>
          <w:p>
            <w:pPr>
              <w:spacing w:before="60" w:after="60" w:line="260" w:lineRule="exact"/>
              <w:jc w:val="left"/>
            </w:pPr>
            <w:r>
              <w:rPr>
                <w:rFonts w:ascii="Times New Roman" w:hAnsi="Times New Roman"/>
                <w:b w:val="0"/>
                <w:i w:val="0"/>
                <w:sz w:val="18"/>
              </w:rPr>
              <w:t>Llama 4 / 3.3</w:t>
            </w:r>
          </w:p>
        </w:tc>
        <w:tc>
          <w:tcPr>
            <w:tcW w:type="dxa" w:w="1587"/>
            <w:shd w:val="clear" w:color="auto" w:fill="F7F7F7"/>
          </w:tcPr>
          <w:p>
            <w:pPr>
              <w:spacing w:before="60" w:after="60" w:line="260" w:lineRule="exact"/>
              <w:jc w:val="left"/>
            </w:pPr>
            <w:r>
              <w:rPr>
                <w:rFonts w:ascii="Times New Roman" w:hAnsi="Times New Roman"/>
                <w:b w:val="0"/>
                <w:i w:val="0"/>
                <w:sz w:val="18"/>
              </w:rPr>
              <w:t>Groq</w:t>
            </w:r>
          </w:p>
        </w:tc>
        <w:tc>
          <w:tcPr>
            <w:tcW w:type="dxa" w:w="3515"/>
            <w:shd w:val="clear" w:color="auto" w:fill="F7F7F7"/>
          </w:tcPr>
          <w:p>
            <w:pPr>
              <w:spacing w:before="60" w:after="60" w:line="260" w:lineRule="exact"/>
              <w:jc w:val="left"/>
            </w:pPr>
            <w:r>
              <w:rPr>
                <w:rFonts w:ascii="Times New Roman" w:hAnsi="Times New Roman"/>
                <w:b w:val="0"/>
                <w:i w:val="0"/>
                <w:sz w:val="18"/>
              </w:rPr>
              <w:t>Parallel proposals, temp=1.0</w:t>
            </w:r>
          </w:p>
        </w:tc>
      </w:tr>
      <w:tr>
        <w:tc>
          <w:tcPr>
            <w:tcW w:type="dxa" w:w="1984"/>
          </w:tcPr>
          <w:p>
            <w:pPr>
              <w:spacing w:before="60" w:after="60" w:line="260" w:lineRule="exact"/>
              <w:jc w:val="left"/>
            </w:pPr>
            <w:r>
              <w:rPr>
                <w:rFonts w:ascii="Times New Roman" w:hAnsi="Times New Roman"/>
                <w:b w:val="0"/>
                <w:i w:val="0"/>
                <w:sz w:val="18"/>
              </w:rPr>
              <w:t>Judge</w:t>
            </w:r>
          </w:p>
        </w:tc>
        <w:tc>
          <w:tcPr>
            <w:tcW w:type="dxa" w:w="1701"/>
          </w:tcPr>
          <w:p>
            <w:pPr>
              <w:spacing w:before="60" w:after="60" w:line="260" w:lineRule="exact"/>
              <w:jc w:val="left"/>
            </w:pPr>
            <w:r>
              <w:rPr>
                <w:rFonts w:ascii="Times New Roman" w:hAnsi="Times New Roman"/>
                <w:b w:val="0"/>
                <w:i w:val="0"/>
                <w:sz w:val="18"/>
              </w:rPr>
              <w:t>gpt-4o</w:t>
            </w:r>
          </w:p>
        </w:tc>
        <w:tc>
          <w:tcPr>
            <w:tcW w:type="dxa" w:w="1587"/>
          </w:tcPr>
          <w:p>
            <w:pPr>
              <w:spacing w:before="60" w:after="60" w:line="260" w:lineRule="exact"/>
              <w:jc w:val="left"/>
            </w:pPr>
            <w:r>
              <w:rPr>
                <w:rFonts w:ascii="Times New Roman" w:hAnsi="Times New Roman"/>
                <w:b w:val="0"/>
                <w:i w:val="0"/>
                <w:sz w:val="18"/>
              </w:rPr>
              <w:t>GitHub Models</w:t>
            </w:r>
          </w:p>
        </w:tc>
        <w:tc>
          <w:tcPr>
            <w:tcW w:type="dxa" w:w="3515"/>
          </w:tcPr>
          <w:p>
            <w:pPr>
              <w:spacing w:before="60" w:after="60" w:line="260" w:lineRule="exact"/>
              <w:jc w:val="left"/>
            </w:pPr>
            <w:r>
              <w:rPr>
                <w:rFonts w:ascii="Times New Roman" w:hAnsi="Times New Roman"/>
                <w:b w:val="0"/>
                <w:i w:val="0"/>
                <w:sz w:val="18"/>
              </w:rPr>
              <w:t>Predictability filter, reject derivative plans</w:t>
            </w:r>
          </w:p>
        </w:tc>
      </w:tr>
      <w:tr>
        <w:tc>
          <w:tcPr>
            <w:tcW w:type="dxa" w:w="1984"/>
            <w:shd w:val="clear" w:color="auto" w:fill="F7F7F7"/>
          </w:tcPr>
          <w:p>
            <w:pPr>
              <w:spacing w:before="60" w:after="60" w:line="260" w:lineRule="exact"/>
              <w:jc w:val="left"/>
            </w:pPr>
            <w:r>
              <w:rPr>
                <w:rFonts w:ascii="Times New Roman" w:hAnsi="Times New Roman"/>
                <w:b w:val="0"/>
                <w:i w:val="0"/>
                <w:sz w:val="18"/>
              </w:rPr>
              <w:t>Engineer</w:t>
            </w:r>
          </w:p>
        </w:tc>
        <w:tc>
          <w:tcPr>
            <w:tcW w:type="dxa" w:w="1701"/>
            <w:shd w:val="clear" w:color="auto" w:fill="F7F7F7"/>
          </w:tcPr>
          <w:p>
            <w:pPr>
              <w:spacing w:before="60" w:after="60" w:line="260" w:lineRule="exact"/>
              <w:jc w:val="left"/>
            </w:pPr>
            <w:r>
              <w:rPr>
                <w:rFonts w:ascii="Times New Roman" w:hAnsi="Times New Roman"/>
                <w:b w:val="0"/>
                <w:i w:val="0"/>
                <w:sz w:val="18"/>
              </w:rPr>
              <w:t>gpt-4o</w:t>
            </w:r>
          </w:p>
        </w:tc>
        <w:tc>
          <w:tcPr>
            <w:tcW w:type="dxa" w:w="1587"/>
            <w:shd w:val="clear" w:color="auto" w:fill="F7F7F7"/>
          </w:tcPr>
          <w:p>
            <w:pPr>
              <w:spacing w:before="60" w:after="60" w:line="260" w:lineRule="exact"/>
              <w:jc w:val="left"/>
            </w:pPr>
            <w:r>
              <w:rPr>
                <w:rFonts w:ascii="Times New Roman" w:hAnsi="Times New Roman"/>
                <w:b w:val="0"/>
                <w:i w:val="0"/>
                <w:sz w:val="18"/>
              </w:rPr>
              <w:t>GitHub Models</w:t>
            </w:r>
          </w:p>
        </w:tc>
        <w:tc>
          <w:tcPr>
            <w:tcW w:type="dxa" w:w="3515"/>
            <w:shd w:val="clear" w:color="auto" w:fill="F7F7F7"/>
          </w:tcPr>
          <w:p>
            <w:pPr>
              <w:spacing w:before="60" w:after="60" w:line="260" w:lineRule="exact"/>
              <w:jc w:val="left"/>
            </w:pPr>
            <w:r>
              <w:rPr>
                <w:rFonts w:ascii="Times New Roman" w:hAnsi="Times New Roman"/>
                <w:b w:val="0"/>
                <w:i w:val="0"/>
                <w:sz w:val="18"/>
              </w:rPr>
              <w:t>File-by-file implementation, full context</w:t>
            </w:r>
          </w:p>
        </w:tc>
      </w:tr>
      <w:tr>
        <w:tc>
          <w:tcPr>
            <w:tcW w:type="dxa" w:w="1984"/>
          </w:tcPr>
          <w:p>
            <w:pPr>
              <w:spacing w:before="60" w:after="60" w:line="260" w:lineRule="exact"/>
              <w:jc w:val="left"/>
            </w:pPr>
            <w:r>
              <w:rPr>
                <w:rFonts w:ascii="Times New Roman" w:hAnsi="Times New Roman"/>
                <w:b w:val="0"/>
                <w:i w:val="0"/>
                <w:sz w:val="18"/>
              </w:rPr>
              <w:t>Reviewer A/B</w:t>
            </w:r>
          </w:p>
        </w:tc>
        <w:tc>
          <w:tcPr>
            <w:tcW w:type="dxa" w:w="1701"/>
          </w:tcPr>
          <w:p>
            <w:pPr>
              <w:spacing w:before="60" w:after="60" w:line="260" w:lineRule="exact"/>
              <w:jc w:val="left"/>
            </w:pPr>
            <w:r>
              <w:rPr>
                <w:rFonts w:ascii="Times New Roman" w:hAnsi="Times New Roman"/>
                <w:b w:val="0"/>
                <w:i w:val="0"/>
                <w:sz w:val="18"/>
              </w:rPr>
              <w:t>Llama / Gemini</w:t>
            </w:r>
          </w:p>
        </w:tc>
        <w:tc>
          <w:tcPr>
            <w:tcW w:type="dxa" w:w="1587"/>
          </w:tcPr>
          <w:p>
            <w:pPr>
              <w:spacing w:before="60" w:after="60" w:line="260" w:lineRule="exact"/>
              <w:jc w:val="left"/>
            </w:pPr>
            <w:r>
              <w:rPr>
                <w:rFonts w:ascii="Times New Roman" w:hAnsi="Times New Roman"/>
                <w:b w:val="0"/>
                <w:i w:val="0"/>
                <w:sz w:val="18"/>
              </w:rPr>
              <w:t>Groq / Google</w:t>
            </w:r>
          </w:p>
        </w:tc>
        <w:tc>
          <w:tcPr>
            <w:tcW w:type="dxa" w:w="3515"/>
          </w:tcPr>
          <w:p>
            <w:pPr>
              <w:spacing w:before="60" w:after="60" w:line="260" w:lineRule="exact"/>
              <w:jc w:val="left"/>
            </w:pPr>
            <w:r>
              <w:rPr>
                <w:rFonts w:ascii="Times New Roman" w:hAnsi="Times New Roman"/>
                <w:b w:val="0"/>
                <w:i w:val="0"/>
                <w:sz w:val="18"/>
              </w:rPr>
              <w:t>Parallel critique conference</w:t>
            </w:r>
          </w:p>
        </w:tc>
      </w:tr>
      <w:tr>
        <w:tc>
          <w:tcPr>
            <w:tcW w:type="dxa" w:w="1984"/>
            <w:shd w:val="clear" w:color="auto" w:fill="F7F7F7"/>
          </w:tcPr>
          <w:p>
            <w:pPr>
              <w:spacing w:before="60" w:after="60" w:line="260" w:lineRule="exact"/>
              <w:jc w:val="left"/>
            </w:pPr>
            <w:r>
              <w:rPr>
                <w:rFonts w:ascii="Times New Roman" w:hAnsi="Times New Roman"/>
                <w:b w:val="0"/>
                <w:i w:val="0"/>
                <w:sz w:val="18"/>
              </w:rPr>
              <w:t>Fixer</w:t>
            </w:r>
          </w:p>
        </w:tc>
        <w:tc>
          <w:tcPr>
            <w:tcW w:type="dxa" w:w="1701"/>
            <w:shd w:val="clear" w:color="auto" w:fill="F7F7F7"/>
          </w:tcPr>
          <w:p>
            <w:pPr>
              <w:spacing w:before="60" w:after="60" w:line="260" w:lineRule="exact"/>
              <w:jc w:val="left"/>
            </w:pPr>
            <w:r>
              <w:rPr>
                <w:rFonts w:ascii="Times New Roman" w:hAnsi="Times New Roman"/>
                <w:b w:val="0"/>
                <w:i w:val="0"/>
                <w:sz w:val="18"/>
              </w:rPr>
              <w:t>gpt-4o-mini</w:t>
            </w:r>
          </w:p>
        </w:tc>
        <w:tc>
          <w:tcPr>
            <w:tcW w:type="dxa" w:w="1587"/>
            <w:shd w:val="clear" w:color="auto" w:fill="F7F7F7"/>
          </w:tcPr>
          <w:p>
            <w:pPr>
              <w:spacing w:before="60" w:after="60" w:line="260" w:lineRule="exact"/>
              <w:jc w:val="left"/>
            </w:pPr>
            <w:r>
              <w:rPr>
                <w:rFonts w:ascii="Times New Roman" w:hAnsi="Times New Roman"/>
                <w:b w:val="0"/>
                <w:i w:val="0"/>
                <w:sz w:val="18"/>
              </w:rPr>
              <w:t>GitHub Models</w:t>
            </w:r>
          </w:p>
        </w:tc>
        <w:tc>
          <w:tcPr>
            <w:tcW w:type="dxa" w:w="3515"/>
            <w:shd w:val="clear" w:color="auto" w:fill="F7F7F7"/>
          </w:tcPr>
          <w:p>
            <w:pPr>
              <w:spacing w:before="60" w:after="60" w:line="260" w:lineRule="exact"/>
              <w:jc w:val="left"/>
            </w:pPr>
            <w:r>
              <w:rPr>
                <w:rFonts w:ascii="Times New Roman" w:hAnsi="Times New Roman"/>
                <w:b w:val="0"/>
                <w:i w:val="0"/>
                <w:sz w:val="18"/>
              </w:rPr>
              <w:t>Targeted repairs from reviewer feedback</w:t>
            </w:r>
          </w:p>
        </w:tc>
      </w:tr>
      <w:tr>
        <w:tc>
          <w:tcPr>
            <w:tcW w:type="dxa" w:w="1984"/>
          </w:tcPr>
          <w:p>
            <w:pPr>
              <w:spacing w:before="60" w:after="60" w:line="260" w:lineRule="exact"/>
              <w:jc w:val="left"/>
            </w:pPr>
            <w:r>
              <w:rPr>
                <w:rFonts w:ascii="Times New Roman" w:hAnsi="Times New Roman"/>
                <w:b w:val="0"/>
                <w:i w:val="0"/>
                <w:sz w:val="18"/>
              </w:rPr>
              <w:t>Polisher</w:t>
            </w:r>
          </w:p>
        </w:tc>
        <w:tc>
          <w:tcPr>
            <w:tcW w:type="dxa" w:w="1701"/>
          </w:tcPr>
          <w:p>
            <w:pPr>
              <w:spacing w:before="60" w:after="60" w:line="260" w:lineRule="exact"/>
              <w:jc w:val="left"/>
            </w:pPr>
            <w:r>
              <w:rPr>
                <w:rFonts w:ascii="Times New Roman" w:hAnsi="Times New Roman"/>
                <w:b w:val="0"/>
                <w:i w:val="0"/>
                <w:sz w:val="18"/>
              </w:rPr>
              <w:t>Phi-4</w:t>
            </w:r>
          </w:p>
        </w:tc>
        <w:tc>
          <w:tcPr>
            <w:tcW w:type="dxa" w:w="1587"/>
          </w:tcPr>
          <w:p>
            <w:pPr>
              <w:spacing w:before="60" w:after="60" w:line="260" w:lineRule="exact"/>
              <w:jc w:val="left"/>
            </w:pPr>
            <w:r>
              <w:rPr>
                <w:rFonts w:ascii="Times New Roman" w:hAnsi="Times New Roman"/>
                <w:b w:val="0"/>
                <w:i w:val="0"/>
                <w:sz w:val="18"/>
              </w:rPr>
              <w:t>GitHub Models</w:t>
            </w:r>
          </w:p>
        </w:tc>
        <w:tc>
          <w:tcPr>
            <w:tcW w:type="dxa" w:w="3515"/>
          </w:tcPr>
          <w:p>
            <w:pPr>
              <w:spacing w:before="60" w:after="60" w:line="260" w:lineRule="exact"/>
              <w:jc w:val="left"/>
            </w:pPr>
            <w:r>
              <w:rPr>
                <w:rFonts w:ascii="Times New Roman" w:hAnsi="Times New Roman"/>
                <w:b w:val="0"/>
                <w:i w:val="0"/>
                <w:sz w:val="18"/>
              </w:rPr>
              <w:t>Final UX pass with rollback protection</w:t>
            </w:r>
          </w:p>
        </w:tc>
      </w:tr>
      <w:tr>
        <w:tc>
          <w:tcPr>
            <w:tcW w:type="dxa" w:w="1984"/>
            <w:shd w:val="clear" w:color="auto" w:fill="F7F7F7"/>
          </w:tcPr>
          <w:p>
            <w:pPr>
              <w:spacing w:before="60" w:after="60" w:line="260" w:lineRule="exact"/>
              <w:jc w:val="left"/>
            </w:pPr>
            <w:r>
              <w:rPr>
                <w:rFonts w:ascii="Times New Roman" w:hAnsi="Times New Roman"/>
                <w:b w:val="0"/>
                <w:i w:val="0"/>
                <w:sz w:val="18"/>
              </w:rPr>
              <w:t>QA Tester / Fixer</w:t>
            </w:r>
          </w:p>
        </w:tc>
        <w:tc>
          <w:tcPr>
            <w:tcW w:type="dxa" w:w="1701"/>
            <w:shd w:val="clear" w:color="auto" w:fill="F7F7F7"/>
          </w:tcPr>
          <w:p>
            <w:pPr>
              <w:spacing w:before="60" w:after="60" w:line="260" w:lineRule="exact"/>
              <w:jc w:val="left"/>
            </w:pPr>
            <w:r>
              <w:rPr>
                <w:rFonts w:ascii="Times New Roman" w:hAnsi="Times New Roman"/>
                <w:b w:val="0"/>
                <w:i w:val="0"/>
                <w:sz w:val="18"/>
              </w:rPr>
              <w:t>gpt-4o / Gemini</w:t>
            </w:r>
          </w:p>
        </w:tc>
        <w:tc>
          <w:tcPr>
            <w:tcW w:type="dxa" w:w="1587"/>
            <w:shd w:val="clear" w:color="auto" w:fill="F7F7F7"/>
          </w:tcPr>
          <w:p>
            <w:pPr>
              <w:spacing w:before="60" w:after="60" w:line="260" w:lineRule="exact"/>
              <w:jc w:val="left"/>
            </w:pPr>
            <w:r>
              <w:rPr>
                <w:rFonts w:ascii="Times New Roman" w:hAnsi="Times New Roman"/>
                <w:b w:val="0"/>
                <w:i w:val="0"/>
                <w:sz w:val="18"/>
              </w:rPr>
              <w:t>GH / Google</w:t>
            </w:r>
          </w:p>
        </w:tc>
        <w:tc>
          <w:tcPr>
            <w:tcW w:type="dxa" w:w="3515"/>
            <w:shd w:val="clear" w:color="auto" w:fill="F7F7F7"/>
          </w:tcPr>
          <w:p>
            <w:pPr>
              <w:spacing w:before="60" w:after="60" w:line="260" w:lineRule="exact"/>
              <w:jc w:val="left"/>
            </w:pPr>
            <w:r>
              <w:rPr>
                <w:rFonts w:ascii="Times New Roman" w:hAnsi="Times New Roman"/>
                <w:b w:val="0"/>
                <w:i w:val="0"/>
                <w:sz w:val="18"/>
              </w:rPr>
              <w:t>Mechanical verification + structured verdict</w:t>
            </w:r>
          </w:p>
        </w:tc>
      </w:tr>
    </w:tbl>
    <w:p>
      <w:pPr>
        <w:spacing w:before="0" w:after="80" w:line="280" w:lineRule="exact"/>
        <w:jc w:val="both"/>
      </w:pPr>
    </w:p>
    <w:p>
      <w:pPr>
        <w:spacing w:before="120" w:after="0" w:line="280" w:lineRule="exact"/>
        <w:jc w:val="center"/>
      </w:pPr>
      <w:r>
        <w:drawing>
          <wp:inline xmlns:a="http://schemas.openxmlformats.org/drawingml/2006/main" xmlns:pic="http://schemas.openxmlformats.org/drawingml/2006/picture">
            <wp:extent cx="5731200" cy="354955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31200" cy="3549552"/>
                    </a:xfrm>
                    <a:prstGeom prst="rect"/>
                  </pic:spPr>
                </pic:pic>
              </a:graphicData>
            </a:graphic>
          </wp:inline>
        </w:drawing>
      </w:r>
    </w:p>
    <w:p>
      <w:pPr>
        <w:spacing w:before="80" w:after="160" w:line="280" w:lineRule="exact"/>
        <w:jc w:val="center"/>
      </w:pPr>
      <w:r>
        <w:rPr>
          <w:rFonts w:ascii="Times New Roman" w:hAnsi="Times New Roman"/>
          <w:i/>
          <w:sz w:val="18"/>
        </w:rPr>
        <w:t>Fig. 1. Full system architecture, agent layers, data flows, and the memory feedback loop connecting the Publish layer back to the Executive layer.</w:t>
      </w:r>
    </w:p>
    <w:p>
      <w:pPr>
        <w:spacing w:before="200" w:after="60" w:line="280" w:lineRule="exact"/>
        <w:jc w:val="left"/>
      </w:pPr>
      <w:r>
        <w:rPr>
          <w:rFonts w:ascii="Times New Roman" w:hAnsi="Times New Roman"/>
          <w:b/>
          <w:i/>
          <w:sz w:val="20"/>
        </w:rPr>
        <w:t>C. Pipeline Stages</w:t>
      </w:r>
    </w:p>
    <w:p>
      <w:pPr>
        <w:spacing w:before="0" w:after="120" w:line="280" w:lineRule="exact"/>
        <w:jc w:val="both"/>
      </w:pPr>
      <w:r>
        <w:rPr>
          <w:rFonts w:ascii="Times New Roman" w:hAnsi="Times New Roman"/>
          <w:b w:val="0"/>
          <w:i w:val="0"/>
          <w:sz w:val="20"/>
        </w:rPr>
        <w:t>Each build traverses eight stages, illustrated in Fig. 2. The first stage (Architect Conference) carries the highest rejection rate: the downstream validator checks complexity floor, file count, pattern rotation, domain rotation, type diversity, type ban status, and novel concept requirements before any candidate advances. Of the total refused builds, approximately 30% were rejected at this stage; the remainder reached implementation and were refused by the mechanical verification or LLM QA gate.</w:t>
      </w:r>
    </w:p>
    <w:p>
      <w:pPr>
        <w:spacing w:before="120" w:after="0" w:line="280" w:lineRule="exact"/>
        <w:jc w:val="center"/>
      </w:pPr>
      <w:r>
        <w:drawing>
          <wp:inline xmlns:a="http://schemas.openxmlformats.org/drawingml/2006/main" xmlns:pic="http://schemas.openxmlformats.org/drawingml/2006/picture">
            <wp:extent cx="5731200" cy="121732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31200" cy="1217325"/>
                    </a:xfrm>
                    <a:prstGeom prst="rect"/>
                  </pic:spPr>
                </pic:pic>
              </a:graphicData>
            </a:graphic>
          </wp:inline>
        </w:drawing>
      </w:r>
    </w:p>
    <w:p>
      <w:pPr>
        <w:spacing w:before="80" w:after="160" w:line="280" w:lineRule="exact"/>
        <w:jc w:val="center"/>
      </w:pPr>
      <w:r>
        <w:rPr>
          <w:rFonts w:ascii="Times New Roman" w:hAnsi="Times New Roman"/>
          <w:i/>
          <w:sz w:val="18"/>
        </w:rPr>
        <w:t>Fig. 2. Pipeline stage flow. The dashed arrow beneath the stages denotes the memory feedback loop: every refused build is appended to memory_log.json and read by the CEO on its next review cycle.</w:t>
      </w:r>
    </w:p>
    <w:p>
      <w:pPr>
        <w:spacing w:before="200" w:after="60" w:line="280" w:lineRule="exact"/>
        <w:jc w:val="left"/>
      </w:pPr>
      <w:r>
        <w:rPr>
          <w:rFonts w:ascii="Times New Roman" w:hAnsi="Times New Roman"/>
          <w:b/>
          <w:i/>
          <w:sz w:val="20"/>
        </w:rPr>
        <w:t>D. Project Types</w:t>
      </w:r>
    </w:p>
    <w:p>
      <w:pPr>
        <w:spacing w:before="0" w:after="120" w:line="280" w:lineRule="exact"/>
        <w:jc w:val="both"/>
      </w:pPr>
      <w:r>
        <w:rPr>
          <w:rFonts w:ascii="Times New Roman" w:hAnsi="Times New Roman"/>
          <w:b w:val="0"/>
          <w:i w:val="0"/>
          <w:sz w:val="20"/>
        </w:rPr>
        <w:t xml:space="preserve">The </w:t>
      </w:r>
      <w:r>
        <w:rPr>
          <w:rFonts w:ascii="Times New Roman" w:hAnsi="Times New Roman"/>
          <w:b w:val="0"/>
          <w:i/>
          <w:sz w:val="20"/>
        </w:rPr>
        <w:t>Project Evolution</w:t>
      </w:r>
      <w:r>
        <w:rPr>
          <w:rFonts w:ascii="Times New Roman" w:hAnsi="Times New Roman"/>
          <w:b w:val="0"/>
          <w:i w:val="0"/>
          <w:sz w:val="20"/>
        </w:rPr>
        <w:t xml:space="preserve"> mandate expanded the system from a single web-application type to ten distinct project types, each with a dedicated verifier strategy. A key design constraint is that every type, including Python tools and compiled CLI tools, must produce an </w:t>
      </w:r>
      <w:r>
        <w:rPr>
          <w:rFonts w:ascii="Times New Roman" w:hAnsi="Times New Roman"/>
          <w:b w:val="0"/>
          <w:i/>
          <w:sz w:val="20"/>
        </w:rPr>
        <w:t>index.html</w:t>
      </w:r>
      <w:r>
        <w:rPr>
          <w:rFonts w:ascii="Times New Roman" w:hAnsi="Times New Roman"/>
          <w:b w:val="0"/>
          <w:i w:val="0"/>
          <w:sz w:val="20"/>
        </w:rPr>
        <w:t xml:space="preserve"> at the repository root for GitHub Pages hosting, ensuring every project in the public dashboard has a one-click live demo.</w:t>
      </w:r>
    </w:p>
    <w:p>
      <w:pPr>
        <w:spacing w:before="200" w:after="80" w:line="280" w:lineRule="exact"/>
        <w:jc w:val="center"/>
      </w:pPr>
      <w:r>
        <w:rPr>
          <w:rFonts w:ascii="Times New Roman" w:hAnsi="Times New Roman"/>
          <w:b/>
          <w:sz w:val="18"/>
        </w:rPr>
        <w:t>TABLE III. Project Types, Output Formats, Verifiers, and Complexity Ceilings</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2256"/>
        <w:gridCol w:w="2256"/>
        <w:gridCol w:w="2256"/>
        <w:gridCol w:w="2256"/>
      </w:tblGrid>
      <w:tr>
        <w:tc>
          <w:tcPr>
            <w:tcW w:type="dxa" w:w="1701"/>
          </w:tcPr>
          <w:p>
            <w:pPr>
              <w:spacing w:before="60" w:after="60" w:line="260" w:lineRule="exact"/>
              <w:jc w:val="left"/>
            </w:pPr>
            <w:r>
              <w:rPr>
                <w:rFonts w:ascii="Times New Roman" w:hAnsi="Times New Roman"/>
                <w:b/>
                <w:i w:val="0"/>
                <w:sz w:val="18"/>
              </w:rPr>
              <w:t>Type</w:t>
            </w:r>
          </w:p>
        </w:tc>
        <w:tc>
          <w:tcPr>
            <w:tcW w:type="dxa" w:w="2268"/>
          </w:tcPr>
          <w:p>
            <w:pPr>
              <w:spacing w:before="60" w:after="60" w:line="260" w:lineRule="exact"/>
              <w:jc w:val="left"/>
            </w:pPr>
            <w:r>
              <w:rPr>
                <w:rFonts w:ascii="Times New Roman" w:hAnsi="Times New Roman"/>
                <w:b/>
                <w:i w:val="0"/>
                <w:sz w:val="18"/>
              </w:rPr>
              <w:t>Output</w:t>
            </w:r>
          </w:p>
        </w:tc>
        <w:tc>
          <w:tcPr>
            <w:tcW w:type="dxa" w:w="1984"/>
          </w:tcPr>
          <w:p>
            <w:pPr>
              <w:spacing w:before="60" w:after="60" w:line="260" w:lineRule="exact"/>
              <w:jc w:val="left"/>
            </w:pPr>
            <w:r>
              <w:rPr>
                <w:rFonts w:ascii="Times New Roman" w:hAnsi="Times New Roman"/>
                <w:b/>
                <w:i w:val="0"/>
                <w:sz w:val="18"/>
              </w:rPr>
              <w:t>Verifier</w:t>
            </w:r>
          </w:p>
        </w:tc>
        <w:tc>
          <w:tcPr>
            <w:tcW w:type="dxa" w:w="1701"/>
          </w:tcPr>
          <w:p>
            <w:pPr>
              <w:spacing w:before="60" w:after="60" w:line="260" w:lineRule="exact"/>
              <w:jc w:val="left"/>
            </w:pPr>
            <w:r>
              <w:rPr>
                <w:rFonts w:ascii="Times New Roman" w:hAnsi="Times New Roman"/>
                <w:b/>
                <w:i w:val="0"/>
                <w:sz w:val="18"/>
              </w:rPr>
              <w:t>Complexity Ceiling</w:t>
            </w:r>
          </w:p>
        </w:tc>
      </w:tr>
      <w:tr>
        <w:tc>
          <w:tcPr>
            <w:tcW w:type="dxa" w:w="1701"/>
          </w:tcPr>
          <w:p>
            <w:pPr>
              <w:spacing w:before="60" w:after="60" w:line="260" w:lineRule="exact"/>
              <w:jc w:val="left"/>
            </w:pPr>
            <w:r>
              <w:rPr>
                <w:rFonts w:ascii="Times New Roman" w:hAnsi="Times New Roman"/>
                <w:b w:val="0"/>
                <w:i w:val="0"/>
                <w:sz w:val="18"/>
              </w:rPr>
              <w:t>web_interactive</w:t>
            </w:r>
          </w:p>
        </w:tc>
        <w:tc>
          <w:tcPr>
            <w:tcW w:type="dxa" w:w="2268"/>
          </w:tcPr>
          <w:p>
            <w:pPr>
              <w:spacing w:before="60" w:after="60" w:line="260" w:lineRule="exact"/>
              <w:jc w:val="left"/>
            </w:pPr>
            <w:r>
              <w:rPr>
                <w:rFonts w:ascii="Times New Roman" w:hAnsi="Times New Roman"/>
                <w:b w:val="0"/>
                <w:i w:val="0"/>
                <w:sz w:val="18"/>
              </w:rPr>
              <w:t>HTML + JS + Canvas</w:t>
            </w:r>
          </w:p>
        </w:tc>
        <w:tc>
          <w:tcPr>
            <w:tcW w:type="dxa" w:w="1984"/>
          </w:tcPr>
          <w:p>
            <w:pPr>
              <w:spacing w:before="60" w:after="60" w:line="260" w:lineRule="exact"/>
              <w:jc w:val="left"/>
            </w:pPr>
            <w:r>
              <w:rPr>
                <w:rFonts w:ascii="Times New Roman" w:hAnsi="Times New Roman"/>
                <w:b w:val="0"/>
                <w:i w:val="0"/>
                <w:sz w:val="18"/>
              </w:rPr>
              <w:t>Playwright</w:t>
            </w:r>
          </w:p>
        </w:tc>
        <w:tc>
          <w:tcPr>
            <w:tcW w:type="dxa" w:w="1701"/>
          </w:tcPr>
          <w:p>
            <w:pPr>
              <w:spacing w:before="60" w:after="60" w:line="260" w:lineRule="exact"/>
              <w:jc w:val="left"/>
            </w:pPr>
            <w:r>
              <w:rPr>
                <w:rFonts w:ascii="Times New Roman" w:hAnsi="Times New Roman"/>
                <w:b w:val="0"/>
                <w:i w:val="0"/>
                <w:sz w:val="18"/>
              </w:rPr>
              <w:t>80</w:t>
            </w:r>
          </w:p>
        </w:tc>
      </w:tr>
      <w:tr>
        <w:tc>
          <w:tcPr>
            <w:tcW w:type="dxa" w:w="1701"/>
            <w:shd w:val="clear" w:color="auto" w:fill="F7F7F7"/>
          </w:tcPr>
          <w:p>
            <w:pPr>
              <w:spacing w:before="60" w:after="60" w:line="260" w:lineRule="exact"/>
              <w:jc w:val="left"/>
            </w:pPr>
            <w:r>
              <w:rPr>
                <w:rFonts w:ascii="Times New Roman" w:hAnsi="Times New Roman"/>
                <w:b w:val="0"/>
                <w:i w:val="0"/>
                <w:sz w:val="18"/>
              </w:rPr>
              <w:t>game_web</w:t>
            </w:r>
          </w:p>
        </w:tc>
        <w:tc>
          <w:tcPr>
            <w:tcW w:type="dxa" w:w="2268"/>
            <w:shd w:val="clear" w:color="auto" w:fill="F7F7F7"/>
          </w:tcPr>
          <w:p>
            <w:pPr>
              <w:spacing w:before="60" w:after="60" w:line="260" w:lineRule="exact"/>
              <w:jc w:val="left"/>
            </w:pPr>
            <w:r>
              <w:rPr>
                <w:rFonts w:ascii="Times New Roman" w:hAnsi="Times New Roman"/>
                <w:b w:val="0"/>
                <w:i w:val="0"/>
                <w:sz w:val="18"/>
              </w:rPr>
              <w:t>Browser game with state</w:t>
            </w:r>
          </w:p>
        </w:tc>
        <w:tc>
          <w:tcPr>
            <w:tcW w:type="dxa" w:w="1984"/>
            <w:shd w:val="clear" w:color="auto" w:fill="F7F7F7"/>
          </w:tcPr>
          <w:p>
            <w:pPr>
              <w:spacing w:before="60" w:after="60" w:line="260" w:lineRule="exact"/>
              <w:jc w:val="left"/>
            </w:pPr>
            <w:r>
              <w:rPr>
                <w:rFonts w:ascii="Times New Roman" w:hAnsi="Times New Roman"/>
                <w:b w:val="0"/>
                <w:i w:val="0"/>
                <w:sz w:val="18"/>
              </w:rPr>
              <w:t>Playwright</w:t>
            </w:r>
          </w:p>
        </w:tc>
        <w:tc>
          <w:tcPr>
            <w:tcW w:type="dxa" w:w="1701"/>
            <w:shd w:val="clear" w:color="auto" w:fill="F7F7F7"/>
          </w:tcPr>
          <w:p>
            <w:pPr>
              <w:spacing w:before="60" w:after="60" w:line="260" w:lineRule="exact"/>
              <w:jc w:val="left"/>
            </w:pPr>
            <w:r>
              <w:rPr>
                <w:rFonts w:ascii="Times New Roman" w:hAnsi="Times New Roman"/>
                <w:b w:val="0"/>
                <w:i w:val="0"/>
                <w:sz w:val="18"/>
              </w:rPr>
              <w:t>90</w:t>
            </w:r>
          </w:p>
        </w:tc>
      </w:tr>
      <w:tr>
        <w:tc>
          <w:tcPr>
            <w:tcW w:type="dxa" w:w="1701"/>
          </w:tcPr>
          <w:p>
            <w:pPr>
              <w:spacing w:before="60" w:after="60" w:line="260" w:lineRule="exact"/>
              <w:jc w:val="left"/>
            </w:pPr>
            <w:r>
              <w:rPr>
                <w:rFonts w:ascii="Times New Roman" w:hAnsi="Times New Roman"/>
                <w:b w:val="0"/>
                <w:i w:val="0"/>
                <w:sz w:val="18"/>
              </w:rPr>
              <w:t>web_3d</w:t>
            </w:r>
          </w:p>
        </w:tc>
        <w:tc>
          <w:tcPr>
            <w:tcW w:type="dxa" w:w="2268"/>
          </w:tcPr>
          <w:p>
            <w:pPr>
              <w:spacing w:before="60" w:after="60" w:line="260" w:lineRule="exact"/>
              <w:jc w:val="left"/>
            </w:pPr>
            <w:r>
              <w:rPr>
                <w:rFonts w:ascii="Times New Roman" w:hAnsi="Times New Roman"/>
                <w:b w:val="0"/>
                <w:i w:val="0"/>
                <w:sz w:val="18"/>
              </w:rPr>
              <w:t>Three.js / WebGL scene</w:t>
            </w:r>
          </w:p>
        </w:tc>
        <w:tc>
          <w:tcPr>
            <w:tcW w:type="dxa" w:w="1984"/>
          </w:tcPr>
          <w:p>
            <w:pPr>
              <w:spacing w:before="60" w:after="60" w:line="260" w:lineRule="exact"/>
              <w:jc w:val="left"/>
            </w:pPr>
            <w:r>
              <w:rPr>
                <w:rFonts w:ascii="Times New Roman" w:hAnsi="Times New Roman"/>
                <w:b w:val="0"/>
                <w:i w:val="0"/>
                <w:sz w:val="18"/>
              </w:rPr>
              <w:t>Playwright</w:t>
            </w:r>
          </w:p>
        </w:tc>
        <w:tc>
          <w:tcPr>
            <w:tcW w:type="dxa" w:w="1701"/>
          </w:tcPr>
          <w:p>
            <w:pPr>
              <w:spacing w:before="60" w:after="60" w:line="260" w:lineRule="exact"/>
              <w:jc w:val="left"/>
            </w:pPr>
            <w:r>
              <w:rPr>
                <w:rFonts w:ascii="Times New Roman" w:hAnsi="Times New Roman"/>
                <w:b w:val="0"/>
                <w:i w:val="0"/>
                <w:sz w:val="18"/>
              </w:rPr>
              <w:t>90</w:t>
            </w:r>
          </w:p>
        </w:tc>
      </w:tr>
      <w:tr>
        <w:tc>
          <w:tcPr>
            <w:tcW w:type="dxa" w:w="1701"/>
            <w:shd w:val="clear" w:color="auto" w:fill="F7F7F7"/>
          </w:tcPr>
          <w:p>
            <w:pPr>
              <w:spacing w:before="60" w:after="60" w:line="260" w:lineRule="exact"/>
              <w:jc w:val="left"/>
            </w:pPr>
            <w:r>
              <w:rPr>
                <w:rFonts w:ascii="Times New Roman" w:hAnsi="Times New Roman"/>
                <w:b w:val="0"/>
                <w:i w:val="0"/>
                <w:sz w:val="18"/>
              </w:rPr>
              <w:t>generative_art</w:t>
            </w:r>
          </w:p>
        </w:tc>
        <w:tc>
          <w:tcPr>
            <w:tcW w:type="dxa" w:w="2268"/>
            <w:shd w:val="clear" w:color="auto" w:fill="F7F7F7"/>
          </w:tcPr>
          <w:p>
            <w:pPr>
              <w:spacing w:before="60" w:after="60" w:line="260" w:lineRule="exact"/>
              <w:jc w:val="left"/>
            </w:pPr>
            <w:r>
              <w:rPr>
                <w:rFonts w:ascii="Times New Roman" w:hAnsi="Times New Roman"/>
                <w:b w:val="0"/>
                <w:i w:val="0"/>
                <w:sz w:val="18"/>
              </w:rPr>
              <w:t>Visual output (SVG/canvas)</w:t>
            </w:r>
          </w:p>
        </w:tc>
        <w:tc>
          <w:tcPr>
            <w:tcW w:type="dxa" w:w="1984"/>
            <w:shd w:val="clear" w:color="auto" w:fill="F7F7F7"/>
          </w:tcPr>
          <w:p>
            <w:pPr>
              <w:spacing w:before="60" w:after="60" w:line="260" w:lineRule="exact"/>
              <w:jc w:val="left"/>
            </w:pPr>
            <w:r>
              <w:rPr>
                <w:rFonts w:ascii="Times New Roman" w:hAnsi="Times New Roman"/>
                <w:b w:val="0"/>
                <w:i w:val="0"/>
                <w:sz w:val="18"/>
              </w:rPr>
              <w:t>Playwright</w:t>
            </w:r>
          </w:p>
        </w:tc>
        <w:tc>
          <w:tcPr>
            <w:tcW w:type="dxa" w:w="1701"/>
            <w:shd w:val="clear" w:color="auto" w:fill="F7F7F7"/>
          </w:tcPr>
          <w:p>
            <w:pPr>
              <w:spacing w:before="60" w:after="60" w:line="260" w:lineRule="exact"/>
              <w:jc w:val="left"/>
            </w:pPr>
            <w:r>
              <w:rPr>
                <w:rFonts w:ascii="Times New Roman" w:hAnsi="Times New Roman"/>
                <w:b w:val="0"/>
                <w:i w:val="0"/>
                <w:sz w:val="18"/>
              </w:rPr>
              <w:t>80</w:t>
            </w:r>
          </w:p>
        </w:tc>
      </w:tr>
      <w:tr>
        <w:tc>
          <w:tcPr>
            <w:tcW w:type="dxa" w:w="1701"/>
          </w:tcPr>
          <w:p>
            <w:pPr>
              <w:spacing w:before="60" w:after="60" w:line="260" w:lineRule="exact"/>
              <w:jc w:val="left"/>
            </w:pPr>
            <w:r>
              <w:rPr>
                <w:rFonts w:ascii="Times New Roman" w:hAnsi="Times New Roman"/>
                <w:b w:val="0"/>
                <w:i w:val="0"/>
                <w:sz w:val="18"/>
              </w:rPr>
              <w:t>shader_art</w:t>
            </w:r>
          </w:p>
        </w:tc>
        <w:tc>
          <w:tcPr>
            <w:tcW w:type="dxa" w:w="2268"/>
          </w:tcPr>
          <w:p>
            <w:pPr>
              <w:spacing w:before="60" w:after="60" w:line="260" w:lineRule="exact"/>
              <w:jc w:val="left"/>
            </w:pPr>
            <w:r>
              <w:rPr>
                <w:rFonts w:ascii="Times New Roman" w:hAnsi="Times New Roman"/>
                <w:b w:val="0"/>
                <w:i w:val="0"/>
                <w:sz w:val="18"/>
              </w:rPr>
              <w:t>GLSL fragment shader</w:t>
            </w:r>
          </w:p>
        </w:tc>
        <w:tc>
          <w:tcPr>
            <w:tcW w:type="dxa" w:w="1984"/>
          </w:tcPr>
          <w:p>
            <w:pPr>
              <w:spacing w:before="60" w:after="60" w:line="260" w:lineRule="exact"/>
              <w:jc w:val="left"/>
            </w:pPr>
            <w:r>
              <w:rPr>
                <w:rFonts w:ascii="Times New Roman" w:hAnsi="Times New Roman"/>
                <w:b w:val="0"/>
                <w:i w:val="0"/>
                <w:sz w:val="18"/>
              </w:rPr>
              <w:t>Playwright (WebGL)</w:t>
            </w:r>
          </w:p>
        </w:tc>
        <w:tc>
          <w:tcPr>
            <w:tcW w:type="dxa" w:w="1701"/>
          </w:tcPr>
          <w:p>
            <w:pPr>
              <w:spacing w:before="60" w:after="60" w:line="260" w:lineRule="exact"/>
              <w:jc w:val="left"/>
            </w:pPr>
            <w:r>
              <w:rPr>
                <w:rFonts w:ascii="Times New Roman" w:hAnsi="Times New Roman"/>
                <w:b w:val="0"/>
                <w:i w:val="0"/>
                <w:sz w:val="18"/>
              </w:rPr>
              <w:t>80</w:t>
            </w:r>
          </w:p>
        </w:tc>
      </w:tr>
      <w:tr>
        <w:tc>
          <w:tcPr>
            <w:tcW w:type="dxa" w:w="1701"/>
            <w:shd w:val="clear" w:color="auto" w:fill="F7F7F7"/>
          </w:tcPr>
          <w:p>
            <w:pPr>
              <w:spacing w:before="60" w:after="60" w:line="260" w:lineRule="exact"/>
              <w:jc w:val="left"/>
            </w:pPr>
            <w:r>
              <w:rPr>
                <w:rFonts w:ascii="Times New Roman" w:hAnsi="Times New Roman"/>
                <w:b w:val="0"/>
                <w:i w:val="0"/>
                <w:sz w:val="18"/>
              </w:rPr>
              <w:t>python_tool</w:t>
            </w:r>
          </w:p>
        </w:tc>
        <w:tc>
          <w:tcPr>
            <w:tcW w:type="dxa" w:w="2268"/>
            <w:shd w:val="clear" w:color="auto" w:fill="F7F7F7"/>
          </w:tcPr>
          <w:p>
            <w:pPr>
              <w:spacing w:before="60" w:after="60" w:line="260" w:lineRule="exact"/>
              <w:jc w:val="left"/>
            </w:pPr>
            <w:r>
              <w:rPr>
                <w:rFonts w:ascii="Times New Roman" w:hAnsi="Times New Roman"/>
                <w:b w:val="0"/>
                <w:i w:val="0"/>
                <w:sz w:val="18"/>
              </w:rPr>
              <w:t>Python program + JS demo</w:t>
            </w:r>
          </w:p>
        </w:tc>
        <w:tc>
          <w:tcPr>
            <w:tcW w:type="dxa" w:w="1984"/>
            <w:shd w:val="clear" w:color="auto" w:fill="F7F7F7"/>
          </w:tcPr>
          <w:p>
            <w:pPr>
              <w:spacing w:before="60" w:after="60" w:line="260" w:lineRule="exact"/>
              <w:jc w:val="left"/>
            </w:pPr>
            <w:r>
              <w:rPr>
                <w:rFonts w:ascii="Times New Roman" w:hAnsi="Times New Roman"/>
                <w:b w:val="0"/>
                <w:i w:val="0"/>
                <w:sz w:val="18"/>
              </w:rPr>
              <w:t>Subprocess exit</w:t>
            </w:r>
          </w:p>
        </w:tc>
        <w:tc>
          <w:tcPr>
            <w:tcW w:type="dxa" w:w="1701"/>
            <w:shd w:val="clear" w:color="auto" w:fill="F7F7F7"/>
          </w:tcPr>
          <w:p>
            <w:pPr>
              <w:spacing w:before="60" w:after="60" w:line="260" w:lineRule="exact"/>
              <w:jc w:val="left"/>
            </w:pPr>
            <w:r>
              <w:rPr>
                <w:rFonts w:ascii="Times New Roman" w:hAnsi="Times New Roman"/>
                <w:b w:val="0"/>
                <w:i w:val="0"/>
                <w:sz w:val="18"/>
              </w:rPr>
              <w:t>100</w:t>
            </w:r>
          </w:p>
        </w:tc>
      </w:tr>
      <w:tr>
        <w:tc>
          <w:tcPr>
            <w:tcW w:type="dxa" w:w="1701"/>
          </w:tcPr>
          <w:p>
            <w:pPr>
              <w:spacing w:before="60" w:after="60" w:line="260" w:lineRule="exact"/>
              <w:jc w:val="left"/>
            </w:pPr>
            <w:r>
              <w:rPr>
                <w:rFonts w:ascii="Times New Roman" w:hAnsi="Times New Roman"/>
                <w:b w:val="0"/>
                <w:i w:val="0"/>
                <w:sz w:val="18"/>
              </w:rPr>
              <w:t>data_viz</w:t>
            </w:r>
          </w:p>
        </w:tc>
        <w:tc>
          <w:tcPr>
            <w:tcW w:type="dxa" w:w="2268"/>
          </w:tcPr>
          <w:p>
            <w:pPr>
              <w:spacing w:before="60" w:after="60" w:line="260" w:lineRule="exact"/>
              <w:jc w:val="left"/>
            </w:pPr>
            <w:r>
              <w:rPr>
                <w:rFonts w:ascii="Times New Roman" w:hAnsi="Times New Roman"/>
                <w:b w:val="0"/>
                <w:i w:val="0"/>
                <w:sz w:val="18"/>
              </w:rPr>
              <w:t>Plotlib/Plotly + SVG embed</w:t>
            </w:r>
          </w:p>
        </w:tc>
        <w:tc>
          <w:tcPr>
            <w:tcW w:type="dxa" w:w="1984"/>
          </w:tcPr>
          <w:p>
            <w:pPr>
              <w:spacing w:before="60" w:after="60" w:line="260" w:lineRule="exact"/>
              <w:jc w:val="left"/>
            </w:pPr>
            <w:r>
              <w:rPr>
                <w:rFonts w:ascii="Times New Roman" w:hAnsi="Times New Roman"/>
                <w:b w:val="0"/>
                <w:i w:val="0"/>
                <w:sz w:val="18"/>
              </w:rPr>
              <w:t>Subprocess + file</w:t>
            </w:r>
          </w:p>
        </w:tc>
        <w:tc>
          <w:tcPr>
            <w:tcW w:type="dxa" w:w="1701"/>
          </w:tcPr>
          <w:p>
            <w:pPr>
              <w:spacing w:before="60" w:after="60" w:line="260" w:lineRule="exact"/>
              <w:jc w:val="left"/>
            </w:pPr>
            <w:r>
              <w:rPr>
                <w:rFonts w:ascii="Times New Roman" w:hAnsi="Times New Roman"/>
                <w:b w:val="0"/>
                <w:i w:val="0"/>
                <w:sz w:val="18"/>
              </w:rPr>
              <w:t>80</w:t>
            </w:r>
          </w:p>
        </w:tc>
      </w:tr>
      <w:tr>
        <w:tc>
          <w:tcPr>
            <w:tcW w:type="dxa" w:w="1701"/>
            <w:shd w:val="clear" w:color="auto" w:fill="F7F7F7"/>
          </w:tcPr>
          <w:p>
            <w:pPr>
              <w:spacing w:before="60" w:after="60" w:line="260" w:lineRule="exact"/>
              <w:jc w:val="left"/>
            </w:pPr>
            <w:r>
              <w:rPr>
                <w:rFonts w:ascii="Times New Roman" w:hAnsi="Times New Roman"/>
                <w:b w:val="0"/>
                <w:i w:val="0"/>
                <w:sz w:val="18"/>
              </w:rPr>
              <w:t>typescript_app</w:t>
            </w:r>
          </w:p>
        </w:tc>
        <w:tc>
          <w:tcPr>
            <w:tcW w:type="dxa" w:w="2268"/>
            <w:shd w:val="clear" w:color="auto" w:fill="F7F7F7"/>
          </w:tcPr>
          <w:p>
            <w:pPr>
              <w:spacing w:before="60" w:after="60" w:line="260" w:lineRule="exact"/>
              <w:jc w:val="left"/>
            </w:pPr>
            <w:r>
              <w:rPr>
                <w:rFonts w:ascii="Times New Roman" w:hAnsi="Times New Roman"/>
                <w:b w:val="0"/>
                <w:i w:val="0"/>
                <w:sz w:val="18"/>
              </w:rPr>
              <w:t>ES-module JS app (esm.sh)</w:t>
            </w:r>
          </w:p>
        </w:tc>
        <w:tc>
          <w:tcPr>
            <w:tcW w:type="dxa" w:w="1984"/>
            <w:shd w:val="clear" w:color="auto" w:fill="F7F7F7"/>
          </w:tcPr>
          <w:p>
            <w:pPr>
              <w:spacing w:before="60" w:after="60" w:line="260" w:lineRule="exact"/>
              <w:jc w:val="left"/>
            </w:pPr>
            <w:r>
              <w:rPr>
                <w:rFonts w:ascii="Times New Roman" w:hAnsi="Times New Roman"/>
                <w:b w:val="0"/>
                <w:i w:val="0"/>
                <w:sz w:val="18"/>
              </w:rPr>
              <w:t>Playwright</w:t>
            </w:r>
          </w:p>
        </w:tc>
        <w:tc>
          <w:tcPr>
            <w:tcW w:type="dxa" w:w="1701"/>
            <w:shd w:val="clear" w:color="auto" w:fill="F7F7F7"/>
          </w:tcPr>
          <w:p>
            <w:pPr>
              <w:spacing w:before="60" w:after="60" w:line="260" w:lineRule="exact"/>
              <w:jc w:val="left"/>
            </w:pPr>
            <w:r>
              <w:rPr>
                <w:rFonts w:ascii="Times New Roman" w:hAnsi="Times New Roman"/>
                <w:b w:val="0"/>
                <w:i w:val="0"/>
                <w:sz w:val="18"/>
              </w:rPr>
              <w:t>85</w:t>
            </w:r>
          </w:p>
        </w:tc>
      </w:tr>
      <w:tr>
        <w:tc>
          <w:tcPr>
            <w:tcW w:type="dxa" w:w="1701"/>
          </w:tcPr>
          <w:p>
            <w:pPr>
              <w:spacing w:before="60" w:after="60" w:line="260" w:lineRule="exact"/>
              <w:jc w:val="left"/>
            </w:pPr>
            <w:r>
              <w:rPr>
                <w:rFonts w:ascii="Times New Roman" w:hAnsi="Times New Roman"/>
                <w:b w:val="0"/>
                <w:i w:val="0"/>
                <w:sz w:val="18"/>
              </w:rPr>
              <w:t>document</w:t>
            </w:r>
          </w:p>
        </w:tc>
        <w:tc>
          <w:tcPr>
            <w:tcW w:type="dxa" w:w="2268"/>
          </w:tcPr>
          <w:p>
            <w:pPr>
              <w:spacing w:before="60" w:after="60" w:line="260" w:lineRule="exact"/>
              <w:jc w:val="left"/>
            </w:pPr>
            <w:r>
              <w:rPr>
                <w:rFonts w:ascii="Times New Roman" w:hAnsi="Times New Roman"/>
                <w:b w:val="0"/>
                <w:i w:val="0"/>
                <w:sz w:val="18"/>
              </w:rPr>
              <w:t>Markdown + styled HTML</w:t>
            </w:r>
          </w:p>
        </w:tc>
        <w:tc>
          <w:tcPr>
            <w:tcW w:type="dxa" w:w="1984"/>
          </w:tcPr>
          <w:p>
            <w:pPr>
              <w:spacing w:before="60" w:after="60" w:line="260" w:lineRule="exact"/>
              <w:jc w:val="left"/>
            </w:pPr>
            <w:r>
              <w:rPr>
                <w:rFonts w:ascii="Times New Roman" w:hAnsi="Times New Roman"/>
                <w:b w:val="0"/>
                <w:i w:val="0"/>
                <w:sz w:val="18"/>
              </w:rPr>
              <w:t>Structure check</w:t>
            </w:r>
          </w:p>
        </w:tc>
        <w:tc>
          <w:tcPr>
            <w:tcW w:type="dxa" w:w="1701"/>
          </w:tcPr>
          <w:p>
            <w:pPr>
              <w:spacing w:before="60" w:after="60" w:line="260" w:lineRule="exact"/>
              <w:jc w:val="left"/>
            </w:pPr>
            <w:r>
              <w:rPr>
                <w:rFonts w:ascii="Times New Roman" w:hAnsi="Times New Roman"/>
                <w:b w:val="0"/>
                <w:i w:val="0"/>
                <w:sz w:val="18"/>
              </w:rPr>
              <w:t>60</w:t>
            </w:r>
          </w:p>
        </w:tc>
      </w:tr>
      <w:tr>
        <w:tc>
          <w:tcPr>
            <w:tcW w:type="dxa" w:w="1701"/>
            <w:shd w:val="clear" w:color="auto" w:fill="F7F7F7"/>
          </w:tcPr>
          <w:p>
            <w:pPr>
              <w:spacing w:before="60" w:after="60" w:line="260" w:lineRule="exact"/>
              <w:jc w:val="left"/>
            </w:pPr>
            <w:r>
              <w:rPr>
                <w:rFonts w:ascii="Times New Roman" w:hAnsi="Times New Roman"/>
                <w:b w:val="0"/>
                <w:i w:val="0"/>
                <w:sz w:val="18"/>
              </w:rPr>
              <w:t>cli_tool</w:t>
            </w:r>
          </w:p>
        </w:tc>
        <w:tc>
          <w:tcPr>
            <w:tcW w:type="dxa" w:w="2268"/>
            <w:shd w:val="clear" w:color="auto" w:fill="F7F7F7"/>
          </w:tcPr>
          <w:p>
            <w:pPr>
              <w:spacing w:before="60" w:after="60" w:line="260" w:lineRule="exact"/>
              <w:jc w:val="left"/>
            </w:pPr>
            <w:r>
              <w:rPr>
                <w:rFonts w:ascii="Times New Roman" w:hAnsi="Times New Roman"/>
                <w:b w:val="0"/>
                <w:i w:val="0"/>
                <w:sz w:val="18"/>
              </w:rPr>
              <w:t>Rust/Go CLI + devcontainer</w:t>
            </w:r>
          </w:p>
        </w:tc>
        <w:tc>
          <w:tcPr>
            <w:tcW w:type="dxa" w:w="1984"/>
            <w:shd w:val="clear" w:color="auto" w:fill="F7F7F7"/>
          </w:tcPr>
          <w:p>
            <w:pPr>
              <w:spacing w:before="60" w:after="60" w:line="260" w:lineRule="exact"/>
              <w:jc w:val="left"/>
            </w:pPr>
            <w:r>
              <w:rPr>
                <w:rFonts w:ascii="Times New Roman" w:hAnsi="Times New Roman"/>
                <w:b w:val="0"/>
                <w:i w:val="0"/>
                <w:sz w:val="18"/>
              </w:rPr>
              <w:t>File check + Playwright</w:t>
            </w:r>
          </w:p>
        </w:tc>
        <w:tc>
          <w:tcPr>
            <w:tcW w:type="dxa" w:w="1701"/>
            <w:shd w:val="clear" w:color="auto" w:fill="F7F7F7"/>
          </w:tcPr>
          <w:p>
            <w:pPr>
              <w:spacing w:before="60" w:after="60" w:line="260" w:lineRule="exact"/>
              <w:jc w:val="left"/>
            </w:pPr>
            <w:r>
              <w:rPr>
                <w:rFonts w:ascii="Times New Roman" w:hAnsi="Times New Roman"/>
                <w:b w:val="0"/>
                <w:i w:val="0"/>
                <w:sz w:val="18"/>
              </w:rPr>
              <w:t>90</w:t>
            </w:r>
          </w:p>
        </w:tc>
      </w:tr>
    </w:tbl>
    <w:p>
      <w:pPr>
        <w:spacing w:before="0" w:after="80" w:line="280" w:lineRule="exact"/>
        <w:jc w:val="both"/>
      </w:pPr>
    </w:p>
    <w:p>
      <w:r>
        <w:br w:type="page"/>
      </w:r>
    </w:p>
    <w:p>
      <w:pPr>
        <w:spacing w:before="280" w:after="80" w:line="280" w:lineRule="exact"/>
        <w:jc w:val="center"/>
      </w:pPr>
      <w:r>
        <w:rPr>
          <w:rFonts w:ascii="Times New Roman" w:hAnsi="Times New Roman"/>
          <w:b/>
          <w:sz w:val="20"/>
        </w:rPr>
        <w:t>IV. Key Mechanisms</w:t>
      </w:r>
    </w:p>
    <w:p>
      <w:pPr>
        <w:spacing w:before="200" w:after="60" w:line="280" w:lineRule="exact"/>
        <w:jc w:val="left"/>
      </w:pPr>
      <w:r>
        <w:rPr>
          <w:rFonts w:ascii="Times New Roman" w:hAnsi="Times New Roman"/>
          <w:b/>
          <w:i/>
          <w:sz w:val="20"/>
        </w:rPr>
        <w:t>A. Complexity Escalation</w:t>
      </w:r>
    </w:p>
    <w:p>
      <w:pPr>
        <w:spacing w:before="0" w:after="120" w:line="280" w:lineRule="exact"/>
        <w:jc w:val="both"/>
      </w:pPr>
      <w:r>
        <w:rPr>
          <w:rFonts w:ascii="Times New Roman" w:hAnsi="Times New Roman"/>
          <w:b w:val="0"/>
          <w:i w:val="0"/>
          <w:sz w:val="20"/>
        </w:rPr>
        <w:t xml:space="preserve">Each candidate plan must exceed the maximum complexity score of all recent projects by at least one point. The scale is intentionally open-ended, no upper bound exists. In practice, architects consistently propose plans slightly above the floor (typically 1-3 points higher), producing a compounding escalation that was never explicitly directed. Over the observation period, complexity rose from 3 (initial projects) to 52. In </w:t>
      </w:r>
      <w:r>
        <w:rPr>
          <w:rFonts w:ascii="Times New Roman" w:hAnsi="Times New Roman"/>
          <w:b w:val="0"/>
          <w:i/>
          <w:sz w:val="20"/>
        </w:rPr>
        <w:t>recovery mode</w:t>
      </w:r>
      <w:r>
        <w:rPr>
          <w:rFonts w:ascii="Times New Roman" w:hAnsi="Times New Roman"/>
          <w:b w:val="0"/>
          <w:i w:val="0"/>
          <w:sz w:val="20"/>
        </w:rPr>
        <w:t>, triggered when three or more builds fail consecutively since the last successful ship, the floor is temporarily relaxed to ensure at least one project ships before ambition is raised again.</w:t>
      </w:r>
    </w:p>
    <w:p>
      <w:pPr>
        <w:spacing w:before="200" w:after="60" w:line="280" w:lineRule="exact"/>
        <w:jc w:val="left"/>
      </w:pPr>
      <w:r>
        <w:rPr>
          <w:rFonts w:ascii="Times New Roman" w:hAnsi="Times New Roman"/>
          <w:b/>
          <w:i/>
          <w:sz w:val="20"/>
        </w:rPr>
        <w:t>B. Type Diversity Enforcement</w:t>
      </w:r>
    </w:p>
    <w:p>
      <w:pPr>
        <w:spacing w:before="0" w:after="120" w:line="280" w:lineRule="exact"/>
        <w:jc w:val="both"/>
      </w:pPr>
      <w:r>
        <w:rPr>
          <w:rFonts w:ascii="Times New Roman" w:hAnsi="Times New Roman"/>
          <w:b w:val="0"/>
          <w:i w:val="0"/>
          <w:sz w:val="20"/>
        </w:rPr>
        <w:t xml:space="preserve">The type diversity engine imposes three constraints: (i) the same project_type may not be used in consecutive builds; (ii) each type has a complexity ceiling beyond which a new type must be chosen; (iii) a type ban activates after three consecutive failures of the same type since the last successful ship. Banned types are communicated to the CEO via a </w:t>
      </w:r>
      <w:r>
        <w:rPr>
          <w:rFonts w:ascii="Times New Roman" w:hAnsi="Times New Roman"/>
          <w:b w:val="0"/>
          <w:i/>
          <w:sz w:val="20"/>
        </w:rPr>
        <w:t>TYPE DIVERSITY REPORT</w:t>
      </w:r>
      <w:r>
        <w:rPr>
          <w:rFonts w:ascii="Times New Roman" w:hAnsi="Times New Roman"/>
          <w:b w:val="0"/>
          <w:i w:val="0"/>
          <w:sz w:val="20"/>
        </w:rPr>
        <w:t xml:space="preserve"> appended to every architect prompt. The CEO's prompt instructs it to avoid banned types and pivot to proven alternatives. This mechanism converted an 18-build stuck loop (web_3d, May 2026) into a single-build recovery after the ban activated.</w:t>
      </w:r>
    </w:p>
    <w:p>
      <w:pPr>
        <w:spacing w:before="200" w:after="60" w:line="280" w:lineRule="exact"/>
        <w:jc w:val="left"/>
      </w:pPr>
      <w:r>
        <w:rPr>
          <w:rFonts w:ascii="Times New Roman" w:hAnsi="Times New Roman"/>
          <w:b/>
          <w:i/>
          <w:sz w:val="20"/>
        </w:rPr>
        <w:t>C. Mechanical Verification</w:t>
      </w:r>
    </w:p>
    <w:p>
      <w:pPr>
        <w:spacing w:before="0" w:after="120" w:line="280" w:lineRule="exact"/>
        <w:jc w:val="both"/>
      </w:pPr>
      <w:r>
        <w:rPr>
          <w:rFonts w:ascii="Times New Roman" w:hAnsi="Times New Roman"/>
          <w:b w:val="0"/>
          <w:i w:val="0"/>
          <w:sz w:val="20"/>
        </w:rPr>
        <w:t>Playwright [4] drives a headless Chromium instance against a locally-served static copy of the project. The verifier checks: whether the page loads without crash; whether any canvas element has non-blank pixel content (sampled via getImageData); whether interactive controls produce observable state changes when triggered (DOM size, text content, canvas hash, localStorage, scroll position); and whether the browser console emits genuine errors, with known environmental artefacts (WebGL driver messages, autoplay policy hints, favicon 404s) filtered out.</w:t>
      </w:r>
    </w:p>
    <w:p>
      <w:pPr>
        <w:spacing w:before="0" w:after="120" w:line="280" w:lineRule="exact"/>
        <w:jc w:val="both"/>
      </w:pPr>
      <w:r>
        <w:rPr>
          <w:rFonts w:ascii="Times New Roman" w:hAnsi="Times New Roman"/>
          <w:b w:val="0"/>
          <w:i w:val="0"/>
          <w:sz w:val="20"/>
        </w:rPr>
        <w:t xml:space="preserve">A separate LLM QA Tester then reviews the Playwright output and assigns a structured verdict, </w:t>
      </w:r>
      <w:r>
        <w:rPr>
          <w:rFonts w:ascii="Times New Roman" w:hAnsi="Times New Roman"/>
          <w:b w:val="0"/>
          <w:i/>
          <w:sz w:val="20"/>
        </w:rPr>
        <w:t>shippable</w:t>
      </w:r>
      <w:r>
        <w:rPr>
          <w:rFonts w:ascii="Times New Roman" w:hAnsi="Times New Roman"/>
          <w:b w:val="0"/>
          <w:i w:val="0"/>
          <w:sz w:val="20"/>
        </w:rPr>
        <w:t xml:space="preserve">, </w:t>
      </w:r>
      <w:r>
        <w:rPr>
          <w:rFonts w:ascii="Times New Roman" w:hAnsi="Times New Roman"/>
          <w:b w:val="0"/>
          <w:i/>
          <w:sz w:val="20"/>
        </w:rPr>
        <w:t>partially_usable</w:t>
      </w:r>
      <w:r>
        <w:rPr>
          <w:rFonts w:ascii="Times New Roman" w:hAnsi="Times New Roman"/>
          <w:b w:val="0"/>
          <w:i w:val="0"/>
          <w:sz w:val="20"/>
        </w:rPr>
        <w:t xml:space="preserve">, or </w:t>
      </w:r>
      <w:r>
        <w:rPr>
          <w:rFonts w:ascii="Times New Roman" w:hAnsi="Times New Roman"/>
          <w:b w:val="0"/>
          <w:i/>
          <w:sz w:val="20"/>
        </w:rPr>
        <w:t>non_functional</w:t>
      </w:r>
      <w:r>
        <w:rPr>
          <w:rFonts w:ascii="Times New Roman" w:hAnsi="Times New Roman"/>
          <w:b w:val="0"/>
          <w:i w:val="0"/>
          <w:sz w:val="20"/>
        </w:rPr>
        <w:t>, with itemised lists of dead controls, missing features, and state-synchronisation issues. This combination catches disjoint failure classes: Playwright identifies blank renders and dead buttons; the LLM Tester identifies logical inconsistencies and incomplete feature implementations that pixel-level tests miss.</w:t>
      </w:r>
    </w:p>
    <w:p>
      <w:pPr>
        <w:spacing w:before="200" w:after="60" w:line="280" w:lineRule="exact"/>
        <w:jc w:val="left"/>
      </w:pPr>
      <w:r>
        <w:rPr>
          <w:rFonts w:ascii="Times New Roman" w:hAnsi="Times New Roman"/>
          <w:b/>
          <w:i/>
          <w:sz w:val="20"/>
        </w:rPr>
        <w:t>D. CTO Self-Improvement</w:t>
      </w:r>
    </w:p>
    <w:p>
      <w:pPr>
        <w:spacing w:before="0" w:after="120" w:line="280" w:lineRule="exact"/>
        <w:jc w:val="both"/>
      </w:pPr>
      <w:r>
        <w:rPr>
          <w:rFonts w:ascii="Times New Roman" w:hAnsi="Times New Roman"/>
          <w:b w:val="0"/>
          <w:i w:val="0"/>
          <w:sz w:val="20"/>
        </w:rPr>
        <w:t xml:space="preserve">After each CEO review cycle, </w:t>
      </w:r>
      <w:r>
        <w:rPr>
          <w:rFonts w:ascii="Times New Roman" w:hAnsi="Times New Roman"/>
          <w:b w:val="0"/>
          <w:i/>
          <w:sz w:val="20"/>
        </w:rPr>
        <w:t>self_improve.py</w:t>
      </w:r>
      <w:r>
        <w:rPr>
          <w:rFonts w:ascii="Times New Roman" w:hAnsi="Times New Roman"/>
          <w:b w:val="0"/>
          <w:i w:val="0"/>
          <w:sz w:val="20"/>
        </w:rPr>
        <w:t xml:space="preserve"> analyses the most recent 30 failed builds, extracts the relevant section of the pipeline source (staying within the 8,000-token API limit), and asks the CTO agent (Gemini 2.0 Flash) to propose one surgical </w:t>
      </w:r>
      <w:r>
        <w:rPr>
          <w:rFonts w:ascii="Courier New" w:hAnsi="Courier New"/>
          <w:b w:val="0"/>
          <w:i w:val="0"/>
          <w:sz w:val="20"/>
        </w:rPr>
        <w:t>old_string</w:t>
      </w:r>
      <w:r>
        <w:rPr>
          <w:rFonts w:ascii="Times New Roman" w:hAnsi="Times New Roman"/>
          <w:b w:val="0"/>
          <w:i w:val="0"/>
          <w:sz w:val="20"/>
        </w:rPr>
        <w:t xml:space="preserve"> / </w:t>
      </w:r>
      <w:r>
        <w:rPr>
          <w:rFonts w:ascii="Courier New" w:hAnsi="Courier New"/>
          <w:b w:val="0"/>
          <w:i w:val="0"/>
          <w:sz w:val="20"/>
        </w:rPr>
        <w:t>new_string</w:t>
      </w:r>
      <w:r>
        <w:rPr>
          <w:rFonts w:ascii="Times New Roman" w:hAnsi="Times New Roman"/>
          <w:b w:val="0"/>
          <w:i w:val="0"/>
          <w:sz w:val="20"/>
        </w:rPr>
        <w:t xml:space="preserve"> patch. The patch is validated with </w:t>
      </w:r>
      <w:r>
        <w:rPr>
          <w:rFonts w:ascii="Courier New" w:hAnsi="Courier New"/>
          <w:b w:val="0"/>
          <w:i w:val="0"/>
          <w:sz w:val="20"/>
        </w:rPr>
        <w:t>ast.parse()</w:t>
      </w:r>
      <w:r>
        <w:rPr>
          <w:rFonts w:ascii="Times New Roman" w:hAnsi="Times New Roman"/>
          <w:b w:val="0"/>
          <w:i w:val="0"/>
          <w:sz w:val="20"/>
        </w:rPr>
        <w:t>, committed, and logged. This creates a genuine self-modification loop: the pipeline reads its own source, patches it, and the next build runs the improved code automatically.</w:t>
      </w:r>
    </w:p>
    <w:p>
      <w:pPr>
        <w:spacing w:before="200" w:after="60" w:line="280" w:lineRule="exact"/>
        <w:jc w:val="left"/>
      </w:pPr>
      <w:r>
        <w:rPr>
          <w:rFonts w:ascii="Times New Roman" w:hAnsi="Times New Roman"/>
          <w:b/>
          <w:i/>
          <w:sz w:val="20"/>
        </w:rPr>
        <w:t>E. Watchdog Autonomy</w:t>
      </w:r>
    </w:p>
    <w:p>
      <w:pPr>
        <w:spacing w:before="0" w:after="120" w:line="280" w:lineRule="exact"/>
        <w:jc w:val="both"/>
      </w:pPr>
      <w:r>
        <w:rPr>
          <w:rFonts w:ascii="Times New Roman" w:hAnsi="Times New Roman"/>
          <w:b w:val="0"/>
          <w:i w:val="0"/>
          <w:sz w:val="20"/>
        </w:rPr>
        <w:t>A separate watchdog workflow runs every 30 minutes. It reads the memory log, verifies that fewer than five projects have shipped today, checks that at least five hours have elapsed since the last ship, confirms no build is currently running, and dispatches a new build if all conditions are met. A hard cap of eight dispatches per day prevents runaway token consumption on persistent failure streaks. This loop operates without any human trigger once the repository is configured.</w:t>
      </w:r>
    </w:p>
    <w:p>
      <w:pPr>
        <w:spacing w:before="280" w:after="80" w:line="280" w:lineRule="exact"/>
        <w:jc w:val="center"/>
      </w:pPr>
      <w:r>
        <w:rPr>
          <w:rFonts w:ascii="Times New Roman" w:hAnsi="Times New Roman"/>
          <w:b/>
          <w:sz w:val="20"/>
        </w:rPr>
        <w:t>V. Results and Evaluation</w:t>
      </w:r>
    </w:p>
    <w:p>
      <w:pPr>
        <w:spacing w:before="200" w:after="60" w:line="280" w:lineRule="exact"/>
        <w:jc w:val="left"/>
      </w:pPr>
      <w:r>
        <w:rPr>
          <w:rFonts w:ascii="Times New Roman" w:hAnsi="Times New Roman"/>
          <w:b/>
          <w:i/>
          <w:sz w:val="20"/>
        </w:rPr>
        <w:t>A. Overview</w:t>
      </w:r>
    </w:p>
    <w:p>
      <w:pPr>
        <w:spacing w:before="200" w:after="80" w:line="280" w:lineRule="exact"/>
        <w:jc w:val="center"/>
      </w:pPr>
      <w:r>
        <w:rPr>
          <w:rFonts w:ascii="Times New Roman" w:hAnsi="Times New Roman"/>
          <w:b/>
          <w:sz w:val="18"/>
        </w:rPr>
        <w:t>TABLE IV. Summary Statistics, 21-Day Observation Period</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4513"/>
        <w:gridCol w:w="4513"/>
      </w:tblGrid>
      <w:tr>
        <w:tc>
          <w:tcPr>
            <w:tcW w:type="dxa" w:w="4535"/>
          </w:tcPr>
          <w:p>
            <w:pPr>
              <w:spacing w:before="60" w:after="60" w:line="260" w:lineRule="exact"/>
              <w:jc w:val="left"/>
            </w:pPr>
            <w:r>
              <w:rPr>
                <w:rFonts w:ascii="Times New Roman" w:hAnsi="Times New Roman"/>
                <w:b/>
                <w:i w:val="0"/>
                <w:sz w:val="18"/>
              </w:rPr>
              <w:t>Metric</w:t>
            </w:r>
          </w:p>
        </w:tc>
        <w:tc>
          <w:tcPr>
            <w:tcW w:type="dxa" w:w="4252"/>
          </w:tcPr>
          <w:p>
            <w:pPr>
              <w:spacing w:before="60" w:after="60" w:line="260" w:lineRule="exact"/>
              <w:jc w:val="left"/>
            </w:pPr>
            <w:r>
              <w:rPr>
                <w:rFonts w:ascii="Times New Roman" w:hAnsi="Times New Roman"/>
                <w:b/>
                <w:i w:val="0"/>
                <w:sz w:val="18"/>
              </w:rPr>
              <w:t>Value</w:t>
            </w:r>
          </w:p>
        </w:tc>
      </w:tr>
      <w:tr>
        <w:tc>
          <w:tcPr>
            <w:tcW w:type="dxa" w:w="4535"/>
          </w:tcPr>
          <w:p>
            <w:pPr>
              <w:spacing w:before="60" w:after="60" w:line="260" w:lineRule="exact"/>
              <w:jc w:val="left"/>
            </w:pPr>
            <w:r>
              <w:rPr>
                <w:rFonts w:ascii="Times New Roman" w:hAnsi="Times New Roman"/>
                <w:b w:val="0"/>
                <w:i w:val="0"/>
                <w:sz w:val="18"/>
              </w:rPr>
              <w:t>Total projects shipped</w:t>
            </w:r>
          </w:p>
        </w:tc>
        <w:tc>
          <w:tcPr>
            <w:tcW w:type="dxa" w:w="4252"/>
          </w:tcPr>
          <w:p>
            <w:pPr>
              <w:spacing w:before="60" w:after="60" w:line="260" w:lineRule="exact"/>
              <w:jc w:val="left"/>
            </w:pPr>
            <w:r>
              <w:rPr>
                <w:rFonts w:ascii="Times New Roman" w:hAnsi="Times New Roman"/>
                <w:b w:val="0"/>
                <w:i w:val="0"/>
                <w:sz w:val="18"/>
              </w:rPr>
              <w:t>50</w:t>
            </w:r>
          </w:p>
        </w:tc>
      </w:tr>
      <w:tr>
        <w:tc>
          <w:tcPr>
            <w:tcW w:type="dxa" w:w="4535"/>
            <w:shd w:val="clear" w:color="auto" w:fill="F7F7F7"/>
          </w:tcPr>
          <w:p>
            <w:pPr>
              <w:spacing w:before="60" w:after="60" w:line="260" w:lineRule="exact"/>
              <w:jc w:val="left"/>
            </w:pPr>
            <w:r>
              <w:rPr>
                <w:rFonts w:ascii="Times New Roman" w:hAnsi="Times New Roman"/>
                <w:b w:val="0"/>
                <w:i w:val="0"/>
                <w:sz w:val="18"/>
              </w:rPr>
              <w:t>Total refused builds</w:t>
            </w:r>
          </w:p>
        </w:tc>
        <w:tc>
          <w:tcPr>
            <w:tcW w:type="dxa" w:w="4252"/>
            <w:shd w:val="clear" w:color="auto" w:fill="F7F7F7"/>
          </w:tcPr>
          <w:p>
            <w:pPr>
              <w:spacing w:before="60" w:after="60" w:line="260" w:lineRule="exact"/>
              <w:jc w:val="left"/>
            </w:pPr>
            <w:r>
              <w:rPr>
                <w:rFonts w:ascii="Times New Roman" w:hAnsi="Times New Roman"/>
                <w:b w:val="0"/>
                <w:i w:val="0"/>
                <w:sz w:val="18"/>
              </w:rPr>
              <w:t>191</w:t>
            </w:r>
          </w:p>
        </w:tc>
      </w:tr>
      <w:tr>
        <w:tc>
          <w:tcPr>
            <w:tcW w:type="dxa" w:w="4535"/>
          </w:tcPr>
          <w:p>
            <w:pPr>
              <w:spacing w:before="60" w:after="60" w:line="260" w:lineRule="exact"/>
              <w:jc w:val="left"/>
            </w:pPr>
            <w:r>
              <w:rPr>
                <w:rFonts w:ascii="Times New Roman" w:hAnsi="Times New Roman"/>
                <w:b w:val="0"/>
                <w:i w:val="0"/>
                <w:sz w:val="18"/>
              </w:rPr>
              <w:t>Overall ship rate</w:t>
            </w:r>
          </w:p>
        </w:tc>
        <w:tc>
          <w:tcPr>
            <w:tcW w:type="dxa" w:w="4252"/>
          </w:tcPr>
          <w:p>
            <w:pPr>
              <w:spacing w:before="60" w:after="60" w:line="260" w:lineRule="exact"/>
              <w:jc w:val="left"/>
            </w:pPr>
            <w:r>
              <w:rPr>
                <w:rFonts w:ascii="Times New Roman" w:hAnsi="Times New Roman"/>
                <w:b w:val="0"/>
                <w:i w:val="0"/>
                <w:sz w:val="18"/>
              </w:rPr>
              <w:t>21%  (50 / 241 attempts)</w:t>
            </w:r>
          </w:p>
        </w:tc>
      </w:tr>
      <w:tr>
        <w:tc>
          <w:tcPr>
            <w:tcW w:type="dxa" w:w="4535"/>
            <w:shd w:val="clear" w:color="auto" w:fill="F7F7F7"/>
          </w:tcPr>
          <w:p>
            <w:pPr>
              <w:spacing w:before="60" w:after="60" w:line="260" w:lineRule="exact"/>
              <w:jc w:val="left"/>
            </w:pPr>
            <w:r>
              <w:rPr>
                <w:rFonts w:ascii="Times New Roman" w:hAnsi="Times New Roman"/>
                <w:b w:val="0"/>
                <w:i w:val="0"/>
                <w:sz w:val="18"/>
              </w:rPr>
              <w:t>Observation period</w:t>
            </w:r>
          </w:p>
        </w:tc>
        <w:tc>
          <w:tcPr>
            <w:tcW w:type="dxa" w:w="4252"/>
            <w:shd w:val="clear" w:color="auto" w:fill="F7F7F7"/>
          </w:tcPr>
          <w:p>
            <w:pPr>
              <w:spacing w:before="60" w:after="60" w:line="260" w:lineRule="exact"/>
              <w:jc w:val="left"/>
            </w:pPr>
            <w:r>
              <w:rPr>
                <w:rFonts w:ascii="Times New Roman" w:hAnsi="Times New Roman"/>
                <w:b w:val="0"/>
                <w:i w:val="0"/>
                <w:sz w:val="18"/>
              </w:rPr>
              <w:t>21 days  (28 April - 18 May 2026)</w:t>
            </w:r>
          </w:p>
        </w:tc>
      </w:tr>
      <w:tr>
        <w:tc>
          <w:tcPr>
            <w:tcW w:type="dxa" w:w="4535"/>
          </w:tcPr>
          <w:p>
            <w:pPr>
              <w:spacing w:before="60" w:after="60" w:line="260" w:lineRule="exact"/>
              <w:jc w:val="left"/>
            </w:pPr>
            <w:r>
              <w:rPr>
                <w:rFonts w:ascii="Times New Roman" w:hAnsi="Times New Roman"/>
                <w:b w:val="0"/>
                <w:i w:val="0"/>
                <w:sz w:val="18"/>
              </w:rPr>
              <w:t>Complexity range</w:t>
            </w:r>
          </w:p>
        </w:tc>
        <w:tc>
          <w:tcPr>
            <w:tcW w:type="dxa" w:w="4252"/>
          </w:tcPr>
          <w:p>
            <w:pPr>
              <w:spacing w:before="60" w:after="60" w:line="260" w:lineRule="exact"/>
              <w:jc w:val="left"/>
            </w:pPr>
            <w:r>
              <w:rPr>
                <w:rFonts w:ascii="Times New Roman" w:hAnsi="Times New Roman"/>
                <w:b w:val="0"/>
                <w:i w:val="0"/>
                <w:sz w:val="18"/>
              </w:rPr>
              <w:t>3 - 110  (open-ended scale)</w:t>
            </w:r>
          </w:p>
        </w:tc>
      </w:tr>
      <w:tr>
        <w:tc>
          <w:tcPr>
            <w:tcW w:type="dxa" w:w="4535"/>
            <w:shd w:val="clear" w:color="auto" w:fill="F7F7F7"/>
          </w:tcPr>
          <w:p>
            <w:pPr>
              <w:spacing w:before="60" w:after="60" w:line="260" w:lineRule="exact"/>
              <w:jc w:val="left"/>
            </w:pPr>
            <w:r>
              <w:rPr>
                <w:rFonts w:ascii="Times New Roman" w:hAnsi="Times New Roman"/>
                <w:b w:val="0"/>
                <w:i w:val="0"/>
                <w:sz w:val="18"/>
              </w:rPr>
              <w:t>Mean complexity</w:t>
            </w:r>
          </w:p>
        </w:tc>
        <w:tc>
          <w:tcPr>
            <w:tcW w:type="dxa" w:w="4252"/>
            <w:shd w:val="clear" w:color="auto" w:fill="F7F7F7"/>
          </w:tcPr>
          <w:p>
            <w:pPr>
              <w:spacing w:before="60" w:after="60" w:line="260" w:lineRule="exact"/>
              <w:jc w:val="left"/>
            </w:pPr>
            <w:r>
              <w:rPr>
                <w:rFonts w:ascii="Times New Roman" w:hAnsi="Times New Roman"/>
                <w:b w:val="0"/>
                <w:i w:val="0"/>
                <w:sz w:val="18"/>
              </w:rPr>
              <w:t>40.5</w:t>
            </w:r>
          </w:p>
        </w:tc>
      </w:tr>
      <w:tr>
        <w:tc>
          <w:tcPr>
            <w:tcW w:type="dxa" w:w="4535"/>
          </w:tcPr>
          <w:p>
            <w:pPr>
              <w:spacing w:before="60" w:after="60" w:line="260" w:lineRule="exact"/>
              <w:jc w:val="left"/>
            </w:pPr>
            <w:r>
              <w:rPr>
                <w:rFonts w:ascii="Times New Roman" w:hAnsi="Times New Roman"/>
                <w:b w:val="0"/>
                <w:i w:val="0"/>
                <w:sz w:val="18"/>
              </w:rPr>
              <w:t>Peak complexity</w:t>
            </w:r>
          </w:p>
        </w:tc>
        <w:tc>
          <w:tcPr>
            <w:tcW w:type="dxa" w:w="4252"/>
          </w:tcPr>
          <w:p>
            <w:pPr>
              <w:spacing w:before="60" w:after="60" w:line="260" w:lineRule="exact"/>
              <w:jc w:val="left"/>
            </w:pPr>
            <w:r>
              <w:rPr>
                <w:rFonts w:ascii="Times New Roman" w:hAnsi="Times New Roman"/>
                <w:b w:val="0"/>
                <w:i w:val="0"/>
                <w:sz w:val="18"/>
              </w:rPr>
              <w:t>110</w:t>
            </w:r>
          </w:p>
        </w:tc>
      </w:tr>
      <w:tr>
        <w:tc>
          <w:tcPr>
            <w:tcW w:type="dxa" w:w="4535"/>
            <w:shd w:val="clear" w:color="auto" w:fill="F7F7F7"/>
          </w:tcPr>
          <w:p>
            <w:pPr>
              <w:spacing w:before="60" w:after="60" w:line="260" w:lineRule="exact"/>
              <w:jc w:val="left"/>
            </w:pPr>
            <w:r>
              <w:rPr>
                <w:rFonts w:ascii="Times New Roman" w:hAnsi="Times New Roman"/>
                <w:b w:val="0"/>
                <w:i w:val="0"/>
                <w:sz w:val="18"/>
              </w:rPr>
              <w:t>Project types shipped</w:t>
            </w:r>
          </w:p>
        </w:tc>
        <w:tc>
          <w:tcPr>
            <w:tcW w:type="dxa" w:w="4252"/>
            <w:shd w:val="clear" w:color="auto" w:fill="F7F7F7"/>
          </w:tcPr>
          <w:p>
            <w:pPr>
              <w:spacing w:before="60" w:after="60" w:line="260" w:lineRule="exact"/>
              <w:jc w:val="left"/>
            </w:pPr>
            <w:r>
              <w:rPr>
                <w:rFonts w:ascii="Times New Roman" w:hAnsi="Times New Roman"/>
                <w:b w:val="0"/>
                <w:i w:val="0"/>
                <w:sz w:val="18"/>
              </w:rPr>
              <w:t>6 of 10 available types</w:t>
            </w:r>
          </w:p>
        </w:tc>
      </w:tr>
      <w:tr>
        <w:tc>
          <w:tcPr>
            <w:tcW w:type="dxa" w:w="4535"/>
          </w:tcPr>
          <w:p>
            <w:pPr>
              <w:spacing w:before="60" w:after="60" w:line="260" w:lineRule="exact"/>
              <w:jc w:val="left"/>
            </w:pPr>
            <w:r>
              <w:rPr>
                <w:rFonts w:ascii="Times New Roman" w:hAnsi="Times New Roman"/>
                <w:b w:val="0"/>
                <w:i w:val="0"/>
                <w:sz w:val="18"/>
              </w:rPr>
              <w:t>CEO review cycles</w:t>
            </w:r>
          </w:p>
        </w:tc>
        <w:tc>
          <w:tcPr>
            <w:tcW w:type="dxa" w:w="4252"/>
          </w:tcPr>
          <w:p>
            <w:pPr>
              <w:spacing w:before="60" w:after="60" w:line="260" w:lineRule="exact"/>
              <w:jc w:val="left"/>
            </w:pPr>
            <w:r>
              <w:rPr>
                <w:rFonts w:ascii="Times New Roman" w:hAnsi="Times New Roman"/>
                <w:b w:val="0"/>
                <w:i w:val="0"/>
                <w:sz w:val="18"/>
              </w:rPr>
              <w:t>159</w:t>
            </w:r>
          </w:p>
        </w:tc>
      </w:tr>
      <w:tr>
        <w:tc>
          <w:tcPr>
            <w:tcW w:type="dxa" w:w="4535"/>
            <w:shd w:val="clear" w:color="auto" w:fill="F7F7F7"/>
          </w:tcPr>
          <w:p>
            <w:pPr>
              <w:spacing w:before="60" w:after="60" w:line="260" w:lineRule="exact"/>
              <w:jc w:val="left"/>
            </w:pPr>
            <w:r>
              <w:rPr>
                <w:rFonts w:ascii="Times New Roman" w:hAnsi="Times New Roman"/>
                <w:b w:val="0"/>
                <w:i w:val="0"/>
                <w:sz w:val="18"/>
              </w:rPr>
              <w:t>Total infrastructure cost</w:t>
            </w:r>
          </w:p>
        </w:tc>
        <w:tc>
          <w:tcPr>
            <w:tcW w:type="dxa" w:w="4252"/>
            <w:shd w:val="clear" w:color="auto" w:fill="F7F7F7"/>
          </w:tcPr>
          <w:p>
            <w:pPr>
              <w:spacing w:before="60" w:after="60" w:line="260" w:lineRule="exact"/>
              <w:jc w:val="left"/>
            </w:pPr>
            <w:r>
              <w:rPr>
                <w:rFonts w:ascii="Times New Roman" w:hAnsi="Times New Roman"/>
                <w:b w:val="0"/>
                <w:i w:val="0"/>
                <w:sz w:val="18"/>
              </w:rPr>
              <w:t>£0</w:t>
            </w:r>
          </w:p>
        </w:tc>
      </w:tr>
    </w:tbl>
    <w:p>
      <w:pPr>
        <w:spacing w:before="0" w:after="80" w:line="280" w:lineRule="exact"/>
        <w:jc w:val="both"/>
      </w:pPr>
    </w:p>
    <w:p>
      <w:pPr>
        <w:spacing w:before="200" w:after="60" w:line="280" w:lineRule="exact"/>
        <w:jc w:val="left"/>
      </w:pPr>
      <w:r>
        <w:rPr>
          <w:rFonts w:ascii="Times New Roman" w:hAnsi="Times New Roman"/>
          <w:b/>
          <w:i/>
          <w:sz w:val="20"/>
        </w:rPr>
        <w:t>B. Complexity Progression</w:t>
      </w:r>
    </w:p>
    <w:p>
      <w:pPr>
        <w:spacing w:before="0" w:after="120" w:line="280" w:lineRule="exact"/>
        <w:jc w:val="both"/>
      </w:pPr>
      <w:r>
        <w:rPr>
          <w:rFonts w:ascii="Times New Roman" w:hAnsi="Times New Roman"/>
          <w:b w:val="0"/>
          <w:i w:val="0"/>
          <w:sz w:val="20"/>
        </w:rPr>
        <w:t>Complexity scores rose consistently throughout the observation period, from early projects in the 3-8 range to later projects in the 40-52 range. The progression was not perfectly monotonic, failure streaks triggered recovery mode, temporarily relaxing the floor, but the linear trend (Fig. 3) held throughout. Crucially, this escalation was not directed: no agent was instructed to 'increase by N points each time.' The behaviour emerged from the combination of the floor rule and the architects' tendency to aim just above the minimum safe threshold.</w:t>
      </w:r>
    </w:p>
    <w:p>
      <w:pPr>
        <w:spacing w:before="120" w:after="0" w:line="280" w:lineRule="exact"/>
        <w:jc w:val="center"/>
      </w:pPr>
      <w:r>
        <w:drawing>
          <wp:inline xmlns:a="http://schemas.openxmlformats.org/drawingml/2006/main" xmlns:pic="http://schemas.openxmlformats.org/drawingml/2006/picture">
            <wp:extent cx="5731200" cy="188577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31200" cy="1885770"/>
                    </a:xfrm>
                    <a:prstGeom prst="rect"/>
                  </pic:spPr>
                </pic:pic>
              </a:graphicData>
            </a:graphic>
          </wp:inline>
        </w:drawing>
      </w:r>
    </w:p>
    <w:p>
      <w:pPr>
        <w:spacing w:before="80" w:after="160" w:line="280" w:lineRule="exact"/>
        <w:jc w:val="center"/>
      </w:pPr>
      <w:r>
        <w:rPr>
          <w:rFonts w:ascii="Times New Roman" w:hAnsi="Times New Roman"/>
          <w:i/>
          <w:sz w:val="18"/>
        </w:rPr>
        <w:t>Fig. 3. Complexity score progression over shipped projects. Dashed red line: linear trend. Dot colours indicate project type. Score is an open-ended integer assigned by the architect agent.</w:t>
      </w:r>
    </w:p>
    <w:p>
      <w:pPr>
        <w:spacing w:before="200" w:after="60" w:line="280" w:lineRule="exact"/>
        <w:jc w:val="left"/>
      </w:pPr>
      <w:r>
        <w:rPr>
          <w:rFonts w:ascii="Times New Roman" w:hAnsi="Times New Roman"/>
          <w:b/>
          <w:i/>
          <w:sz w:val="20"/>
        </w:rPr>
        <w:t>C. Type Distribution and Failure Modes</w:t>
      </w:r>
    </w:p>
    <w:p>
      <w:pPr>
        <w:spacing w:before="0" w:after="120" w:line="280" w:lineRule="exact"/>
        <w:jc w:val="both"/>
      </w:pPr>
      <w:r>
        <w:rPr>
          <w:rFonts w:ascii="Times New Roman" w:hAnsi="Times New Roman"/>
          <w:b w:val="0"/>
          <w:i w:val="0"/>
          <w:sz w:val="20"/>
        </w:rPr>
        <w:t xml:space="preserve">Of the ten available project types, six were successfully shipped. </w:t>
      </w:r>
      <w:r>
        <w:rPr>
          <w:rFonts w:ascii="Times New Roman" w:hAnsi="Times New Roman"/>
          <w:b w:val="0"/>
          <w:i/>
          <w:sz w:val="20"/>
        </w:rPr>
        <w:t>web_interactive</w:t>
      </w:r>
      <w:r>
        <w:rPr>
          <w:rFonts w:ascii="Times New Roman" w:hAnsi="Times New Roman"/>
          <w:b w:val="0"/>
          <w:i w:val="0"/>
          <w:sz w:val="20"/>
        </w:rPr>
        <w:t xml:space="preserve"> dominated early output before the type rotation system enforced diversity. The </w:t>
      </w:r>
      <w:r>
        <w:rPr>
          <w:rFonts w:ascii="Times New Roman" w:hAnsi="Times New Roman"/>
          <w:b w:val="0"/>
          <w:i/>
          <w:sz w:val="20"/>
        </w:rPr>
        <w:t>web_3d</w:t>
      </w:r>
      <w:r>
        <w:rPr>
          <w:rFonts w:ascii="Times New Roman" w:hAnsi="Times New Roman"/>
          <w:b w:val="0"/>
          <w:i w:val="0"/>
          <w:sz w:val="20"/>
        </w:rPr>
        <w:t xml:space="preserve"> type was eventually shipped after the headless Chromium blank-canvas check was updated to skip WebGL pixel sampling (which always returns blank in a software-rendered context). The five primary failure modes are shown in Fig. 4: blank canvas rendering (the modal failure class at 35%) was addressed by adding explicit canvas-size and requestAnimationFrame instructions to the engineer prompt, after which game_web and generative_art builds began shipping reliably.</w:t>
      </w:r>
    </w:p>
    <w:p>
      <w:pPr>
        <w:spacing w:before="120" w:after="0" w:line="280" w:lineRule="exact"/>
        <w:jc w:val="center"/>
      </w:pPr>
      <w:r>
        <w:drawing>
          <wp:inline xmlns:a="http://schemas.openxmlformats.org/drawingml/2006/main" xmlns:pic="http://schemas.openxmlformats.org/drawingml/2006/picture">
            <wp:extent cx="5731200" cy="212149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31200" cy="2121493"/>
                    </a:xfrm>
                    <a:prstGeom prst="rect"/>
                  </pic:spPr>
                </pic:pic>
              </a:graphicData>
            </a:graphic>
          </wp:inline>
        </w:drawing>
      </w:r>
    </w:p>
    <w:p>
      <w:pPr>
        <w:spacing w:before="80" w:after="160" w:line="280" w:lineRule="exact"/>
        <w:jc w:val="center"/>
      </w:pPr>
      <w:r>
        <w:rPr>
          <w:rFonts w:ascii="Times New Roman" w:hAnsi="Times New Roman"/>
          <w:i/>
          <w:sz w:val="18"/>
        </w:rPr>
        <w:t>Fig. 4. Left: projects shipped by type. Right: distribution of failure modes across refused builds. Failure data was collected from memory_log.json.</w:t>
      </w:r>
    </w:p>
    <w:p>
      <w:pPr>
        <w:spacing w:before="200" w:after="60" w:line="280" w:lineRule="exact"/>
        <w:jc w:val="left"/>
      </w:pPr>
      <w:r>
        <w:rPr>
          <w:rFonts w:ascii="Times New Roman" w:hAnsi="Times New Roman"/>
          <w:b/>
          <w:i/>
          <w:sz w:val="20"/>
        </w:rPr>
        <w:t>D. CEO Verdict Trajectory</w:t>
      </w:r>
    </w:p>
    <w:p>
      <w:pPr>
        <w:spacing w:before="0" w:after="120" w:line="280" w:lineRule="exact"/>
        <w:jc w:val="both"/>
      </w:pPr>
      <w:r>
        <w:rPr>
          <w:rFonts w:ascii="Times New Roman" w:hAnsi="Times New Roman"/>
          <w:b w:val="0"/>
          <w:i w:val="0"/>
          <w:sz w:val="20"/>
        </w:rPr>
        <w:t xml:space="preserve">The CEO agent issued review cycles across the observation period. Early reviews returned </w:t>
      </w:r>
      <w:r>
        <w:rPr>
          <w:rFonts w:ascii="Times New Roman" w:hAnsi="Times New Roman"/>
          <w:b w:val="0"/>
          <w:i/>
          <w:sz w:val="20"/>
        </w:rPr>
        <w:t>acceptable</w:t>
      </w:r>
      <w:r>
        <w:rPr>
          <w:rFonts w:ascii="Times New Roman" w:hAnsi="Times New Roman"/>
          <w:b w:val="0"/>
          <w:i w:val="0"/>
          <w:sz w:val="20"/>
        </w:rPr>
        <w:t xml:space="preserve"> verdicts as the system was producing output, albeit unimaginative. As the pipeline converged on repetitive web_interactive patterns, verdicts shifted to </w:t>
      </w:r>
      <w:r>
        <w:rPr>
          <w:rFonts w:ascii="Times New Roman" w:hAnsi="Times New Roman"/>
          <w:b w:val="0"/>
          <w:i/>
          <w:sz w:val="20"/>
        </w:rPr>
        <w:t>drifting</w:t>
      </w:r>
      <w:r>
        <w:rPr>
          <w:rFonts w:ascii="Times New Roman" w:hAnsi="Times New Roman"/>
          <w:b w:val="0"/>
          <w:i w:val="0"/>
          <w:sz w:val="20"/>
        </w:rPr>
        <w:t xml:space="preserve">. The Project Evolution mandate, introduced at review cycle 30, restored diversity and pushed verdicts back toward </w:t>
      </w:r>
      <w:r>
        <w:rPr>
          <w:rFonts w:ascii="Times New Roman" w:hAnsi="Times New Roman"/>
          <w:b w:val="0"/>
          <w:i/>
          <w:sz w:val="20"/>
        </w:rPr>
        <w:t>acceptable</w:t>
      </w:r>
      <w:r>
        <w:rPr>
          <w:rFonts w:ascii="Times New Roman" w:hAnsi="Times New Roman"/>
          <w:b w:val="0"/>
          <w:i w:val="0"/>
          <w:sz w:val="20"/>
        </w:rPr>
        <w:t xml:space="preserve">. The most notable event was the </w:t>
      </w:r>
      <w:r>
        <w:rPr>
          <w:rFonts w:ascii="Times New Roman" w:hAnsi="Times New Roman"/>
          <w:b w:val="0"/>
          <w:i/>
          <w:sz w:val="20"/>
        </w:rPr>
        <w:t>alarming</w:t>
      </w:r>
      <w:r>
        <w:rPr>
          <w:rFonts w:ascii="Times New Roman" w:hAnsi="Times New Roman"/>
          <w:b w:val="0"/>
          <w:i w:val="0"/>
          <w:sz w:val="20"/>
        </w:rPr>
        <w:t xml:space="preserve"> verdict that coincided with the web_3d failure streak: the CEO independently pivoted its directives away from web_3d on its next review, and the subsequent build shipped on the first attempt.</w:t>
      </w:r>
    </w:p>
    <w:p>
      <w:pPr>
        <w:spacing w:before="120" w:after="0" w:line="280" w:lineRule="exact"/>
        <w:jc w:val="center"/>
      </w:pPr>
      <w:r>
        <w:drawing>
          <wp:inline xmlns:a="http://schemas.openxmlformats.org/drawingml/2006/main" xmlns:pic="http://schemas.openxmlformats.org/drawingml/2006/picture">
            <wp:extent cx="5731200" cy="150026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31200" cy="1500264"/>
                    </a:xfrm>
                    <a:prstGeom prst="rect"/>
                  </pic:spPr>
                </pic:pic>
              </a:graphicData>
            </a:graphic>
          </wp:inline>
        </w:drawing>
      </w:r>
    </w:p>
    <w:p>
      <w:pPr>
        <w:spacing w:before="80" w:after="160" w:line="280" w:lineRule="exact"/>
        <w:jc w:val="center"/>
      </w:pPr>
      <w:r>
        <w:rPr>
          <w:rFonts w:ascii="Times New Roman" w:hAnsi="Times New Roman"/>
          <w:i/>
          <w:sz w:val="18"/>
        </w:rPr>
        <w:t>Fig. 5. CEO verdict trajectory across review cycles. The dotted vertical line marks the Project Evolution mandate. The step down at cycle ~40 corresponds to the web_3d failure streak that triggered an 'alarming' verdict and a successful self-healing pivot.</w:t>
      </w:r>
    </w:p>
    <w:p>
      <w:r>
        <w:br w:type="page"/>
      </w:r>
    </w:p>
    <w:p>
      <w:pPr>
        <w:spacing w:before="280" w:after="80" w:line="280" w:lineRule="exact"/>
        <w:jc w:val="center"/>
      </w:pPr>
      <w:r>
        <w:rPr>
          <w:rFonts w:ascii="Times New Roman" w:hAnsi="Times New Roman"/>
          <w:b/>
          <w:sz w:val="20"/>
        </w:rPr>
        <w:t>VI. Emergent Behaviours</w:t>
      </w:r>
    </w:p>
    <w:p>
      <w:pPr>
        <w:spacing w:before="0" w:after="120" w:line="280" w:lineRule="exact"/>
        <w:jc w:val="both"/>
      </w:pPr>
      <w:r>
        <w:rPr>
          <w:rFonts w:ascii="Times New Roman" w:hAnsi="Times New Roman"/>
          <w:b w:val="0"/>
          <w:i w:val="0"/>
          <w:sz w:val="20"/>
        </w:rPr>
        <w:t>Several of the most significant observations were behaviours that were not explicitly programmed. They arose from the interaction of persistent memory, failure logging, and the multi-agent conference structure.</w:t>
      </w:r>
    </w:p>
    <w:p>
      <w:pPr>
        <w:spacing w:before="200" w:after="60" w:line="280" w:lineRule="exact"/>
        <w:jc w:val="left"/>
      </w:pPr>
      <w:r>
        <w:rPr>
          <w:rFonts w:ascii="Times New Roman" w:hAnsi="Times New Roman"/>
          <w:b/>
          <w:i/>
          <w:sz w:val="20"/>
        </w:rPr>
        <w:t>A. Failure-Driven CEO Strategy Pivots</w:t>
      </w:r>
    </w:p>
    <w:p>
      <w:pPr>
        <w:spacing w:before="0" w:after="120" w:line="280" w:lineRule="exact"/>
        <w:jc w:val="both"/>
      </w:pPr>
      <w:r>
        <w:rPr>
          <w:rFonts w:ascii="Times New Roman" w:hAnsi="Times New Roman"/>
          <w:b w:val="0"/>
          <w:i w:val="0"/>
          <w:sz w:val="20"/>
        </w:rPr>
        <w:t xml:space="preserve">Initially, the CEO had no visibility into refused builds, it could only see what shipped. The result was a CEO that consistently demanded ambitious, complex patterns that the QA gate was silently rejecting. Adding </w:t>
      </w:r>
      <w:r>
        <w:rPr>
          <w:rFonts w:ascii="Times New Roman" w:hAnsi="Times New Roman"/>
          <w:b w:val="0"/>
          <w:i/>
          <w:sz w:val="20"/>
        </w:rPr>
        <w:t>failed_builds[]</w:t>
      </w:r>
      <w:r>
        <w:rPr>
          <w:rFonts w:ascii="Times New Roman" w:hAnsi="Times New Roman"/>
          <w:b w:val="0"/>
          <w:i w:val="0"/>
          <w:sz w:val="20"/>
        </w:rPr>
        <w:t xml:space="preserve"> to the CEO's context changed its behaviour immediately: on its next review after seeing a failure streak, it spontaneously scaled back complexity demands and shifted domain, without any explicit instruction to do so. This matches the ReAct pattern [6] at a strategic level, the CEO reasons over failure evidence and acts to change the downstream plan.</w:t>
      </w:r>
    </w:p>
    <w:p>
      <w:pPr>
        <w:spacing w:before="200" w:after="60" w:line="280" w:lineRule="exact"/>
        <w:jc w:val="left"/>
      </w:pPr>
      <w:r>
        <w:rPr>
          <w:rFonts w:ascii="Times New Roman" w:hAnsi="Times New Roman"/>
          <w:b/>
          <w:i/>
          <w:sz w:val="20"/>
        </w:rPr>
        <w:t>B. Unsupervised Complexity Escalation</w:t>
      </w:r>
    </w:p>
    <w:p>
      <w:pPr>
        <w:spacing w:before="0" w:after="120" w:line="280" w:lineRule="exact"/>
        <w:jc w:val="both"/>
      </w:pPr>
      <w:r>
        <w:rPr>
          <w:rFonts w:ascii="Times New Roman" w:hAnsi="Times New Roman"/>
          <w:b w:val="0"/>
          <w:i w:val="0"/>
          <w:sz w:val="20"/>
        </w:rPr>
        <w:t>The complexity floor mechanism sets a minimum, not a target. Architects are free to propose any value above the floor. In practice, they consistently propose scores 1-3 points above the floor, a behaviour that, compounded over dozens of projects, produces a steady upward trajectory (Fig. 3). This is not a programmed ramp; it emerges from the architects' implicit tendency to aim just above the constraint while appearing ambitious. The result resembles the escalation dynamics observed in competitive multi-agent settings, but produced by a single-objective floor constraint.</w:t>
      </w:r>
    </w:p>
    <w:p>
      <w:pPr>
        <w:spacing w:before="200" w:after="60" w:line="280" w:lineRule="exact"/>
        <w:jc w:val="left"/>
      </w:pPr>
      <w:r>
        <w:rPr>
          <w:rFonts w:ascii="Times New Roman" w:hAnsi="Times New Roman"/>
          <w:b/>
          <w:i/>
          <w:sz w:val="20"/>
        </w:rPr>
        <w:t>C. Adversarial Reviewer Disagreement as a Quality Signal</w:t>
      </w:r>
    </w:p>
    <w:p>
      <w:pPr>
        <w:spacing w:before="0" w:after="120" w:line="280" w:lineRule="exact"/>
        <w:jc w:val="both"/>
      </w:pPr>
      <w:r>
        <w:rPr>
          <w:rFonts w:ascii="Times New Roman" w:hAnsi="Times New Roman"/>
          <w:b w:val="0"/>
          <w:i w:val="0"/>
          <w:sz w:val="20"/>
        </w:rPr>
        <w:t xml:space="preserve">Running two independent reviewers at temperature=0.85 means they frequently disagree, one votes </w:t>
      </w:r>
      <w:r>
        <w:rPr>
          <w:rFonts w:ascii="Times New Roman" w:hAnsi="Times New Roman"/>
          <w:b w:val="0"/>
          <w:i/>
          <w:sz w:val="20"/>
        </w:rPr>
        <w:t>fix</w:t>
      </w:r>
      <w:r>
        <w:rPr>
          <w:rFonts w:ascii="Times New Roman" w:hAnsi="Times New Roman"/>
          <w:b w:val="0"/>
          <w:i w:val="0"/>
          <w:sz w:val="20"/>
        </w:rPr>
        <w:t xml:space="preserve">, the other </w:t>
      </w:r>
      <w:r>
        <w:rPr>
          <w:rFonts w:ascii="Times New Roman" w:hAnsi="Times New Roman"/>
          <w:b w:val="0"/>
          <w:i/>
          <w:sz w:val="20"/>
        </w:rPr>
        <w:t>ship</w:t>
      </w:r>
      <w:r>
        <w:rPr>
          <w:rFonts w:ascii="Times New Roman" w:hAnsi="Times New Roman"/>
          <w:b w:val="0"/>
          <w:i w:val="0"/>
          <w:sz w:val="20"/>
        </w:rPr>
        <w:t xml:space="preserve">. The merger treats a split verdict as </w:t>
      </w:r>
      <w:r>
        <w:rPr>
          <w:rFonts w:ascii="Times New Roman" w:hAnsi="Times New Roman"/>
          <w:b w:val="0"/>
          <w:i/>
          <w:sz w:val="20"/>
        </w:rPr>
        <w:t>fix</w:t>
      </w:r>
      <w:r>
        <w:rPr>
          <w:rFonts w:ascii="Times New Roman" w:hAnsi="Times New Roman"/>
          <w:b w:val="0"/>
          <w:i w:val="0"/>
          <w:sz w:val="20"/>
        </w:rPr>
        <w:t xml:space="preserve">. Across observed builds, this disagreement pattern correlated with genuine quality issues: projects where both reviewers returned </w:t>
      </w:r>
      <w:r>
        <w:rPr>
          <w:rFonts w:ascii="Times New Roman" w:hAnsi="Times New Roman"/>
          <w:b w:val="0"/>
          <w:i/>
          <w:sz w:val="20"/>
        </w:rPr>
        <w:t>ship</w:t>
      </w:r>
      <w:r>
        <w:rPr>
          <w:rFonts w:ascii="Times New Roman" w:hAnsi="Times New Roman"/>
          <w:b w:val="0"/>
          <w:i w:val="0"/>
          <w:sz w:val="20"/>
        </w:rPr>
        <w:t xml:space="preserve"> on the first round had a markedly higher QA pass rate than those with a split vote. The adversarial structure turned reviewer disagreement from noise into a useful predictive signal, a property consistent with the ensemble-diversity literature in machine learning.</w:t>
      </w:r>
    </w:p>
    <w:p>
      <w:pPr>
        <w:spacing w:before="200" w:after="60" w:line="280" w:lineRule="exact"/>
        <w:jc w:val="left"/>
      </w:pPr>
      <w:r>
        <w:rPr>
          <w:rFonts w:ascii="Times New Roman" w:hAnsi="Times New Roman"/>
          <w:b/>
          <w:i/>
          <w:sz w:val="20"/>
        </w:rPr>
        <w:t>D. Type Ban Self-Healing</w:t>
      </w:r>
    </w:p>
    <w:p>
      <w:pPr>
        <w:spacing w:before="0" w:after="120" w:line="280" w:lineRule="exact"/>
        <w:jc w:val="both"/>
      </w:pPr>
      <w:r>
        <w:rPr>
          <w:rFonts w:ascii="Times New Roman" w:hAnsi="Times New Roman"/>
          <w:b w:val="0"/>
          <w:i w:val="0"/>
          <w:sz w:val="20"/>
        </w:rPr>
        <w:t>The most pronounced emergent behaviour was the resolution of the web_3d failure loop. Over two days, the system ran 18 consecutive failed builds, all web_3d, all blocked by blank canvas or broken controls. The CEO continued demanding web_3d because it had never shipped and appeared as a priority gap; there was no programmed escape condition.</w:t>
      </w:r>
    </w:p>
    <w:p>
      <w:pPr>
        <w:spacing w:before="0" w:after="120" w:line="280" w:lineRule="exact"/>
        <w:jc w:val="both"/>
      </w:pPr>
      <w:r>
        <w:rPr>
          <w:rFonts w:ascii="Times New Roman" w:hAnsi="Times New Roman"/>
          <w:b w:val="0"/>
          <w:i w:val="0"/>
          <w:sz w:val="20"/>
        </w:rPr>
        <w:t xml:space="preserve">The type ban mechanism, three consecutive failures of the same type trigger an automatic validator block, communicated to the CEO via the diversity report, broke the loop on the CEO's next review. Its verdict shifted to </w:t>
      </w:r>
      <w:r>
        <w:rPr>
          <w:rFonts w:ascii="Times New Roman" w:hAnsi="Times New Roman"/>
          <w:b w:val="0"/>
          <w:i/>
          <w:sz w:val="20"/>
        </w:rPr>
        <w:t>alarming</w:t>
      </w:r>
      <w:r>
        <w:rPr>
          <w:rFonts w:ascii="Times New Roman" w:hAnsi="Times New Roman"/>
          <w:b w:val="0"/>
          <w:i w:val="0"/>
          <w:sz w:val="20"/>
        </w:rPr>
        <w:t>, and its directives explicitly stated: 'Avoid web_3d entirely until after successful shipments in other types reset the failure streak.' The following build (a document type) shipped on the first attempt. The CEO's pivot language was not scripted; it emerged from reading the memory log under a prompt that emphasised shipping over exploration.</w:t>
      </w:r>
    </w:p>
    <w:p>
      <w:pPr>
        <w:spacing w:before="280" w:after="80" w:line="280" w:lineRule="exact"/>
        <w:jc w:val="center"/>
      </w:pPr>
      <w:r>
        <w:rPr>
          <w:rFonts w:ascii="Times New Roman" w:hAnsi="Times New Roman"/>
          <w:b/>
          <w:sz w:val="20"/>
        </w:rPr>
        <w:t>VII. Discussion</w:t>
      </w:r>
    </w:p>
    <w:p>
      <w:pPr>
        <w:spacing w:before="200" w:after="60" w:line="280" w:lineRule="exact"/>
        <w:jc w:val="left"/>
      </w:pPr>
      <w:r>
        <w:rPr>
          <w:rFonts w:ascii="Times New Roman" w:hAnsi="Times New Roman"/>
          <w:b/>
          <w:i/>
          <w:sz w:val="20"/>
        </w:rPr>
        <w:t>A. Failure as Information</w:t>
      </w:r>
    </w:p>
    <w:p>
      <w:pPr>
        <w:spacing w:before="0" w:after="120" w:line="280" w:lineRule="exact"/>
        <w:jc w:val="both"/>
      </w:pPr>
      <w:r>
        <w:rPr>
          <w:rFonts w:ascii="Times New Roman" w:hAnsi="Times New Roman"/>
          <w:b w:val="0"/>
          <w:i w:val="0"/>
          <w:sz w:val="20"/>
        </w:rPr>
        <w:t xml:space="preserve">The central insight from this work is that failure records, made visible to the strategic layer, are the primary driver of system improvement. Without </w:t>
      </w:r>
      <w:r>
        <w:rPr>
          <w:rFonts w:ascii="Times New Roman" w:hAnsi="Times New Roman"/>
          <w:b w:val="0"/>
          <w:i/>
          <w:sz w:val="20"/>
        </w:rPr>
        <w:t>failed_builds[]</w:t>
      </w:r>
      <w:r>
        <w:rPr>
          <w:rFonts w:ascii="Times New Roman" w:hAnsi="Times New Roman"/>
          <w:b w:val="0"/>
          <w:i w:val="0"/>
          <w:sz w:val="20"/>
        </w:rPr>
        <w:t xml:space="preserve"> in the CEO's context, the executive layer was effectively blind and consistently demanded unreachable targets. With it, the CEO adapted within one review cycle. This is consistent with the broader principle in reinforcement learning that reward signal quality determines learning speed, but achieved here with no gradient, no parameter update, and no explicit reward function.</w:t>
      </w:r>
    </w:p>
    <w:p>
      <w:pPr>
        <w:spacing w:before="200" w:after="60" w:line="280" w:lineRule="exact"/>
        <w:jc w:val="left"/>
      </w:pPr>
      <w:r>
        <w:rPr>
          <w:rFonts w:ascii="Times New Roman" w:hAnsi="Times New Roman"/>
          <w:b/>
          <w:i/>
          <w:sz w:val="20"/>
        </w:rPr>
        <w:t>B. Limitations</w:t>
      </w:r>
    </w:p>
    <w:p>
      <w:pPr>
        <w:spacing w:before="0" w:after="120" w:line="280" w:lineRule="exact"/>
        <w:jc w:val="both"/>
      </w:pPr>
      <w:r>
        <w:rPr>
          <w:rFonts w:ascii="Times New Roman" w:hAnsi="Times New Roman"/>
          <w:b w:val="0"/>
          <w:i w:val="0"/>
          <w:sz w:val="20"/>
        </w:rPr>
        <w:t>Several limitations constrain the present work. The WebGL verification problem (canvas always reads blank via 2D context pixel sampling in headless Chromium) remains partially unresolved for shader_art builds; a vision-model screenshot reviewer would likely outperform pixel-level blank-canvas detection for this type. The system's memory is shallow by design, a flat JSON file with no semantic indexing, limiting the depth of pattern recognition available to the CEO and architects. The observation period is 21 days with a single instance of the self-healing mechanism activating, which is insufficient to characterise its reliability or failure modes. Finally, the architects run on generalist LLMs not fine-tuned for software architecture; fine-tuning or retrieval augmentation on published open-source projects would likely raise both plan quality and ship rate.</w:t>
      </w:r>
    </w:p>
    <w:p>
      <w:pPr>
        <w:spacing w:before="200" w:after="60" w:line="280" w:lineRule="exact"/>
        <w:jc w:val="left"/>
      </w:pPr>
      <w:r>
        <w:rPr>
          <w:rFonts w:ascii="Times New Roman" w:hAnsi="Times New Roman"/>
          <w:b/>
          <w:i/>
          <w:sz w:val="20"/>
        </w:rPr>
        <w:t>C. Future Directions</w:t>
      </w:r>
    </w:p>
    <w:p>
      <w:pPr>
        <w:spacing w:before="0" w:after="120" w:line="280" w:lineRule="exact"/>
        <w:jc w:val="both"/>
      </w:pPr>
      <w:r>
        <w:rPr>
          <w:rFonts w:ascii="Times New Roman" w:hAnsi="Times New Roman"/>
          <w:b w:val="0"/>
          <w:i w:val="0"/>
          <w:sz w:val="20"/>
        </w:rPr>
        <w:t>Three directions are most immediately promising. First, extending verification to use a vision model (e.g. GPT-4o Vision) for screenshot quality assessment, supplementing or replacing pixel-level canvas checks for WebGL and 3D project types. Second, adding cross-platform publishing: Python tools to PyPI, documents to preprint servers, packages to npm, extending the system's output surface beyond GitHub Pages. Third, studying whether the complexity escalation trajectory is bounded or continues indefinitely, and whether the quality gate pass rate degrades at high complexity (current data do not show this, but the observation window may be too short to detect it).</w:t>
      </w:r>
    </w:p>
    <w:p>
      <w:pPr>
        <w:spacing w:before="280" w:after="80" w:line="280" w:lineRule="exact"/>
        <w:jc w:val="center"/>
      </w:pPr>
      <w:r>
        <w:rPr>
          <w:rFonts w:ascii="Times New Roman" w:hAnsi="Times New Roman"/>
          <w:b/>
          <w:sz w:val="20"/>
        </w:rPr>
        <w:t>VIII. Conclusion</w:t>
      </w:r>
    </w:p>
    <w:p>
      <w:pPr>
        <w:spacing w:before="0" w:after="120" w:line="280" w:lineRule="exact"/>
        <w:jc w:val="both"/>
      </w:pPr>
      <w:r>
        <w:rPr>
          <w:rFonts w:ascii="Times New Roman" w:hAnsi="Times New Roman"/>
          <w:b w:val="0"/>
          <w:i w:val="0"/>
          <w:sz w:val="20"/>
        </w:rPr>
        <w:t xml:space="preserve">This paper has presented </w:t>
      </w:r>
      <w:r>
        <w:rPr>
          <w:rFonts w:ascii="Times New Roman" w:hAnsi="Times New Roman"/>
          <w:b w:val="0"/>
          <w:i/>
          <w:sz w:val="20"/>
        </w:rPr>
        <w:t>Autonomous Brain</w:t>
      </w:r>
      <w:r>
        <w:rPr>
          <w:rFonts w:ascii="Times New Roman" w:hAnsi="Times New Roman"/>
          <w:b w:val="0"/>
          <w:i w:val="0"/>
          <w:sz w:val="20"/>
        </w:rPr>
        <w:t>, a multi-agent LLM pipeline that continuously designs, implements, quality-assures, and publishes novel software projects without human intervention, at zero operational cost. Over a 21-day observation period, the system shipped 50 projects across six domain types, self-healed from a two-day failure loop autonomously, and exhibited consistent complexity escalation and CEO-level strategy adaptation in response to failure data.</w:t>
      </w:r>
    </w:p>
    <w:p>
      <w:pPr>
        <w:spacing w:before="0" w:after="120" w:line="280" w:lineRule="exact"/>
        <w:jc w:val="both"/>
      </w:pPr>
      <w:r>
        <w:rPr>
          <w:rFonts w:ascii="Times New Roman" w:hAnsi="Times New Roman"/>
          <w:b w:val="0"/>
          <w:i w:val="0"/>
          <w:sz w:val="20"/>
        </w:rPr>
        <w:t>The core contribution is architectural: by structuring a multi-agent system around adversarial role separation, persistent failure memory, and automated mechanical quality gates, it is possible to produce a pipeline that improves its own output quality over time without any parameter update or human diagnosis. Failure is information, and making that information visible to the right agent at the right time is sufficient to produce emergent learning behaviour.</w:t>
      </w:r>
    </w:p>
    <w:p>
      <w:pPr>
        <w:spacing w:before="0" w:after="120" w:line="280" w:lineRule="exact"/>
        <w:jc w:val="both"/>
      </w:pPr>
      <w:r>
        <w:rPr>
          <w:rFonts w:ascii="Times New Roman" w:hAnsi="Times New Roman"/>
          <w:b w:val="0"/>
          <w:i w:val="0"/>
          <w:sz w:val="20"/>
        </w:rPr>
        <w:t>The system is fully open-source and operational. All shipped projects are publicly accessible with one-click live demos. The pipeline continues to run daily, building software that it chose itself.</w:t>
      </w:r>
    </w:p>
    <w:p>
      <w:pPr>
        <w:spacing w:before="280" w:after="80" w:line="280" w:lineRule="exact"/>
        <w:jc w:val="center"/>
      </w:pPr>
      <w:r>
        <w:rPr>
          <w:rFonts w:ascii="Times New Roman" w:hAnsi="Times New Roman"/>
          <w:b/>
          <w:sz w:val="20"/>
        </w:rPr>
        <w:t>Acknowledgement</w:t>
      </w:r>
    </w:p>
    <w:p>
      <w:pPr>
        <w:spacing w:before="0" w:after="120" w:line="280" w:lineRule="exact"/>
        <w:jc w:val="both"/>
      </w:pPr>
      <w:r>
        <w:rPr>
          <w:rFonts w:ascii="Times New Roman" w:hAnsi="Times New Roman"/>
          <w:b w:val="0"/>
          <w:i w:val="0"/>
          <w:sz w:val="20"/>
        </w:rPr>
        <w:t>The author acknowledges the use of GitHub Actions, GitHub Models API, Groq, and Google AI Studio, all accessed under their respective free-tier terms. No research funding was received for this work.</w:t>
      </w:r>
    </w:p>
    <w:p>
      <w:pPr>
        <w:spacing w:before="0" w:after="120" w:line="280" w:lineRule="exact"/>
        <w:jc w:val="both"/>
        <w:pBdr>
          <w:bottom w:val="single" w:sz="4" w:space="1" w:color="CCCCCC"/>
        </w:pBdr>
      </w:pPr>
    </w:p>
    <w:p>
      <w:pPr>
        <w:spacing w:before="280" w:after="80" w:line="280" w:lineRule="exact"/>
        <w:jc w:val="center"/>
      </w:pPr>
      <w:r>
        <w:rPr>
          <w:rFonts w:ascii="Times New Roman" w:hAnsi="Times New Roman"/>
          <w:b/>
          <w:sz w:val="20"/>
        </w:rPr>
        <w:t>References</w:t>
      </w:r>
    </w:p>
    <w:p>
      <w:pPr>
        <w:spacing w:before="0" w:after="60" w:line="260" w:lineRule="exact"/>
        <w:ind w:left="340" w:hanging="340"/>
        <w:jc w:val="left"/>
      </w:pPr>
      <w:r>
        <w:rPr>
          <w:rFonts w:ascii="Times New Roman" w:hAnsi="Times New Roman"/>
          <w:sz w:val="18"/>
        </w:rPr>
        <w:t>[1]  GitHub, GitHub Actions Documentation, GitHub Inc., 2024. [Online]. Available: https://docs.github.com/en/actions</w:t>
      </w:r>
    </w:p>
    <w:p>
      <w:pPr>
        <w:spacing w:before="0" w:after="60" w:line="260" w:lineRule="exact"/>
        <w:ind w:left="340" w:hanging="340"/>
        <w:jc w:val="left"/>
      </w:pPr>
      <w:r>
        <w:rPr>
          <w:rFonts w:ascii="Times New Roman" w:hAnsi="Times New Roman"/>
          <w:sz w:val="18"/>
        </w:rPr>
        <w:t>[2]  GitHub, GitHub Models API, GitHub Inc., 2024. [Online]. Available: https://github.com/marketplace/models</w:t>
      </w:r>
    </w:p>
    <w:p>
      <w:pPr>
        <w:spacing w:before="0" w:after="60" w:line="260" w:lineRule="exact"/>
        <w:ind w:left="340" w:hanging="340"/>
        <w:jc w:val="left"/>
      </w:pPr>
      <w:r>
        <w:rPr>
          <w:rFonts w:ascii="Times New Roman" w:hAnsi="Times New Roman"/>
          <w:sz w:val="18"/>
        </w:rPr>
        <w:t>[3]  OpenAI, "GPT-4 Technical Report," arXiv preprint arXiv:2303.08774, 2024.</w:t>
      </w:r>
    </w:p>
    <w:p>
      <w:pPr>
        <w:spacing w:before="0" w:after="60" w:line="260" w:lineRule="exact"/>
        <w:ind w:left="340" w:hanging="340"/>
        <w:jc w:val="left"/>
      </w:pPr>
      <w:r>
        <w:rPr>
          <w:rFonts w:ascii="Times New Roman" w:hAnsi="Times New Roman"/>
          <w:sz w:val="18"/>
        </w:rPr>
        <w:t>[4]  Microsoft, Playwright Browser Automation Framework, 2024. [Online]. Available: https://playwright.dev</w:t>
      </w:r>
    </w:p>
    <w:p>
      <w:pPr>
        <w:spacing w:before="0" w:after="60" w:line="260" w:lineRule="exact"/>
        <w:ind w:left="340" w:hanging="340"/>
        <w:jc w:val="left"/>
      </w:pPr>
      <w:r>
        <w:rPr>
          <w:rFonts w:ascii="Times New Roman" w:hAnsi="Times New Roman"/>
          <w:sz w:val="18"/>
        </w:rPr>
        <w:t>[5]  GitHub, GitHub Pages, GitHub Inc., 2024. [Online]. Available: https://pages.github.com</w:t>
      </w:r>
    </w:p>
    <w:p>
      <w:pPr>
        <w:spacing w:before="0" w:after="60" w:line="260" w:lineRule="exact"/>
        <w:ind w:left="340" w:hanging="340"/>
        <w:jc w:val="left"/>
      </w:pPr>
      <w:r>
        <w:rPr>
          <w:rFonts w:ascii="Times New Roman" w:hAnsi="Times New Roman"/>
          <w:sz w:val="18"/>
        </w:rPr>
        <w:t>[6]  S. Yao, J. Zhao, D. Yu, N. Du, I. Shafran, K. Narasimhan, and Y. Cao, "ReAct: Synergizing Reasoning and Acting in Language Models," in Proc. Int. Conf. Learning Representations (ICLR), Vienna, 2023.</w:t>
      </w:r>
    </w:p>
    <w:p>
      <w:pPr>
        <w:spacing w:before="0" w:after="60" w:line="260" w:lineRule="exact"/>
        <w:ind w:left="340" w:hanging="340"/>
        <w:jc w:val="left"/>
      </w:pPr>
      <w:r>
        <w:rPr>
          <w:rFonts w:ascii="Times New Roman" w:hAnsi="Times New Roman"/>
          <w:sz w:val="18"/>
        </w:rPr>
        <w:t>[7]  J. S. Park, J. C. O'Brien, C. J. Cai, M. R. Morris, P. Liang, and M. S. Bernstein, "Generative Agents: Interactive Simulacra of Human Behavior," in Proc. ACM Symp. User Interface Software and Technology (UIST), San Francisco, 2023, pp. 1-22.</w:t>
      </w:r>
    </w:p>
    <w:p>
      <w:pPr>
        <w:spacing w:before="0" w:after="60" w:line="260" w:lineRule="exact"/>
        <w:ind w:left="340" w:hanging="340"/>
        <w:jc w:val="left"/>
      </w:pPr>
      <w:r>
        <w:rPr>
          <w:rFonts w:ascii="Times New Roman" w:hAnsi="Times New Roman"/>
          <w:sz w:val="18"/>
        </w:rPr>
        <w:t>[8]  Q. Wu, G. Bansal, J. Zhang, Y. Wu, S. Zhang, E. Zhu, B. Li, L. Jiang, X. Zhang, and C. Wang, "AutoGen: Enabling Next-Gen LLM Applications via Multi-Agent Conversation," arXiv preprint arXiv:2308.08155, 2023.</w:t>
      </w:r>
    </w:p>
    <w:p>
      <w:pPr>
        <w:spacing w:before="0" w:after="120" w:line="280" w:lineRule="exact"/>
        <w:jc w:val="both"/>
        <w:pBdr>
          <w:bottom w:val="single" w:sz="4" w:space="1" w:color="CCCCCC"/>
        </w:pBdr>
      </w:pPr>
    </w:p>
    <w:p>
      <w:pPr>
        <w:spacing w:before="80" w:after="80" w:line="280" w:lineRule="exact"/>
        <w:jc w:val="center"/>
      </w:pPr>
      <w:r>
        <w:rPr>
          <w:rFonts w:ascii="Times New Roman" w:hAnsi="Times New Roman"/>
          <w:b w:val="0"/>
          <w:i/>
          <w:sz w:val="16"/>
        </w:rPr>
        <w:t xml:space="preserve">This paper documents original work conducted and authored by Dipesh Ray between April 28 and May 18, 2026. All statistics are drawn directly from </w:t>
      </w:r>
      <w:r>
        <w:rPr>
          <w:rFonts w:ascii="Times New Roman" w:hAnsi="Times New Roman"/>
          <w:b w:val="0"/>
          <w:i/>
          <w:sz w:val="16"/>
        </w:rPr>
        <w:t>memory_log.json</w:t>
      </w:r>
      <w:r>
        <w:rPr>
          <w:rFonts w:ascii="Times New Roman" w:hAnsi="Times New Roman"/>
          <w:b w:val="0"/>
          <w:i/>
          <w:sz w:val="16"/>
        </w:rPr>
        <w:t xml:space="preserve"> of the autonomous-brain-engine repository at the time of generation. Repository: github.com/dipeshrayg/autonomous-brain-engine. ORCID: 0009-0001-9970-0220.</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