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452" w:rsidRDefault="00695452" w:rsidP="00B5400F">
      <w:pPr>
        <w:pStyle w:val="Heading1"/>
      </w:pPr>
      <w:r w:rsidRPr="00695452">
        <w:t>How the FOODEX.19 configuration works</w:t>
      </w:r>
    </w:p>
    <w:p w:rsidR="00B5400F" w:rsidRDefault="00B5400F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0F4B11" w:rsidRDefault="00B5400F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>Configuration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5400F" w:rsidTr="00B5400F">
        <w:tc>
          <w:tcPr>
            <w:tcW w:w="4621" w:type="dxa"/>
          </w:tcPr>
          <w:p w:rsidR="00B5400F" w:rsidRPr="00B5400F" w:rsidRDefault="00B5400F" w:rsidP="00B5400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B5400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ROOT_GROUP_CODE</w:t>
            </w:r>
          </w:p>
        </w:tc>
        <w:tc>
          <w:tcPr>
            <w:tcW w:w="4621" w:type="dxa"/>
          </w:tcPr>
          <w:p w:rsidR="00B5400F" w:rsidRPr="00B5400F" w:rsidRDefault="00B5400F" w:rsidP="00695452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B5400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varchar</w:t>
            </w:r>
          </w:p>
        </w:tc>
      </w:tr>
      <w:tr w:rsidR="00B5400F" w:rsidTr="00B5400F">
        <w:tc>
          <w:tcPr>
            <w:tcW w:w="4621" w:type="dxa"/>
          </w:tcPr>
          <w:p w:rsidR="00B5400F" w:rsidRPr="00B5400F" w:rsidRDefault="00B5400F" w:rsidP="00695452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B5400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FORBIDDEN_PROCS</w:t>
            </w:r>
          </w:p>
        </w:tc>
        <w:tc>
          <w:tcPr>
            <w:tcW w:w="4621" w:type="dxa"/>
          </w:tcPr>
          <w:p w:rsidR="00B5400F" w:rsidRPr="00B5400F" w:rsidRDefault="00B5400F" w:rsidP="00695452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B5400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varchar</w:t>
            </w:r>
          </w:p>
        </w:tc>
      </w:tr>
    </w:tbl>
    <w:p w:rsidR="00B5400F" w:rsidRPr="00695452" w:rsidRDefault="00B5400F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The </w:t>
      </w:r>
      <w:r w:rsidRPr="00695452">
        <w:rPr>
          <w:rFonts w:ascii="Calibri" w:hAnsi="Calibri" w:cs="Calibri"/>
          <w:color w:val="000000"/>
          <w:sz w:val="16"/>
          <w:szCs w:val="16"/>
        </w:rPr>
        <w:t xml:space="preserve">FOODEX.19 </w:t>
      </w:r>
      <w:r>
        <w:rPr>
          <w:rFonts w:ascii="Calibri" w:hAnsi="Calibri" w:cs="Calibri"/>
          <w:color w:val="000000"/>
          <w:sz w:val="16"/>
          <w:szCs w:val="16"/>
        </w:rPr>
        <w:t xml:space="preserve">configuration is a table which defines sets of processes which cannot be used for raw commodities, since </w:t>
      </w:r>
      <w:r w:rsidRPr="00695452">
        <w:rPr>
          <w:rFonts w:ascii="Calibri" w:hAnsi="Calibri" w:cs="Calibri"/>
          <w:color w:val="000000"/>
          <w:sz w:val="16"/>
          <w:szCs w:val="16"/>
        </w:rPr>
        <w:t>applying these processes</w:t>
      </w:r>
      <w:r>
        <w:rPr>
          <w:rFonts w:ascii="Calibri" w:hAnsi="Calibri" w:cs="Calibri"/>
          <w:color w:val="000000"/>
          <w:sz w:val="16"/>
          <w:szCs w:val="16"/>
        </w:rPr>
        <w:t xml:space="preserve"> would create a derivative which already exists in the catalogue (the derivative should be used instead as base term).</w:t>
      </w:r>
    </w:p>
    <w:p w:rsid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The rules are different depending on the food group of the raw commodity; therefore it is necessary to identify the food groups in order to assign </w:t>
      </w:r>
      <w:r w:rsidRPr="00695452">
        <w:rPr>
          <w:rFonts w:ascii="Calibri" w:hAnsi="Calibri" w:cs="Calibri"/>
          <w:color w:val="000000"/>
          <w:sz w:val="16"/>
          <w:szCs w:val="16"/>
        </w:rPr>
        <w:t>different</w:t>
      </w:r>
      <w:r>
        <w:rPr>
          <w:rFonts w:ascii="Calibri" w:hAnsi="Calibri" w:cs="Calibri"/>
          <w:color w:val="000000"/>
          <w:sz w:val="16"/>
          <w:szCs w:val="16"/>
        </w:rPr>
        <w:t xml:space="preserve"> rules.</w:t>
      </w: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This is what the first column of the configuration does</w:t>
      </w:r>
      <w:r w:rsidRPr="00695452">
        <w:rPr>
          <w:rFonts w:ascii="Calibri" w:hAnsi="Calibri" w:cs="Calibri"/>
          <w:color w:val="000000"/>
          <w:sz w:val="16"/>
          <w:szCs w:val="16"/>
        </w:rPr>
        <w:t>:</w:t>
      </w:r>
      <w:r>
        <w:rPr>
          <w:rFonts w:ascii="Calibri" w:hAnsi="Calibri" w:cs="Calibri"/>
          <w:color w:val="000000"/>
          <w:sz w:val="16"/>
          <w:szCs w:val="16"/>
        </w:rPr>
        <w:t xml:space="preserve"> it defines the code of the term which is the root of a food group</w:t>
      </w:r>
      <w:r w:rsidR="000F4B11">
        <w:rPr>
          <w:rFonts w:ascii="Calibri" w:hAnsi="Calibri" w:cs="Calibri"/>
          <w:color w:val="000000"/>
          <w:sz w:val="16"/>
          <w:szCs w:val="16"/>
        </w:rPr>
        <w:t xml:space="preserve">. </w:t>
      </w:r>
      <w:r w:rsidR="00EB59D9">
        <w:rPr>
          <w:rFonts w:ascii="Calibri" w:hAnsi="Calibri" w:cs="Calibri"/>
          <w:color w:val="000000"/>
          <w:sz w:val="16"/>
          <w:szCs w:val="16"/>
        </w:rPr>
        <w:t>In particular, e</w:t>
      </w:r>
      <w:r w:rsidR="000F4B11">
        <w:rPr>
          <w:rFonts w:ascii="Calibri" w:hAnsi="Calibri" w:cs="Calibri"/>
          <w:color w:val="000000"/>
          <w:sz w:val="16"/>
          <w:szCs w:val="16"/>
        </w:rPr>
        <w:t xml:space="preserve">very </w:t>
      </w:r>
      <w:r w:rsidR="00EB59D9">
        <w:rPr>
          <w:rFonts w:ascii="Calibri" w:hAnsi="Calibri" w:cs="Calibri"/>
          <w:color w:val="000000"/>
          <w:sz w:val="16"/>
          <w:szCs w:val="16"/>
        </w:rPr>
        <w:t>descendant</w:t>
      </w:r>
      <w:r w:rsidR="000F4B11">
        <w:rPr>
          <w:rFonts w:ascii="Calibri" w:hAnsi="Calibri" w:cs="Calibri"/>
          <w:color w:val="000000"/>
          <w:sz w:val="16"/>
          <w:szCs w:val="16"/>
        </w:rPr>
        <w:t xml:space="preserve"> of the root will be subjected to the same rules, unless the </w:t>
      </w:r>
      <w:r w:rsidR="00EB59D9">
        <w:rPr>
          <w:rFonts w:ascii="Calibri" w:hAnsi="Calibri" w:cs="Calibri"/>
          <w:color w:val="000000"/>
          <w:sz w:val="16"/>
          <w:szCs w:val="16"/>
        </w:rPr>
        <w:t>descendant</w:t>
      </w:r>
      <w:r w:rsidR="000F4B11">
        <w:rPr>
          <w:rFonts w:ascii="Calibri" w:hAnsi="Calibri" w:cs="Calibri"/>
          <w:color w:val="000000"/>
          <w:sz w:val="16"/>
          <w:szCs w:val="16"/>
        </w:rPr>
        <w:t xml:space="preserve"> is </w:t>
      </w:r>
      <w:r w:rsidR="00EB59D9">
        <w:rPr>
          <w:rFonts w:ascii="Calibri" w:hAnsi="Calibri" w:cs="Calibri"/>
          <w:color w:val="000000"/>
          <w:sz w:val="16"/>
          <w:szCs w:val="16"/>
        </w:rPr>
        <w:t xml:space="preserve">itself another </w:t>
      </w:r>
      <w:r w:rsidR="000F4B11">
        <w:rPr>
          <w:rFonts w:ascii="Calibri" w:hAnsi="Calibri" w:cs="Calibri"/>
          <w:color w:val="000000"/>
          <w:sz w:val="16"/>
          <w:szCs w:val="16"/>
        </w:rPr>
        <w:t>food group</w:t>
      </w:r>
      <w:r w:rsidR="00EB59D9">
        <w:rPr>
          <w:rFonts w:ascii="Calibri" w:hAnsi="Calibri" w:cs="Calibri"/>
          <w:color w:val="000000"/>
          <w:sz w:val="16"/>
          <w:szCs w:val="16"/>
        </w:rPr>
        <w:t xml:space="preserve"> defined in the configuration. In this case, the sub-food group and its descendants</w:t>
      </w:r>
      <w:r w:rsidR="000F4B11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EB59D9">
        <w:rPr>
          <w:rFonts w:ascii="Calibri" w:hAnsi="Calibri" w:cs="Calibri"/>
          <w:color w:val="000000"/>
          <w:sz w:val="16"/>
          <w:szCs w:val="16"/>
        </w:rPr>
        <w:t xml:space="preserve">will be subjected to their own </w:t>
      </w:r>
      <w:r w:rsidR="000F4B11">
        <w:rPr>
          <w:rFonts w:ascii="Calibri" w:hAnsi="Calibri" w:cs="Calibri"/>
          <w:color w:val="000000"/>
          <w:sz w:val="16"/>
          <w:szCs w:val="16"/>
        </w:rPr>
        <w:t>rules</w:t>
      </w:r>
      <w:r w:rsidR="00EB59D9">
        <w:rPr>
          <w:rFonts w:ascii="Calibri" w:hAnsi="Calibri" w:cs="Calibri"/>
          <w:color w:val="000000"/>
          <w:sz w:val="16"/>
          <w:szCs w:val="16"/>
        </w:rPr>
        <w:t xml:space="preserve"> (no inheritance is applied for the rules)</w:t>
      </w:r>
      <w:r w:rsidR="000F4B11">
        <w:rPr>
          <w:rFonts w:ascii="Calibri" w:hAnsi="Calibri" w:cs="Calibri"/>
          <w:color w:val="000000"/>
          <w:sz w:val="16"/>
          <w:szCs w:val="16"/>
        </w:rPr>
        <w:t xml:space="preserve">. </w:t>
      </w:r>
    </w:p>
    <w:p w:rsid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The second column instead defines for the related food group the forbidden processes. In particular, a row for every forbidden process must be added. For example, imagine the case in which we want to forbid </w:t>
      </w:r>
      <w:r w:rsidRPr="00695452">
        <w:rPr>
          <w:rFonts w:ascii="Calibri" w:hAnsi="Calibri" w:cs="Calibri"/>
          <w:color w:val="000000"/>
          <w:sz w:val="16"/>
          <w:szCs w:val="16"/>
        </w:rPr>
        <w:t>the processes «Smoking (A07JV</w:t>
      </w:r>
      <w:proofErr w:type="gramStart"/>
      <w:r w:rsidRPr="00695452">
        <w:rPr>
          <w:rFonts w:ascii="Calibri" w:hAnsi="Calibri" w:cs="Calibri"/>
          <w:color w:val="000000"/>
          <w:sz w:val="16"/>
          <w:szCs w:val="16"/>
        </w:rPr>
        <w:t>)»</w:t>
      </w:r>
      <w:proofErr w:type="gramEnd"/>
      <w:r w:rsidRPr="00695452">
        <w:rPr>
          <w:rFonts w:ascii="Calibri" w:hAnsi="Calibri" w:cs="Calibri"/>
          <w:color w:val="000000"/>
          <w:sz w:val="16"/>
          <w:szCs w:val="16"/>
        </w:rPr>
        <w:t xml:space="preserve"> and «Canning / jarring (A0BYP)» for </w:t>
      </w:r>
      <w:r>
        <w:rPr>
          <w:rFonts w:ascii="Calibri" w:hAnsi="Calibri" w:cs="Calibri"/>
          <w:color w:val="000000"/>
          <w:sz w:val="16"/>
          <w:szCs w:val="16"/>
        </w:rPr>
        <w:t>the food group identified by the code A0EZR (Fish meat and products thereof)</w:t>
      </w:r>
      <w:r w:rsidRPr="00695452">
        <w:rPr>
          <w:rFonts w:ascii="Calibri" w:hAnsi="Calibri" w:cs="Calibri"/>
          <w:color w:val="000000"/>
          <w:sz w:val="16"/>
          <w:szCs w:val="16"/>
        </w:rPr>
        <w:t>. The configuration will look like the following:</w:t>
      </w: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 w:rsidRPr="00695452">
        <w:rPr>
          <w:rFonts w:ascii="Calibri" w:hAnsi="Calibri" w:cs="Calibri"/>
          <w:b/>
          <w:bCs/>
          <w:color w:val="000000"/>
          <w:sz w:val="16"/>
          <w:szCs w:val="16"/>
        </w:rPr>
        <w:t>ROOT_GROUP_CODE          FORBIDDEN_PROCS</w:t>
      </w: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  <w:r w:rsidRPr="00695452">
        <w:rPr>
          <w:rFonts w:ascii="Calibri" w:hAnsi="Calibri" w:cs="Calibri"/>
          <w:color w:val="000000"/>
          <w:sz w:val="16"/>
          <w:szCs w:val="16"/>
        </w:rPr>
        <w:t xml:space="preserve">A0EZR     </w:t>
      </w:r>
      <w:r>
        <w:rPr>
          <w:rFonts w:ascii="Calibri" w:hAnsi="Calibri" w:cs="Calibri"/>
          <w:color w:val="000000"/>
          <w:sz w:val="16"/>
          <w:szCs w:val="16"/>
        </w:rPr>
        <w:t xml:space="preserve">                               </w:t>
      </w:r>
      <w:r w:rsidRPr="00695452">
        <w:rPr>
          <w:rFonts w:ascii="Calibri" w:hAnsi="Calibri" w:cs="Calibri"/>
          <w:color w:val="000000"/>
          <w:sz w:val="16"/>
          <w:szCs w:val="16"/>
        </w:rPr>
        <w:t>A07JV</w:t>
      </w: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  <w:r w:rsidRPr="00695452">
        <w:rPr>
          <w:rFonts w:ascii="Calibri" w:hAnsi="Calibri" w:cs="Calibri"/>
          <w:color w:val="000000"/>
          <w:sz w:val="16"/>
          <w:szCs w:val="16"/>
        </w:rPr>
        <w:t xml:space="preserve">A0EZR                                  </w:t>
      </w:r>
      <w:r>
        <w:rPr>
          <w:rFonts w:ascii="Calibri" w:hAnsi="Calibri" w:cs="Calibri"/>
          <w:color w:val="000000"/>
          <w:sz w:val="16"/>
          <w:szCs w:val="16"/>
        </w:rPr>
        <w:t xml:space="preserve">  </w:t>
      </w:r>
      <w:r w:rsidRPr="00695452">
        <w:rPr>
          <w:rFonts w:ascii="Calibri" w:hAnsi="Calibri" w:cs="Calibri"/>
          <w:color w:val="000000"/>
          <w:sz w:val="16"/>
          <w:szCs w:val="16"/>
        </w:rPr>
        <w:t>A0BYP</w:t>
      </w: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</w:p>
    <w:p w:rsidR="00695452" w:rsidRPr="00695452" w:rsidRDefault="00B51ABD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However, if there is </w:t>
      </w:r>
      <w:r w:rsidR="00695452" w:rsidRPr="00695452">
        <w:rPr>
          <w:rFonts w:ascii="Calibri" w:hAnsi="Calibri" w:cs="Calibri"/>
          <w:color w:val="000000"/>
          <w:sz w:val="16"/>
          <w:szCs w:val="16"/>
        </w:rPr>
        <w:t xml:space="preserve">need of defining a list of </w:t>
      </w:r>
      <w:r>
        <w:rPr>
          <w:rFonts w:ascii="Calibri" w:hAnsi="Calibri" w:cs="Calibri"/>
          <w:color w:val="000000"/>
          <w:sz w:val="16"/>
          <w:szCs w:val="16"/>
        </w:rPr>
        <w:t xml:space="preserve">forbidden </w:t>
      </w:r>
      <w:r w:rsidR="00695452" w:rsidRPr="00695452">
        <w:rPr>
          <w:rFonts w:ascii="Calibri" w:hAnsi="Calibri" w:cs="Calibri"/>
          <w:color w:val="000000"/>
          <w:sz w:val="16"/>
          <w:szCs w:val="16"/>
        </w:rPr>
        <w:t xml:space="preserve">processes only if they are used together (for example, if we want to forbid Smoking and Canning / jarring only if they are both present in the facets), it is possible to define them as a </w:t>
      </w:r>
      <w:r w:rsidR="000F4B11">
        <w:rPr>
          <w:rFonts w:ascii="Calibri" w:hAnsi="Calibri" w:cs="Calibri"/>
          <w:color w:val="000000"/>
          <w:sz w:val="16"/>
          <w:szCs w:val="16"/>
        </w:rPr>
        <w:t>list</w:t>
      </w:r>
      <w:r w:rsidR="000F4B11" w:rsidRPr="00695452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695452" w:rsidRPr="00695452">
        <w:rPr>
          <w:rFonts w:ascii="Calibri" w:hAnsi="Calibri" w:cs="Calibri"/>
          <w:color w:val="000000"/>
          <w:sz w:val="16"/>
          <w:szCs w:val="16"/>
        </w:rPr>
        <w:t>$-separated</w:t>
      </w:r>
      <w:r w:rsidR="00EB59D9">
        <w:rPr>
          <w:rFonts w:ascii="Calibri" w:hAnsi="Calibri" w:cs="Calibri"/>
          <w:color w:val="000000"/>
          <w:sz w:val="16"/>
          <w:szCs w:val="16"/>
        </w:rPr>
        <w:t xml:space="preserve"> in a single entry of the table</w:t>
      </w:r>
      <w:r w:rsidR="00695452" w:rsidRPr="00695452">
        <w:rPr>
          <w:rFonts w:ascii="Calibri" w:hAnsi="Calibri" w:cs="Calibri"/>
          <w:color w:val="000000"/>
          <w:sz w:val="16"/>
          <w:szCs w:val="16"/>
        </w:rPr>
        <w:t>:</w:t>
      </w: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 w:rsidRPr="00695452">
        <w:rPr>
          <w:rFonts w:ascii="Calibri" w:hAnsi="Calibri" w:cs="Calibri"/>
          <w:b/>
          <w:bCs/>
          <w:color w:val="000000"/>
          <w:sz w:val="16"/>
          <w:szCs w:val="16"/>
        </w:rPr>
        <w:t>ROOT_GROUP_CODE          FORBIDDEN_PROCS</w:t>
      </w: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  <w:r w:rsidRPr="00695452">
        <w:rPr>
          <w:rFonts w:ascii="Calibri" w:hAnsi="Calibri" w:cs="Calibri"/>
          <w:color w:val="000000"/>
          <w:sz w:val="16"/>
          <w:szCs w:val="16"/>
        </w:rPr>
        <w:t xml:space="preserve">A0EZR     </w:t>
      </w:r>
      <w:r>
        <w:rPr>
          <w:rFonts w:ascii="Calibri" w:hAnsi="Calibri" w:cs="Calibri"/>
          <w:color w:val="000000"/>
          <w:sz w:val="16"/>
          <w:szCs w:val="16"/>
        </w:rPr>
        <w:t xml:space="preserve">                               </w:t>
      </w:r>
      <w:r w:rsidRPr="00695452">
        <w:rPr>
          <w:rFonts w:ascii="Calibri" w:hAnsi="Calibri" w:cs="Calibri"/>
          <w:color w:val="000000"/>
          <w:sz w:val="16"/>
          <w:szCs w:val="16"/>
        </w:rPr>
        <w:t>A07JV$A0BYP</w:t>
      </w:r>
    </w:p>
    <w:p w:rsidR="00695452" w:rsidRPr="00695452" w:rsidRDefault="00695452" w:rsidP="00695452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</w:p>
    <w:p w:rsidR="00F7532E" w:rsidRDefault="00695452" w:rsidP="00695452">
      <w:pPr>
        <w:jc w:val="both"/>
        <w:rPr>
          <w:rFonts w:ascii="Calibri" w:hAnsi="Calibri" w:cs="Calibri"/>
          <w:color w:val="000000"/>
          <w:sz w:val="16"/>
          <w:szCs w:val="16"/>
        </w:rPr>
      </w:pPr>
      <w:r w:rsidRPr="00695452">
        <w:rPr>
          <w:rFonts w:ascii="Calibri" w:hAnsi="Calibri" w:cs="Calibri"/>
          <w:color w:val="000000"/>
          <w:sz w:val="16"/>
          <w:szCs w:val="16"/>
        </w:rPr>
        <w:t xml:space="preserve">As a general rule, the column FORBIDDEN_PROCS defines a forbidden </w:t>
      </w:r>
      <w:r w:rsidRPr="00695452">
        <w:rPr>
          <w:rFonts w:ascii="Calibri" w:hAnsi="Calibri" w:cs="Calibri"/>
          <w:b/>
          <w:bCs/>
          <w:color w:val="000000"/>
          <w:sz w:val="16"/>
          <w:szCs w:val="16"/>
        </w:rPr>
        <w:t xml:space="preserve">combination </w:t>
      </w:r>
      <w:r w:rsidRPr="00695452">
        <w:rPr>
          <w:rFonts w:ascii="Calibri" w:hAnsi="Calibri" w:cs="Calibri"/>
          <w:color w:val="000000"/>
          <w:sz w:val="16"/>
          <w:szCs w:val="16"/>
        </w:rPr>
        <w:t>of processes</w:t>
      </w:r>
      <w:r w:rsidR="00EB59D9">
        <w:rPr>
          <w:rFonts w:ascii="Calibri" w:hAnsi="Calibri" w:cs="Calibri"/>
          <w:color w:val="000000"/>
          <w:sz w:val="16"/>
          <w:szCs w:val="16"/>
        </w:rPr>
        <w:t>. This</w:t>
      </w:r>
      <w:r w:rsidRPr="00695452">
        <w:rPr>
          <w:rFonts w:ascii="Calibri" w:hAnsi="Calibri" w:cs="Calibri"/>
          <w:color w:val="000000"/>
          <w:sz w:val="16"/>
          <w:szCs w:val="16"/>
        </w:rPr>
        <w:t xml:space="preserve"> gives flexibility to the configuration.</w:t>
      </w:r>
    </w:p>
    <w:p w:rsidR="00B5400F" w:rsidRDefault="00B5400F" w:rsidP="00B5400F">
      <w:pPr>
        <w:pStyle w:val="Heading1"/>
      </w:pPr>
      <w:r>
        <w:t>Examples</w:t>
      </w:r>
    </w:p>
    <w:p w:rsidR="00B5400F" w:rsidRDefault="00B5400F" w:rsidP="00B5400F">
      <w:pPr>
        <w:pStyle w:val="Heading2"/>
      </w:pPr>
      <w:r>
        <w:t xml:space="preserve">Forbid </w:t>
      </w:r>
      <w:r w:rsidR="00D8584D">
        <w:t xml:space="preserve">single </w:t>
      </w:r>
      <w:r>
        <w:t>processes for a food group</w:t>
      </w:r>
    </w:p>
    <w:p w:rsidR="008D5C71" w:rsidRDefault="005233BF" w:rsidP="00D8584D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  <w:r w:rsidRPr="00D8584D">
        <w:rPr>
          <w:rFonts w:ascii="Calibri" w:hAnsi="Calibri" w:cs="Calibri"/>
          <w:color w:val="000000"/>
          <w:sz w:val="16"/>
          <w:szCs w:val="16"/>
        </w:rPr>
        <w:t>Consider the raw primary commodity (RPC) “</w:t>
      </w:r>
      <w:r w:rsidR="00D8584D" w:rsidRPr="00D8584D">
        <w:rPr>
          <w:rFonts w:ascii="Calibri" w:hAnsi="Calibri" w:cs="Calibri"/>
          <w:color w:val="000000"/>
          <w:sz w:val="16"/>
          <w:szCs w:val="16"/>
        </w:rPr>
        <w:t>Atlantic s</w:t>
      </w:r>
      <w:r w:rsidRPr="00D8584D">
        <w:rPr>
          <w:rFonts w:ascii="Calibri" w:hAnsi="Calibri" w:cs="Calibri"/>
          <w:color w:val="000000"/>
          <w:sz w:val="16"/>
          <w:szCs w:val="16"/>
        </w:rPr>
        <w:t>almon”</w:t>
      </w:r>
      <w:r w:rsidR="00AD71AF" w:rsidRPr="00D8584D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D8584D" w:rsidRPr="00D8584D">
        <w:rPr>
          <w:rFonts w:ascii="Calibri" w:hAnsi="Calibri" w:cs="Calibri"/>
          <w:color w:val="000000"/>
          <w:sz w:val="16"/>
          <w:szCs w:val="16"/>
        </w:rPr>
        <w:t xml:space="preserve">(A028P) </w:t>
      </w:r>
      <w:r w:rsidR="00AD71AF" w:rsidRPr="00D8584D">
        <w:rPr>
          <w:rFonts w:ascii="Calibri" w:hAnsi="Calibri" w:cs="Calibri"/>
          <w:color w:val="000000"/>
          <w:sz w:val="16"/>
          <w:szCs w:val="16"/>
        </w:rPr>
        <w:t>in the Reporting hierarchy</w:t>
      </w:r>
      <w:r w:rsidR="00D8584D" w:rsidRPr="00D8584D">
        <w:rPr>
          <w:rFonts w:ascii="Calibri" w:hAnsi="Calibri" w:cs="Calibri"/>
          <w:color w:val="000000"/>
          <w:sz w:val="16"/>
          <w:szCs w:val="16"/>
        </w:rPr>
        <w:t>. In this case, the process</w:t>
      </w:r>
      <w:r w:rsidRPr="00D8584D">
        <w:rPr>
          <w:rFonts w:ascii="Calibri" w:hAnsi="Calibri" w:cs="Calibri"/>
          <w:color w:val="000000"/>
          <w:sz w:val="16"/>
          <w:szCs w:val="16"/>
        </w:rPr>
        <w:t xml:space="preserve"> “Smoking” </w:t>
      </w:r>
      <w:r w:rsidR="00D8584D" w:rsidRPr="00D8584D">
        <w:rPr>
          <w:rFonts w:ascii="Calibri" w:hAnsi="Calibri" w:cs="Calibri"/>
          <w:color w:val="000000"/>
          <w:sz w:val="16"/>
          <w:szCs w:val="16"/>
        </w:rPr>
        <w:t xml:space="preserve">(A07JV) </w:t>
      </w:r>
      <w:r w:rsidRPr="00D8584D">
        <w:rPr>
          <w:rFonts w:ascii="Calibri" w:hAnsi="Calibri" w:cs="Calibri"/>
          <w:color w:val="000000"/>
          <w:sz w:val="16"/>
          <w:szCs w:val="16"/>
        </w:rPr>
        <w:t xml:space="preserve">cannot be applied to it, since the “Smoked salmon” </w:t>
      </w:r>
      <w:r w:rsidR="00D8584D" w:rsidRPr="00D8584D">
        <w:rPr>
          <w:rFonts w:ascii="Calibri" w:hAnsi="Calibri" w:cs="Calibri"/>
          <w:color w:val="000000"/>
          <w:sz w:val="16"/>
          <w:szCs w:val="16"/>
        </w:rPr>
        <w:t>term</w:t>
      </w:r>
      <w:r w:rsidR="00AD71AF" w:rsidRPr="00D8584D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D8584D">
        <w:rPr>
          <w:rFonts w:ascii="Calibri" w:hAnsi="Calibri" w:cs="Calibri"/>
          <w:color w:val="000000"/>
          <w:sz w:val="16"/>
          <w:szCs w:val="16"/>
        </w:rPr>
        <w:t>already exist</w:t>
      </w:r>
      <w:r w:rsidR="00D8584D" w:rsidRPr="00D8584D">
        <w:rPr>
          <w:rFonts w:ascii="Calibri" w:hAnsi="Calibri" w:cs="Calibri"/>
          <w:color w:val="000000"/>
          <w:sz w:val="16"/>
          <w:szCs w:val="16"/>
        </w:rPr>
        <w:t>s</w:t>
      </w:r>
      <w:r w:rsidRPr="00D8584D">
        <w:rPr>
          <w:rFonts w:ascii="Calibri" w:hAnsi="Calibri" w:cs="Calibri"/>
          <w:color w:val="000000"/>
          <w:sz w:val="16"/>
          <w:szCs w:val="16"/>
        </w:rPr>
        <w:t xml:space="preserve"> in the </w:t>
      </w:r>
      <w:r w:rsidR="00AD71AF" w:rsidRPr="00D8584D">
        <w:rPr>
          <w:rFonts w:ascii="Calibri" w:hAnsi="Calibri" w:cs="Calibri"/>
          <w:color w:val="000000"/>
          <w:sz w:val="16"/>
          <w:szCs w:val="16"/>
        </w:rPr>
        <w:t>considered hierarchy,</w:t>
      </w:r>
      <w:r w:rsidRPr="00D8584D">
        <w:rPr>
          <w:rFonts w:ascii="Calibri" w:hAnsi="Calibri" w:cs="Calibri"/>
          <w:color w:val="000000"/>
          <w:sz w:val="16"/>
          <w:szCs w:val="16"/>
        </w:rPr>
        <w:t xml:space="preserve"> and </w:t>
      </w:r>
      <w:r w:rsidR="00D8584D" w:rsidRPr="00D8584D">
        <w:rPr>
          <w:rFonts w:ascii="Calibri" w:hAnsi="Calibri" w:cs="Calibri"/>
          <w:color w:val="000000"/>
          <w:sz w:val="16"/>
          <w:szCs w:val="16"/>
        </w:rPr>
        <w:t>it</w:t>
      </w:r>
      <w:r w:rsidRPr="00D8584D">
        <w:rPr>
          <w:rFonts w:ascii="Calibri" w:hAnsi="Calibri" w:cs="Calibri"/>
          <w:color w:val="000000"/>
          <w:sz w:val="16"/>
          <w:szCs w:val="16"/>
        </w:rPr>
        <w:t xml:space="preserve"> should be used instead of the RPC as a starting point for creating the FoodEx2 code.</w:t>
      </w:r>
      <w:r w:rsidR="008D5C71" w:rsidRPr="00D8584D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D8584D" w:rsidRPr="00D8584D">
        <w:rPr>
          <w:rFonts w:ascii="Calibri" w:hAnsi="Calibri" w:cs="Calibri"/>
          <w:color w:val="000000"/>
          <w:sz w:val="16"/>
          <w:szCs w:val="16"/>
        </w:rPr>
        <w:t>The FOODEX2.19 rule allows forbidding the “Smoking” process by setting a proper configuration, which in this case would be the following:</w:t>
      </w:r>
    </w:p>
    <w:p w:rsidR="00D8584D" w:rsidRPr="00D8584D" w:rsidRDefault="00D8584D" w:rsidP="00D8584D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843"/>
      </w:tblGrid>
      <w:tr w:rsidR="00D8584D" w:rsidRPr="00D8584D" w:rsidTr="00D8584D">
        <w:trPr>
          <w:trHeight w:val="337"/>
          <w:jc w:val="center"/>
        </w:trPr>
        <w:tc>
          <w:tcPr>
            <w:tcW w:w="1809" w:type="dxa"/>
          </w:tcPr>
          <w:p w:rsidR="00D8584D" w:rsidRPr="00D8584D" w:rsidRDefault="00D8584D" w:rsidP="00D8584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ROOT_GROUP_CODE</w:t>
            </w:r>
          </w:p>
        </w:tc>
        <w:tc>
          <w:tcPr>
            <w:tcW w:w="1843" w:type="dxa"/>
          </w:tcPr>
          <w:p w:rsidR="00D8584D" w:rsidRPr="00D8584D" w:rsidRDefault="00D8584D" w:rsidP="00D8584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FORBIDDEN_PROCS</w:t>
            </w:r>
          </w:p>
        </w:tc>
      </w:tr>
      <w:tr w:rsidR="00D8584D" w:rsidRPr="00D8584D" w:rsidTr="00D8584D">
        <w:trPr>
          <w:trHeight w:val="301"/>
          <w:jc w:val="center"/>
        </w:trPr>
        <w:tc>
          <w:tcPr>
            <w:tcW w:w="1809" w:type="dxa"/>
          </w:tcPr>
          <w:p w:rsidR="00D8584D" w:rsidRPr="00D8584D" w:rsidRDefault="00D8584D" w:rsidP="00D8584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A028P</w:t>
            </w:r>
          </w:p>
        </w:tc>
        <w:tc>
          <w:tcPr>
            <w:tcW w:w="1843" w:type="dxa"/>
          </w:tcPr>
          <w:p w:rsidR="00D8584D" w:rsidRPr="00D8584D" w:rsidRDefault="00D8584D" w:rsidP="00D8584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A07JV</w:t>
            </w:r>
          </w:p>
        </w:tc>
      </w:tr>
    </w:tbl>
    <w:p w:rsidR="00D8584D" w:rsidRPr="00D8584D" w:rsidRDefault="00D8584D" w:rsidP="00D8584D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</w:p>
    <w:p w:rsidR="005E2028" w:rsidRDefault="00D8584D" w:rsidP="00D8584D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However, this </w:t>
      </w:r>
      <w:r w:rsidR="008D5C71" w:rsidRPr="00D8584D">
        <w:rPr>
          <w:rFonts w:ascii="Calibri" w:hAnsi="Calibri" w:cs="Calibri"/>
          <w:color w:val="000000"/>
          <w:sz w:val="16"/>
          <w:szCs w:val="16"/>
        </w:rPr>
        <w:t>rule is actually valid f</w:t>
      </w:r>
      <w:r w:rsidRPr="00D8584D">
        <w:rPr>
          <w:rFonts w:ascii="Calibri" w:hAnsi="Calibri" w:cs="Calibri"/>
          <w:color w:val="000000"/>
          <w:sz w:val="16"/>
          <w:szCs w:val="16"/>
        </w:rPr>
        <w:t xml:space="preserve">or </w:t>
      </w:r>
      <w:r>
        <w:rPr>
          <w:rFonts w:ascii="Calibri" w:hAnsi="Calibri" w:cs="Calibri"/>
          <w:color w:val="000000"/>
          <w:sz w:val="16"/>
          <w:szCs w:val="16"/>
        </w:rPr>
        <w:t>every fish</w:t>
      </w:r>
      <w:r w:rsidRPr="00D8584D">
        <w:rPr>
          <w:rFonts w:ascii="Calibri" w:hAnsi="Calibri" w:cs="Calibri"/>
          <w:color w:val="000000"/>
          <w:sz w:val="16"/>
          <w:szCs w:val="16"/>
        </w:rPr>
        <w:t xml:space="preserve"> in the Reporting hierarchy, </w:t>
      </w:r>
      <w:r>
        <w:rPr>
          <w:rFonts w:ascii="Calibri" w:hAnsi="Calibri" w:cs="Calibri"/>
          <w:color w:val="000000"/>
          <w:sz w:val="16"/>
          <w:szCs w:val="16"/>
        </w:rPr>
        <w:t xml:space="preserve">therefore </w:t>
      </w:r>
      <w:r w:rsidRPr="00D8584D">
        <w:rPr>
          <w:rFonts w:ascii="Calibri" w:hAnsi="Calibri" w:cs="Calibri"/>
          <w:color w:val="000000"/>
          <w:sz w:val="16"/>
          <w:szCs w:val="16"/>
        </w:rPr>
        <w:t xml:space="preserve">it would be necessary to specify for each fish the </w:t>
      </w:r>
      <w:r w:rsidRPr="00D8584D">
        <w:rPr>
          <w:rFonts w:ascii="Calibri" w:hAnsi="Calibri" w:cs="Calibri"/>
          <w:b/>
          <w:color w:val="000000"/>
          <w:sz w:val="16"/>
          <w:szCs w:val="16"/>
        </w:rPr>
        <w:t>same</w:t>
      </w:r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D8584D">
        <w:rPr>
          <w:rFonts w:ascii="Calibri" w:hAnsi="Calibri" w:cs="Calibri"/>
          <w:color w:val="000000"/>
          <w:sz w:val="16"/>
          <w:szCs w:val="16"/>
        </w:rPr>
        <w:t xml:space="preserve">forbidden processes, which could be a time consuming and error prone activity. For this reason, </w:t>
      </w:r>
      <w:r>
        <w:rPr>
          <w:rFonts w:ascii="Calibri" w:hAnsi="Calibri" w:cs="Calibri"/>
          <w:color w:val="000000"/>
          <w:sz w:val="16"/>
          <w:szCs w:val="16"/>
        </w:rPr>
        <w:t xml:space="preserve">it is possible to define a set of rules for an entire food group, by using a root term, as explained in the previous Section. Since every RPC fish in the reporting hierarchy is child of the generic term </w:t>
      </w:r>
      <w:r w:rsidR="00BE5560">
        <w:rPr>
          <w:rFonts w:ascii="Calibri" w:hAnsi="Calibri" w:cs="Calibri"/>
          <w:color w:val="000000"/>
          <w:sz w:val="16"/>
          <w:szCs w:val="16"/>
        </w:rPr>
        <w:t>“</w:t>
      </w:r>
      <w:r w:rsidR="00BE5560" w:rsidRPr="00BE5560">
        <w:rPr>
          <w:rFonts w:ascii="Calibri" w:hAnsi="Calibri" w:cs="Calibri"/>
          <w:color w:val="000000"/>
          <w:sz w:val="16"/>
          <w:szCs w:val="16"/>
        </w:rPr>
        <w:t>Fish meat and products thereof</w:t>
      </w:r>
      <w:r w:rsidR="00BE5560">
        <w:rPr>
          <w:rFonts w:ascii="Calibri" w:hAnsi="Calibri" w:cs="Calibri"/>
          <w:color w:val="000000"/>
          <w:sz w:val="16"/>
          <w:szCs w:val="16"/>
        </w:rPr>
        <w:t>” (</w:t>
      </w:r>
      <w:r w:rsidR="00BE5560" w:rsidRPr="00BE5560">
        <w:rPr>
          <w:rFonts w:ascii="Calibri" w:hAnsi="Calibri" w:cs="Calibri"/>
          <w:color w:val="000000"/>
          <w:sz w:val="16"/>
          <w:szCs w:val="16"/>
        </w:rPr>
        <w:t>A0EZR</w:t>
      </w:r>
      <w:r w:rsidR="00BE5560">
        <w:rPr>
          <w:rFonts w:ascii="Calibri" w:hAnsi="Calibri" w:cs="Calibri"/>
          <w:color w:val="000000"/>
          <w:sz w:val="16"/>
          <w:szCs w:val="16"/>
        </w:rPr>
        <w:t xml:space="preserve">), it is possible to define the rules on this term to affect every fish with a single configuration. In particular, the following configuration forbids the use of the “Smoking” process for every fish </w:t>
      </w:r>
      <w:r w:rsidR="00054CF3">
        <w:rPr>
          <w:rFonts w:ascii="Calibri" w:hAnsi="Calibri" w:cs="Calibri"/>
          <w:color w:val="000000"/>
          <w:sz w:val="16"/>
          <w:szCs w:val="16"/>
        </w:rPr>
        <w:t>descendent</w:t>
      </w:r>
      <w:r w:rsidR="00BE5560">
        <w:rPr>
          <w:rFonts w:ascii="Calibri" w:hAnsi="Calibri" w:cs="Calibri"/>
          <w:color w:val="000000"/>
          <w:sz w:val="16"/>
          <w:szCs w:val="16"/>
        </w:rPr>
        <w:t xml:space="preserve"> of </w:t>
      </w:r>
      <w:r w:rsidR="00BE5560">
        <w:rPr>
          <w:rFonts w:ascii="Calibri" w:hAnsi="Calibri" w:cs="Calibri"/>
          <w:color w:val="000000"/>
          <w:sz w:val="16"/>
          <w:szCs w:val="16"/>
        </w:rPr>
        <w:t>“</w:t>
      </w:r>
      <w:r w:rsidR="00BE5560" w:rsidRPr="00BE5560">
        <w:rPr>
          <w:rFonts w:ascii="Calibri" w:hAnsi="Calibri" w:cs="Calibri"/>
          <w:color w:val="000000"/>
          <w:sz w:val="16"/>
          <w:szCs w:val="16"/>
        </w:rPr>
        <w:t>Fish meat and products thereof</w:t>
      </w:r>
      <w:r w:rsidR="00BE5560">
        <w:rPr>
          <w:rFonts w:ascii="Calibri" w:hAnsi="Calibri" w:cs="Calibri"/>
          <w:color w:val="000000"/>
          <w:sz w:val="16"/>
          <w:szCs w:val="16"/>
        </w:rPr>
        <w:t>”</w:t>
      </w:r>
      <w:r w:rsidR="00BE5560">
        <w:rPr>
          <w:rFonts w:ascii="Calibri" w:hAnsi="Calibri" w:cs="Calibri"/>
          <w:color w:val="000000"/>
          <w:sz w:val="16"/>
          <w:szCs w:val="1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843"/>
      </w:tblGrid>
      <w:tr w:rsidR="00BE5560" w:rsidRPr="00D8584D" w:rsidTr="006D713D">
        <w:trPr>
          <w:trHeight w:val="337"/>
          <w:jc w:val="center"/>
        </w:trPr>
        <w:tc>
          <w:tcPr>
            <w:tcW w:w="1809" w:type="dxa"/>
          </w:tcPr>
          <w:p w:rsidR="00BE5560" w:rsidRPr="00D8584D" w:rsidRDefault="00BE5560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ROOT_GROUP_CODE</w:t>
            </w:r>
          </w:p>
        </w:tc>
        <w:tc>
          <w:tcPr>
            <w:tcW w:w="1843" w:type="dxa"/>
          </w:tcPr>
          <w:p w:rsidR="00BE5560" w:rsidRPr="00D8584D" w:rsidRDefault="00BE5560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FORBIDDEN_PROCS</w:t>
            </w:r>
          </w:p>
        </w:tc>
      </w:tr>
      <w:tr w:rsidR="00BE5560" w:rsidRPr="00D8584D" w:rsidTr="006D713D">
        <w:trPr>
          <w:trHeight w:val="301"/>
          <w:jc w:val="center"/>
        </w:trPr>
        <w:tc>
          <w:tcPr>
            <w:tcW w:w="1809" w:type="dxa"/>
          </w:tcPr>
          <w:p w:rsidR="00BE5560" w:rsidRPr="00D8584D" w:rsidRDefault="00BE5560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5560">
              <w:rPr>
                <w:rFonts w:ascii="Calibri" w:hAnsi="Calibri" w:cs="Calibri"/>
                <w:color w:val="000000"/>
                <w:sz w:val="16"/>
                <w:szCs w:val="16"/>
              </w:rPr>
              <w:t>A0EZR</w:t>
            </w:r>
          </w:p>
        </w:tc>
        <w:tc>
          <w:tcPr>
            <w:tcW w:w="1843" w:type="dxa"/>
          </w:tcPr>
          <w:p w:rsidR="00BE5560" w:rsidRPr="00D8584D" w:rsidRDefault="00BE5560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A07JV</w:t>
            </w:r>
          </w:p>
        </w:tc>
      </w:tr>
    </w:tbl>
    <w:p w:rsidR="00BE5560" w:rsidRDefault="00BF4B7D" w:rsidP="00D8584D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lastRenderedPageBreak/>
        <w:t>If more than one process should be forbidden, then it is only required to repeat the same logic of a single process by adding new rows in the configuration. For example, if also the “Canning / jarring” (</w:t>
      </w:r>
      <w:r w:rsidRPr="00BF4B7D">
        <w:rPr>
          <w:rFonts w:ascii="Calibri" w:hAnsi="Calibri" w:cs="Calibri"/>
          <w:color w:val="000000"/>
          <w:sz w:val="16"/>
          <w:szCs w:val="16"/>
        </w:rPr>
        <w:t>A0BYP</w:t>
      </w:r>
      <w:r>
        <w:rPr>
          <w:rFonts w:ascii="Calibri" w:hAnsi="Calibri" w:cs="Calibri"/>
          <w:color w:val="000000"/>
          <w:sz w:val="16"/>
          <w:szCs w:val="16"/>
        </w:rPr>
        <w:t>) process must be forbidden for fishes (apart from “Smoking”), then two rows should be set in the configuration: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843"/>
      </w:tblGrid>
      <w:tr w:rsidR="00BF4B7D" w:rsidRPr="00D8584D" w:rsidTr="006D713D">
        <w:trPr>
          <w:trHeight w:val="337"/>
          <w:jc w:val="center"/>
        </w:trPr>
        <w:tc>
          <w:tcPr>
            <w:tcW w:w="1809" w:type="dxa"/>
          </w:tcPr>
          <w:p w:rsidR="00BF4B7D" w:rsidRPr="00D8584D" w:rsidRDefault="00BF4B7D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ROOT_GROUP_CODE</w:t>
            </w:r>
          </w:p>
        </w:tc>
        <w:tc>
          <w:tcPr>
            <w:tcW w:w="1843" w:type="dxa"/>
          </w:tcPr>
          <w:p w:rsidR="00BF4B7D" w:rsidRPr="00D8584D" w:rsidRDefault="00BF4B7D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FORBIDDEN_PROCS</w:t>
            </w:r>
          </w:p>
        </w:tc>
      </w:tr>
      <w:tr w:rsidR="00BF4B7D" w:rsidRPr="00D8584D" w:rsidTr="006D713D">
        <w:trPr>
          <w:trHeight w:val="301"/>
          <w:jc w:val="center"/>
        </w:trPr>
        <w:tc>
          <w:tcPr>
            <w:tcW w:w="1809" w:type="dxa"/>
          </w:tcPr>
          <w:p w:rsidR="00BF4B7D" w:rsidRPr="00D8584D" w:rsidRDefault="00BF4B7D" w:rsidP="00BF4B7D">
            <w:pPr>
              <w:tabs>
                <w:tab w:val="left" w:pos="864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5560">
              <w:rPr>
                <w:rFonts w:ascii="Calibri" w:hAnsi="Calibri" w:cs="Calibri"/>
                <w:color w:val="000000"/>
                <w:sz w:val="16"/>
                <w:szCs w:val="16"/>
              </w:rPr>
              <w:t>A0EZR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(Fish meat and products thereof)</w:t>
            </w:r>
          </w:p>
        </w:tc>
        <w:tc>
          <w:tcPr>
            <w:tcW w:w="1843" w:type="dxa"/>
          </w:tcPr>
          <w:p w:rsidR="00BF4B7D" w:rsidRPr="00D8584D" w:rsidRDefault="00BF4B7D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A07JV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(Smoking)</w:t>
            </w:r>
          </w:p>
        </w:tc>
      </w:tr>
      <w:tr w:rsidR="00BF4B7D" w:rsidRPr="00D8584D" w:rsidTr="006D713D">
        <w:trPr>
          <w:trHeight w:val="301"/>
          <w:jc w:val="center"/>
        </w:trPr>
        <w:tc>
          <w:tcPr>
            <w:tcW w:w="1809" w:type="dxa"/>
          </w:tcPr>
          <w:p w:rsidR="00BF4B7D" w:rsidRPr="00BE5560" w:rsidRDefault="00BF4B7D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E5560">
              <w:rPr>
                <w:rFonts w:ascii="Calibri" w:hAnsi="Calibri" w:cs="Calibri"/>
                <w:color w:val="000000"/>
                <w:sz w:val="16"/>
                <w:szCs w:val="16"/>
              </w:rPr>
              <w:t>A0EZR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(Fish meat and products thereof)</w:t>
            </w:r>
          </w:p>
        </w:tc>
        <w:tc>
          <w:tcPr>
            <w:tcW w:w="1843" w:type="dxa"/>
          </w:tcPr>
          <w:p w:rsidR="00BF4B7D" w:rsidRPr="00D8584D" w:rsidRDefault="00BF4B7D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F4B7D">
              <w:rPr>
                <w:rFonts w:ascii="Calibri" w:hAnsi="Calibri" w:cs="Calibri"/>
                <w:color w:val="000000"/>
                <w:sz w:val="16"/>
                <w:szCs w:val="16"/>
              </w:rPr>
              <w:t>A0BYP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(Canning/Jarring)</w:t>
            </w:r>
          </w:p>
        </w:tc>
      </w:tr>
    </w:tbl>
    <w:p w:rsidR="00BF4B7D" w:rsidRPr="00D8584D" w:rsidRDefault="00BF4B7D" w:rsidP="00D8584D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color w:val="000000"/>
          <w:sz w:val="16"/>
          <w:szCs w:val="16"/>
        </w:rPr>
      </w:pPr>
    </w:p>
    <w:p w:rsidR="00B5400F" w:rsidRDefault="00B5400F" w:rsidP="00B5400F">
      <w:pPr>
        <w:pStyle w:val="Heading2"/>
      </w:pPr>
      <w:r>
        <w:t>Forbid combinations of processes for a food group</w:t>
      </w:r>
    </w:p>
    <w:p w:rsidR="007E49A8" w:rsidRDefault="007E49A8" w:rsidP="007E49A8">
      <w:pPr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In the</w:t>
      </w:r>
      <w:r w:rsidRPr="007E49A8">
        <w:rPr>
          <w:rFonts w:ascii="Calibri" w:hAnsi="Calibri" w:cs="Calibri"/>
          <w:color w:val="000000"/>
          <w:sz w:val="16"/>
          <w:szCs w:val="16"/>
        </w:rPr>
        <w:t xml:space="preserve"> p</w:t>
      </w:r>
      <w:r>
        <w:rPr>
          <w:rFonts w:ascii="Calibri" w:hAnsi="Calibri" w:cs="Calibri"/>
          <w:color w:val="000000"/>
          <w:sz w:val="16"/>
          <w:szCs w:val="16"/>
        </w:rPr>
        <w:t xml:space="preserve">revious Section it has been shown how to forbid the use of single processes for a specific food group. In this Section, it is explained with a practical example how to forbid the use of processes </w:t>
      </w:r>
      <w:r w:rsidRPr="007E49A8">
        <w:rPr>
          <w:rFonts w:ascii="Calibri" w:hAnsi="Calibri" w:cs="Calibri"/>
          <w:b/>
          <w:color w:val="000000"/>
          <w:sz w:val="16"/>
          <w:szCs w:val="16"/>
        </w:rPr>
        <w:t>together</w:t>
      </w:r>
      <w:r>
        <w:rPr>
          <w:rFonts w:ascii="Calibri" w:hAnsi="Calibri" w:cs="Calibri"/>
          <w:b/>
          <w:color w:val="000000"/>
          <w:sz w:val="16"/>
          <w:szCs w:val="16"/>
        </w:rPr>
        <w:t xml:space="preserve"> </w:t>
      </w:r>
      <w:r w:rsidRPr="007E49A8">
        <w:rPr>
          <w:rFonts w:ascii="Calibri" w:hAnsi="Calibri" w:cs="Calibri"/>
          <w:color w:val="000000"/>
          <w:sz w:val="16"/>
          <w:szCs w:val="16"/>
        </w:rPr>
        <w:t xml:space="preserve">(still allowing their use </w:t>
      </w:r>
      <w:r>
        <w:rPr>
          <w:rFonts w:ascii="Calibri" w:hAnsi="Calibri" w:cs="Calibri"/>
          <w:color w:val="000000"/>
          <w:sz w:val="16"/>
          <w:szCs w:val="16"/>
        </w:rPr>
        <w:t>individually</w:t>
      </w:r>
      <w:r w:rsidRPr="007E49A8">
        <w:rPr>
          <w:rFonts w:ascii="Calibri" w:hAnsi="Calibri" w:cs="Calibri"/>
          <w:color w:val="000000"/>
          <w:sz w:val="16"/>
          <w:szCs w:val="16"/>
        </w:rPr>
        <w:t>)</w:t>
      </w:r>
      <w:r>
        <w:rPr>
          <w:rFonts w:ascii="Calibri" w:hAnsi="Calibri" w:cs="Calibri"/>
          <w:color w:val="000000"/>
          <w:sz w:val="16"/>
          <w:szCs w:val="16"/>
        </w:rPr>
        <w:t>. For example, consider the “</w:t>
      </w:r>
      <w:r w:rsidRPr="007E49A8">
        <w:rPr>
          <w:rFonts w:ascii="Calibri" w:hAnsi="Calibri" w:cs="Calibri"/>
          <w:color w:val="000000"/>
          <w:sz w:val="16"/>
          <w:szCs w:val="16"/>
        </w:rPr>
        <w:t>Globe tomato</w:t>
      </w:r>
      <w:r>
        <w:rPr>
          <w:rFonts w:ascii="Calibri" w:hAnsi="Calibri" w:cs="Calibri"/>
          <w:color w:val="000000"/>
          <w:sz w:val="16"/>
          <w:szCs w:val="16"/>
        </w:rPr>
        <w:t>” (</w:t>
      </w:r>
      <w:r w:rsidRPr="007E49A8">
        <w:rPr>
          <w:rFonts w:ascii="Calibri" w:hAnsi="Calibri" w:cs="Calibri"/>
          <w:color w:val="000000"/>
          <w:sz w:val="16"/>
          <w:szCs w:val="16"/>
        </w:rPr>
        <w:t>A00HR</w:t>
      </w:r>
      <w:r>
        <w:rPr>
          <w:rFonts w:ascii="Calibri" w:hAnsi="Calibri" w:cs="Calibri"/>
          <w:color w:val="000000"/>
          <w:sz w:val="16"/>
          <w:szCs w:val="16"/>
        </w:rPr>
        <w:t>) RPC. In this case it is allowed to use the “</w:t>
      </w:r>
      <w:r w:rsidR="00DF6EA1" w:rsidRPr="00DF6EA1">
        <w:rPr>
          <w:rFonts w:ascii="Calibri" w:hAnsi="Calibri" w:cs="Calibri"/>
          <w:color w:val="000000"/>
          <w:sz w:val="16"/>
          <w:szCs w:val="16"/>
        </w:rPr>
        <w:t>Pulping / mashing</w:t>
      </w:r>
      <w:r>
        <w:rPr>
          <w:rFonts w:ascii="Calibri" w:hAnsi="Calibri" w:cs="Calibri"/>
          <w:color w:val="000000"/>
          <w:sz w:val="16"/>
          <w:szCs w:val="16"/>
        </w:rPr>
        <w:t>”</w:t>
      </w:r>
      <w:r w:rsidR="00DF6EA1">
        <w:rPr>
          <w:rFonts w:ascii="Calibri" w:hAnsi="Calibri" w:cs="Calibri"/>
          <w:color w:val="000000"/>
          <w:sz w:val="16"/>
          <w:szCs w:val="16"/>
        </w:rPr>
        <w:t xml:space="preserve"> (A07LN)</w:t>
      </w:r>
      <w:r>
        <w:rPr>
          <w:rFonts w:ascii="Calibri" w:hAnsi="Calibri" w:cs="Calibri"/>
          <w:color w:val="000000"/>
          <w:sz w:val="16"/>
          <w:szCs w:val="16"/>
        </w:rPr>
        <w:t xml:space="preserve"> process, since</w:t>
      </w:r>
      <w:r w:rsidR="00DF6EA1">
        <w:rPr>
          <w:rFonts w:ascii="Calibri" w:hAnsi="Calibri" w:cs="Calibri"/>
          <w:color w:val="000000"/>
          <w:sz w:val="16"/>
          <w:szCs w:val="16"/>
        </w:rPr>
        <w:t xml:space="preserve"> there is no derivative which can be used instead. The same logic applies for the “</w:t>
      </w:r>
      <w:r w:rsidR="00DF6EA1" w:rsidRPr="00DF6EA1">
        <w:rPr>
          <w:rFonts w:ascii="Calibri" w:hAnsi="Calibri" w:cs="Calibri"/>
          <w:color w:val="000000"/>
          <w:sz w:val="16"/>
          <w:szCs w:val="16"/>
        </w:rPr>
        <w:t>Concentration / evaporation</w:t>
      </w:r>
      <w:r w:rsidR="00DF6EA1">
        <w:rPr>
          <w:rFonts w:ascii="Calibri" w:hAnsi="Calibri" w:cs="Calibri"/>
          <w:color w:val="000000"/>
          <w:sz w:val="16"/>
          <w:szCs w:val="16"/>
        </w:rPr>
        <w:t>” (A07KF) process. What cannot be done is actually using the “</w:t>
      </w:r>
      <w:r w:rsidR="00DF6EA1" w:rsidRPr="00DF6EA1">
        <w:rPr>
          <w:rFonts w:ascii="Calibri" w:hAnsi="Calibri" w:cs="Calibri"/>
          <w:color w:val="000000"/>
          <w:sz w:val="16"/>
          <w:szCs w:val="16"/>
        </w:rPr>
        <w:t>Pulping / mashing</w:t>
      </w:r>
      <w:r w:rsidR="00DF6EA1">
        <w:rPr>
          <w:rFonts w:ascii="Calibri" w:hAnsi="Calibri" w:cs="Calibri"/>
          <w:color w:val="000000"/>
          <w:sz w:val="16"/>
          <w:szCs w:val="16"/>
        </w:rPr>
        <w:t xml:space="preserve">” and </w:t>
      </w:r>
      <w:r w:rsidR="00DF6EA1">
        <w:rPr>
          <w:rFonts w:ascii="Calibri" w:hAnsi="Calibri" w:cs="Calibri"/>
          <w:color w:val="000000"/>
          <w:sz w:val="16"/>
          <w:szCs w:val="16"/>
        </w:rPr>
        <w:t>“</w:t>
      </w:r>
      <w:r w:rsidR="00DF6EA1" w:rsidRPr="00DF6EA1">
        <w:rPr>
          <w:rFonts w:ascii="Calibri" w:hAnsi="Calibri" w:cs="Calibri"/>
          <w:color w:val="000000"/>
          <w:sz w:val="16"/>
          <w:szCs w:val="16"/>
        </w:rPr>
        <w:t>Concentration / evaporation</w:t>
      </w:r>
      <w:r w:rsidR="00DF6EA1">
        <w:rPr>
          <w:rFonts w:ascii="Calibri" w:hAnsi="Calibri" w:cs="Calibri"/>
          <w:color w:val="000000"/>
          <w:sz w:val="16"/>
          <w:szCs w:val="16"/>
        </w:rPr>
        <w:t>”</w:t>
      </w:r>
      <w:r w:rsidR="00DF6EA1">
        <w:rPr>
          <w:rFonts w:ascii="Calibri" w:hAnsi="Calibri" w:cs="Calibri"/>
          <w:color w:val="000000"/>
          <w:sz w:val="16"/>
          <w:szCs w:val="16"/>
        </w:rPr>
        <w:t xml:space="preserve"> processes </w:t>
      </w:r>
      <w:r w:rsidR="00DF6EA1" w:rsidRPr="00DF6EA1">
        <w:rPr>
          <w:rFonts w:ascii="Calibri" w:hAnsi="Calibri" w:cs="Calibri"/>
          <w:b/>
          <w:color w:val="000000"/>
          <w:sz w:val="16"/>
          <w:szCs w:val="16"/>
        </w:rPr>
        <w:t>together</w:t>
      </w:r>
      <w:r w:rsidR="00DF6EA1">
        <w:rPr>
          <w:rFonts w:ascii="Calibri" w:hAnsi="Calibri" w:cs="Calibri"/>
          <w:color w:val="000000"/>
          <w:sz w:val="16"/>
          <w:szCs w:val="16"/>
        </w:rPr>
        <w:t>, because a derivative named “</w:t>
      </w:r>
      <w:r w:rsidR="00DF6EA1" w:rsidRPr="00DF6EA1">
        <w:rPr>
          <w:rFonts w:ascii="Calibri" w:hAnsi="Calibri" w:cs="Calibri"/>
          <w:color w:val="000000"/>
          <w:sz w:val="16"/>
          <w:szCs w:val="16"/>
        </w:rPr>
        <w:t>Tomato paste</w:t>
      </w:r>
      <w:r w:rsidR="00DF6EA1">
        <w:rPr>
          <w:rFonts w:ascii="Calibri" w:hAnsi="Calibri" w:cs="Calibri"/>
          <w:color w:val="000000"/>
          <w:sz w:val="16"/>
          <w:szCs w:val="16"/>
        </w:rPr>
        <w:t>” (</w:t>
      </w:r>
      <w:r w:rsidR="00DF6EA1" w:rsidRPr="00DF6EA1">
        <w:rPr>
          <w:rFonts w:ascii="Calibri" w:hAnsi="Calibri" w:cs="Calibri"/>
          <w:color w:val="000000"/>
          <w:sz w:val="16"/>
          <w:szCs w:val="16"/>
        </w:rPr>
        <w:t>A00ZF</w:t>
      </w:r>
      <w:r w:rsidR="00B30891">
        <w:rPr>
          <w:rFonts w:ascii="Calibri" w:hAnsi="Calibri" w:cs="Calibri"/>
          <w:color w:val="000000"/>
          <w:sz w:val="16"/>
          <w:szCs w:val="16"/>
        </w:rPr>
        <w:t xml:space="preserve">), </w:t>
      </w:r>
      <w:r w:rsidR="00DF6EA1">
        <w:rPr>
          <w:rFonts w:ascii="Calibri" w:hAnsi="Calibri" w:cs="Calibri"/>
          <w:color w:val="000000"/>
          <w:sz w:val="16"/>
          <w:szCs w:val="16"/>
        </w:rPr>
        <w:t>which has both processes in the implicit facets</w:t>
      </w:r>
      <w:r w:rsidR="00B30891">
        <w:rPr>
          <w:rFonts w:ascii="Calibri" w:hAnsi="Calibri" w:cs="Calibri"/>
          <w:color w:val="000000"/>
          <w:sz w:val="16"/>
          <w:szCs w:val="16"/>
        </w:rPr>
        <w:t>, already</w:t>
      </w:r>
      <w:r w:rsidR="00DF6EA1">
        <w:rPr>
          <w:rFonts w:ascii="Calibri" w:hAnsi="Calibri" w:cs="Calibri"/>
          <w:color w:val="000000"/>
          <w:sz w:val="16"/>
          <w:szCs w:val="16"/>
        </w:rPr>
        <w:t xml:space="preserve"> exists in the hierarchy, and it should be used </w:t>
      </w:r>
      <w:r w:rsidR="00B30891">
        <w:rPr>
          <w:rFonts w:ascii="Calibri" w:hAnsi="Calibri" w:cs="Calibri"/>
          <w:color w:val="000000"/>
          <w:sz w:val="16"/>
          <w:szCs w:val="16"/>
        </w:rPr>
        <w:t xml:space="preserve">in this case </w:t>
      </w:r>
      <w:r w:rsidR="00DF6EA1">
        <w:rPr>
          <w:rFonts w:ascii="Calibri" w:hAnsi="Calibri" w:cs="Calibri"/>
          <w:color w:val="000000"/>
          <w:sz w:val="16"/>
          <w:szCs w:val="16"/>
        </w:rPr>
        <w:t>as a starting point to describe t</w:t>
      </w:r>
      <w:r w:rsidR="00B30891">
        <w:rPr>
          <w:rFonts w:ascii="Calibri" w:hAnsi="Calibri" w:cs="Calibri"/>
          <w:color w:val="000000"/>
          <w:sz w:val="16"/>
          <w:szCs w:val="16"/>
        </w:rPr>
        <w:t>he FoodEx2 code</w:t>
      </w:r>
      <w:r w:rsidR="00DF6EA1">
        <w:rPr>
          <w:rFonts w:ascii="Calibri" w:hAnsi="Calibri" w:cs="Calibri"/>
          <w:color w:val="000000"/>
          <w:sz w:val="16"/>
          <w:szCs w:val="16"/>
        </w:rPr>
        <w:t xml:space="preserve">. For this reason, it is needed to forbid only the combination of processes, but not their individual use. This can be achieved by specifying </w:t>
      </w:r>
      <w:r w:rsidR="00E21A08">
        <w:rPr>
          <w:rFonts w:ascii="Calibri" w:hAnsi="Calibri" w:cs="Calibri"/>
          <w:color w:val="000000"/>
          <w:sz w:val="16"/>
          <w:szCs w:val="16"/>
        </w:rPr>
        <w:t>a list of processes</w:t>
      </w:r>
      <w:r w:rsidR="00DF6EA1">
        <w:rPr>
          <w:rFonts w:ascii="Calibri" w:hAnsi="Calibri" w:cs="Calibri"/>
          <w:color w:val="000000"/>
          <w:sz w:val="16"/>
          <w:szCs w:val="16"/>
        </w:rPr>
        <w:t xml:space="preserve"> in the same </w:t>
      </w:r>
      <w:r w:rsidR="00E21A08" w:rsidRPr="00D8584D">
        <w:rPr>
          <w:rFonts w:ascii="Calibri" w:hAnsi="Calibri" w:cs="Calibri"/>
          <w:color w:val="000000"/>
          <w:sz w:val="16"/>
          <w:szCs w:val="16"/>
        </w:rPr>
        <w:t>FORBIDDEN_PROCS</w:t>
      </w:r>
      <w:r w:rsidR="00E21A08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DF6EA1">
        <w:rPr>
          <w:rFonts w:ascii="Calibri" w:hAnsi="Calibri" w:cs="Calibri"/>
          <w:color w:val="000000"/>
          <w:sz w:val="16"/>
          <w:szCs w:val="16"/>
        </w:rPr>
        <w:t>cell ($ separated):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843"/>
      </w:tblGrid>
      <w:tr w:rsidR="00DF6EA1" w:rsidRPr="00D8584D" w:rsidTr="006D713D">
        <w:trPr>
          <w:trHeight w:val="337"/>
          <w:jc w:val="center"/>
        </w:trPr>
        <w:tc>
          <w:tcPr>
            <w:tcW w:w="1809" w:type="dxa"/>
          </w:tcPr>
          <w:p w:rsidR="00DF6EA1" w:rsidRPr="00D8584D" w:rsidRDefault="00DF6EA1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ROOT_GROUP_CODE</w:t>
            </w:r>
          </w:p>
        </w:tc>
        <w:tc>
          <w:tcPr>
            <w:tcW w:w="1843" w:type="dxa"/>
          </w:tcPr>
          <w:p w:rsidR="00DF6EA1" w:rsidRPr="00D8584D" w:rsidRDefault="00DF6EA1" w:rsidP="006D713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8584D">
              <w:rPr>
                <w:rFonts w:ascii="Calibri" w:hAnsi="Calibri" w:cs="Calibri"/>
                <w:color w:val="000000"/>
                <w:sz w:val="16"/>
                <w:szCs w:val="16"/>
              </w:rPr>
              <w:t>FORBIDDEN_PROCS</w:t>
            </w:r>
          </w:p>
        </w:tc>
      </w:tr>
      <w:tr w:rsidR="00DF6EA1" w:rsidRPr="00D8584D" w:rsidTr="006D713D">
        <w:trPr>
          <w:trHeight w:val="301"/>
          <w:jc w:val="center"/>
        </w:trPr>
        <w:tc>
          <w:tcPr>
            <w:tcW w:w="1809" w:type="dxa"/>
          </w:tcPr>
          <w:p w:rsidR="00DF6EA1" w:rsidRPr="00D8584D" w:rsidRDefault="00DF6EA1" w:rsidP="00DF6EA1">
            <w:pPr>
              <w:tabs>
                <w:tab w:val="left" w:pos="864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E49A8">
              <w:rPr>
                <w:rFonts w:ascii="Calibri" w:hAnsi="Calibri" w:cs="Calibri"/>
                <w:color w:val="000000"/>
                <w:sz w:val="16"/>
                <w:szCs w:val="16"/>
              </w:rPr>
              <w:t>A00HR</w:t>
            </w:r>
          </w:p>
        </w:tc>
        <w:tc>
          <w:tcPr>
            <w:tcW w:w="1843" w:type="dxa"/>
          </w:tcPr>
          <w:p w:rsidR="00DF6EA1" w:rsidRPr="00D8584D" w:rsidRDefault="00DF6EA1" w:rsidP="00DF6EA1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A07LN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$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A07KF</w:t>
            </w:r>
          </w:p>
        </w:tc>
      </w:tr>
    </w:tbl>
    <w:p w:rsidR="00054CF3" w:rsidRDefault="00054CF3" w:rsidP="007E49A8">
      <w:pPr>
        <w:rPr>
          <w:rFonts w:ascii="Calibri" w:hAnsi="Calibri" w:cs="Calibri"/>
          <w:color w:val="000000"/>
          <w:sz w:val="16"/>
          <w:szCs w:val="16"/>
        </w:rPr>
      </w:pPr>
    </w:p>
    <w:p w:rsidR="00DF6EA1" w:rsidRPr="00DF6EA1" w:rsidRDefault="004F45E5" w:rsidP="007E49A8">
      <w:pPr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This configuration will raise an error only if the </w:t>
      </w:r>
      <w:r>
        <w:rPr>
          <w:rFonts w:ascii="Calibri" w:hAnsi="Calibri" w:cs="Calibri"/>
          <w:color w:val="000000"/>
          <w:sz w:val="16"/>
          <w:szCs w:val="16"/>
        </w:rPr>
        <w:t>A07LN</w:t>
      </w:r>
      <w:r>
        <w:rPr>
          <w:rFonts w:ascii="Calibri" w:hAnsi="Calibri" w:cs="Calibri"/>
          <w:color w:val="000000"/>
          <w:sz w:val="16"/>
          <w:szCs w:val="16"/>
        </w:rPr>
        <w:t xml:space="preserve"> and </w:t>
      </w:r>
      <w:r>
        <w:rPr>
          <w:rFonts w:ascii="Calibri" w:hAnsi="Calibri" w:cs="Calibri"/>
          <w:color w:val="000000"/>
          <w:sz w:val="16"/>
          <w:szCs w:val="16"/>
        </w:rPr>
        <w:t>A07KF</w:t>
      </w:r>
      <w:r>
        <w:rPr>
          <w:rFonts w:ascii="Calibri" w:hAnsi="Calibri" w:cs="Calibri"/>
          <w:color w:val="000000"/>
          <w:sz w:val="16"/>
          <w:szCs w:val="16"/>
        </w:rPr>
        <w:t xml:space="preserve"> processes are </w:t>
      </w:r>
      <w:r w:rsidRPr="00054CF3">
        <w:rPr>
          <w:rFonts w:ascii="Calibri" w:hAnsi="Calibri" w:cs="Calibri"/>
          <w:b/>
          <w:color w:val="000000"/>
          <w:sz w:val="16"/>
          <w:szCs w:val="16"/>
        </w:rPr>
        <w:t>both</w:t>
      </w:r>
      <w:r>
        <w:rPr>
          <w:rFonts w:ascii="Calibri" w:hAnsi="Calibri" w:cs="Calibri"/>
          <w:color w:val="000000"/>
          <w:sz w:val="16"/>
          <w:szCs w:val="16"/>
        </w:rPr>
        <w:t xml:space="preserve"> added to the </w:t>
      </w:r>
      <w:r w:rsidRPr="007E49A8">
        <w:rPr>
          <w:rFonts w:ascii="Calibri" w:hAnsi="Calibri" w:cs="Calibri"/>
          <w:color w:val="000000"/>
          <w:sz w:val="16"/>
          <w:szCs w:val="16"/>
        </w:rPr>
        <w:t>A00HR</w:t>
      </w:r>
      <w:r>
        <w:rPr>
          <w:rFonts w:ascii="Calibri" w:hAnsi="Calibri" w:cs="Calibri"/>
          <w:color w:val="000000"/>
          <w:sz w:val="16"/>
          <w:szCs w:val="16"/>
        </w:rPr>
        <w:t xml:space="preserve"> base term or to a descendent of it</w:t>
      </w:r>
      <w:r w:rsidR="00E21A08">
        <w:rPr>
          <w:rFonts w:ascii="Calibri" w:hAnsi="Calibri" w:cs="Calibri"/>
          <w:color w:val="000000"/>
          <w:sz w:val="16"/>
          <w:szCs w:val="16"/>
        </w:rPr>
        <w:t xml:space="preserve">, but it will not block the use of </w:t>
      </w:r>
      <w:r w:rsidR="00A554A3">
        <w:rPr>
          <w:rFonts w:ascii="Calibri" w:hAnsi="Calibri" w:cs="Calibri"/>
          <w:color w:val="000000"/>
          <w:sz w:val="16"/>
          <w:szCs w:val="16"/>
        </w:rPr>
        <w:t>the</w:t>
      </w:r>
      <w:r w:rsidR="00E21A08">
        <w:rPr>
          <w:rFonts w:ascii="Calibri" w:hAnsi="Calibri" w:cs="Calibri"/>
          <w:color w:val="000000"/>
          <w:sz w:val="16"/>
          <w:szCs w:val="16"/>
        </w:rPr>
        <w:t xml:space="preserve"> single process</w:t>
      </w:r>
      <w:r w:rsidR="00A554A3">
        <w:rPr>
          <w:rFonts w:ascii="Calibri" w:hAnsi="Calibri" w:cs="Calibri"/>
          <w:color w:val="000000"/>
          <w:sz w:val="16"/>
          <w:szCs w:val="16"/>
        </w:rPr>
        <w:t xml:space="preserve"> itself</w:t>
      </w:r>
      <w:bookmarkStart w:id="0" w:name="_GoBack"/>
      <w:bookmarkEnd w:id="0"/>
      <w:r w:rsidR="00E21A08">
        <w:rPr>
          <w:rFonts w:ascii="Calibri" w:hAnsi="Calibri" w:cs="Calibri"/>
          <w:color w:val="000000"/>
          <w:sz w:val="16"/>
          <w:szCs w:val="16"/>
        </w:rPr>
        <w:t>.</w:t>
      </w:r>
    </w:p>
    <w:sectPr w:rsidR="00DF6EA1" w:rsidRPr="00DF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08"/>
    <w:rsid w:val="00054CF3"/>
    <w:rsid w:val="000B60FB"/>
    <w:rsid w:val="000F4B11"/>
    <w:rsid w:val="002A4653"/>
    <w:rsid w:val="00485467"/>
    <w:rsid w:val="004F45E5"/>
    <w:rsid w:val="005233BF"/>
    <w:rsid w:val="005E2028"/>
    <w:rsid w:val="006421A5"/>
    <w:rsid w:val="00695452"/>
    <w:rsid w:val="007418A4"/>
    <w:rsid w:val="007E49A8"/>
    <w:rsid w:val="00872C46"/>
    <w:rsid w:val="008D5C71"/>
    <w:rsid w:val="00904EE2"/>
    <w:rsid w:val="009B06CA"/>
    <w:rsid w:val="00A554A3"/>
    <w:rsid w:val="00AD71AF"/>
    <w:rsid w:val="00B30891"/>
    <w:rsid w:val="00B51ABD"/>
    <w:rsid w:val="00B5400F"/>
    <w:rsid w:val="00BE5560"/>
    <w:rsid w:val="00BF4B7D"/>
    <w:rsid w:val="00CF4F08"/>
    <w:rsid w:val="00D55033"/>
    <w:rsid w:val="00D8584D"/>
    <w:rsid w:val="00DC0782"/>
    <w:rsid w:val="00DF6EA1"/>
    <w:rsid w:val="00E21A08"/>
    <w:rsid w:val="00EB59D9"/>
    <w:rsid w:val="00EE511D"/>
    <w:rsid w:val="00F4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1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A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A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A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4317A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F4317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1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A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A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A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4317A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F4317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6427E581.dotm</Template>
  <TotalTime>196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EFSA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AVON Valentino</dc:creator>
  <cp:lastModifiedBy>AVON Valentino</cp:lastModifiedBy>
  <cp:revision>15</cp:revision>
  <dcterms:created xsi:type="dcterms:W3CDTF">2018-03-20T08:48:00Z</dcterms:created>
  <dcterms:modified xsi:type="dcterms:W3CDTF">2018-04-16T14:40:00Z</dcterms:modified>
</cp:coreProperties>
</file>