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4677" w:val="center"/>
          <w:tab w:leader="none" w:pos="9355" w:val="right"/>
        </w:tabs>
      </w:pPr>
      <w:r>
        <w:rPr>
          <w:sz w:val="20"/>
          <w:szCs w:val="20"/>
        </w:rPr>
      </w:r>
    </w:p>
    <w:p>
      <w:pPr>
        <w:pStyle w:val="style21"/>
      </w:pPr>
      <w:r>
        <w:rPr>
          <w:b w:val="false"/>
          <w:szCs w:val="24"/>
        </w:rPr>
        <w:t xml:space="preserve">ДОГОВОР -  ПОРУЧЕНИЕ </w:t>
      </w:r>
      <w:r>
        <w:rPr>
          <w:szCs w:val="24"/>
        </w:rPr>
        <w:t>№ ________</w:t>
      </w:r>
    </w:p>
    <w:p>
      <w:pPr>
        <w:pStyle w:val="style0"/>
        <w:ind w:hanging="0" w:left="0" w:right="-383"/>
      </w:pPr>
      <w:r>
        <w:rPr>
          <w:b/>
        </w:rPr>
      </w:r>
    </w:p>
    <w:p>
      <w:pPr>
        <w:pStyle w:val="style0"/>
        <w:jc w:val="center"/>
      </w:pPr>
      <w:r>
        <w:rPr/>
      </w:r>
    </w:p>
    <w:p>
      <w:pPr>
        <w:pStyle w:val="style22"/>
        <w:jc w:val="left"/>
      </w:pPr>
      <w:r>
        <w:rPr>
          <w:sz w:val="20"/>
        </w:rPr>
        <w:t xml:space="preserve">г.Москва   </w:t>
        <w:tab/>
        <w:tab/>
        <w:tab/>
        <w:tab/>
        <w:tab/>
        <w:tab/>
        <w:t xml:space="preserve">                                            «___ » ________ 2013 г.</w:t>
      </w:r>
    </w:p>
    <w:p>
      <w:pPr>
        <w:pStyle w:val="style0"/>
        <w:ind w:firstLine="720" w:left="0" w:right="0"/>
        <w:jc w:val="both"/>
      </w:pPr>
      <w:r>
        <w:rPr/>
      </w:r>
    </w:p>
    <w:p>
      <w:pPr>
        <w:pStyle w:val="style0"/>
        <w:jc w:val="both"/>
      </w:pPr>
      <w:r>
        <w:rPr/>
        <w:t>ООО  Группа Компаний  «Флагман», в лице Генерального директора, Мартыновой К.А., действующей на основании Устава, Федерального закона «О внесении изменений в Федеральный закон «Об основах туристской деятельности в Российской Федерации» от 05.02.2007г., закона Российской Федерации «О защите прав потребителей» от 07.02.1992г. и лицензии 78-аф-03968 от 15.09.2005г., именуемое в дальнейшем «Агентство», с одной стороны, и %name%, именуемый(</w:t>
      </w:r>
      <w:r>
        <w:rPr>
          <w:u w:val="single"/>
        </w:rPr>
        <w:t>ая</w:t>
      </w:r>
      <w:r>
        <w:rPr/>
        <w:t>) в дальнейшем  «Поручитель», с другой стороны, вместе именуемые «Стороны», заключили настоящий Договор о нижеследующем:</w:t>
      </w:r>
    </w:p>
    <w:p>
      <w:pPr>
        <w:pStyle w:val="style0"/>
        <w:jc w:val="both"/>
      </w:pPr>
      <w:r>
        <w:rPr/>
      </w:r>
    </w:p>
    <w:p>
      <w:pPr>
        <w:pStyle w:val="style0"/>
        <w:jc w:val="both"/>
      </w:pPr>
      <w:r>
        <w:rPr/>
        <w:t xml:space="preserve">Поручитель поручает Агентству произвести необходимые действия по консультированию Поручителя, подготовке его документов для сдачи в уполномоченные органы ФМС России, а также получению по ходатайству Поручителя готовых документов в установленном порядке.  </w:t>
      </w:r>
    </w:p>
    <w:p>
      <w:pPr>
        <w:pStyle w:val="style0"/>
        <w:jc w:val="center"/>
      </w:pPr>
      <w:r>
        <w:rPr/>
      </w:r>
    </w:p>
    <w:p>
      <w:pPr>
        <w:pStyle w:val="style0"/>
        <w:jc w:val="center"/>
      </w:pPr>
      <w:r>
        <w:rPr>
          <w:b/>
        </w:rPr>
        <w:t>1. Обязанности сторон</w:t>
      </w:r>
    </w:p>
    <w:p>
      <w:pPr>
        <w:pStyle w:val="style0"/>
        <w:jc w:val="center"/>
      </w:pPr>
      <w:r>
        <w:rPr/>
      </w:r>
    </w:p>
    <w:p>
      <w:pPr>
        <w:pStyle w:val="style0"/>
        <w:numPr>
          <w:ilvl w:val="0"/>
          <w:numId w:val="4"/>
        </w:numPr>
        <w:jc w:val="both"/>
      </w:pPr>
      <w:r>
        <w:rPr/>
        <w:t>Агентство принимает на себя обязательства по консультированию, подготовке документов, подачи документов гражданина РФ для выездов за границу  ФМС РФ,  в соответствии с Федеральным законом "О порядке выезда из РФ и въезда в РФ" от 15.08.1996г.</w:t>
      </w:r>
    </w:p>
    <w:p>
      <w:pPr>
        <w:pStyle w:val="style0"/>
        <w:numPr>
          <w:ilvl w:val="0"/>
          <w:numId w:val="4"/>
        </w:numPr>
        <w:jc w:val="both"/>
      </w:pPr>
      <w:r>
        <w:rPr/>
        <w:t xml:space="preserve">Срок оформления выездных документов составляет (15) дней, при строго обязательном соблюдении Поручителем правил подачи документов. Срок оформления выездных документов (Общегражданского Заграничного Паспорта, в дальнейшем ОЗП) регулируется учреждениями ФМС РФ. </w:t>
      </w:r>
    </w:p>
    <w:p>
      <w:pPr>
        <w:pStyle w:val="style0"/>
        <w:numPr>
          <w:ilvl w:val="0"/>
          <w:numId w:val="4"/>
        </w:numPr>
        <w:jc w:val="both"/>
      </w:pPr>
      <w:r>
        <w:rPr/>
        <w:t xml:space="preserve">Поручитель представляет Агентству для оформления общегражданского заграничного паспорта (ОЗП) следующие документы: </w:t>
      </w:r>
    </w:p>
    <w:p>
      <w:pPr>
        <w:pStyle w:val="style0"/>
        <w:numPr>
          <w:ilvl w:val="0"/>
          <w:numId w:val="3"/>
        </w:numPr>
        <w:jc w:val="both"/>
      </w:pPr>
      <w:r>
        <w:rPr/>
        <w:t>анкету-заявление (в 2-х экземплярах) на оформление загранпаспорта, заполненную с личной подписью в п. 14 анкеты.</w:t>
      </w:r>
    </w:p>
    <w:p>
      <w:pPr>
        <w:pStyle w:val="style0"/>
        <w:numPr>
          <w:ilvl w:val="0"/>
          <w:numId w:val="3"/>
        </w:numPr>
        <w:jc w:val="both"/>
      </w:pPr>
      <w:r>
        <w:rPr/>
        <w:t>фотографию Поручителя на заявлении о выдаче загранпаспорта, которая должна быть наклеена и заверена печатью организации, идентичной той, которой заверен и подписан п. 13 анкеты начальником отдела кадров или руководителем предприятия.</w:t>
      </w:r>
    </w:p>
    <w:p>
      <w:pPr>
        <w:pStyle w:val="style0"/>
        <w:numPr>
          <w:ilvl w:val="0"/>
          <w:numId w:val="3"/>
        </w:numPr>
        <w:jc w:val="both"/>
      </w:pPr>
      <w:r>
        <w:rPr/>
        <w:t>в приложении к анкете представляются: общегражданский паспорт нового образца, ранее имевшийся загранпаспорт (в случае его утраты необходимо предоставить справку из ОВД), 2 фото для ОЗП в блоке, трудовую книжку (лицам, работающим на государственных  предприятиях, копию всех заполненных страниц, заверенную по месту работы); лицам мужского пола - военный билет с отметкой об окончании прохождения военной службы по призыву. Срок оформления ОЗП составляет __ рабочих дней, с момента подачи заявления в ФМС.</w:t>
      </w:r>
    </w:p>
    <w:p>
      <w:pPr>
        <w:pStyle w:val="style0"/>
        <w:numPr>
          <w:ilvl w:val="0"/>
          <w:numId w:val="4"/>
        </w:numPr>
        <w:jc w:val="both"/>
      </w:pPr>
      <w:r>
        <w:rPr/>
        <w:t xml:space="preserve">В выдаче загранпаспорта гражданину РФ может быть </w:t>
      </w:r>
      <w:r>
        <w:rPr>
          <w:b/>
        </w:rPr>
        <w:t>отказано</w:t>
      </w:r>
      <w:r>
        <w:rPr/>
        <w:t xml:space="preserve"> в соответствии со ст. 15 Федерального закона, либо срок оформления загранпаспорта может быть увеличен, если он:</w:t>
      </w:r>
    </w:p>
    <w:p>
      <w:pPr>
        <w:pStyle w:val="style0"/>
        <w:numPr>
          <w:ilvl w:val="0"/>
          <w:numId w:val="3"/>
        </w:numPr>
        <w:jc w:val="both"/>
      </w:pPr>
      <w:r>
        <w:rPr/>
        <w:t>при допуске к сведениям особой важности или совершенно секретным сведениям, отнесенным к государственной тайне в соответствии с законом РФ о государственной тайне, заключив трудовой договор (контракт), предлагающий временное ограничение права на выезд из РФ при условии, что срок ограничения не может превышать пять лет со дня последнего ознакомления лица со сведениями особой важности или совершенно секретными сведениями до истечения срока ограничения установленного трудовым договором (контрактом) или в соответствии с настоящим Федеральным законом. В случае, если имеется заключение Межведомственной комиссии по защите государственной тайны о том, что сведения особой важности или совершенно секретные сведения, в которых гражданин был осведомлен на день подачи заявления о выезде из РФ, сохраняют соответствующую степень секретности, то указанный в трудовом договоре (контракте) срок ограничения права на выезд из РФ может быть продлен межведомственной комиссией, образуемой Правительством РФ. При этом срок ограничения права на выезд не должен превышать в общей сложности 10 лет, включая срок ограничения, установленный трудовым договором (контрактом), со дня последнего ознакомления лица  со сведениями особой важности или совершенно секретными сведениями.</w:t>
      </w:r>
    </w:p>
    <w:p>
      <w:pPr>
        <w:pStyle w:val="style0"/>
        <w:numPr>
          <w:ilvl w:val="0"/>
          <w:numId w:val="3"/>
        </w:numPr>
        <w:jc w:val="both"/>
      </w:pPr>
      <w:r>
        <w:rPr/>
        <w:t>в соответствии с законодательством РФ призван на военную службу или направлен на альтернативную гражданскую службу, до окончания службы</w:t>
      </w:r>
    </w:p>
    <w:p>
      <w:pPr>
        <w:pStyle w:val="style0"/>
        <w:numPr>
          <w:ilvl w:val="0"/>
          <w:numId w:val="3"/>
        </w:numPr>
        <w:jc w:val="both"/>
      </w:pPr>
      <w:r>
        <w:rPr/>
        <w:t>задержан по подозрению  в совершении преступления либо привлечен  в качестве обвиняемого, до вынесения решения по делу или вступлении в силу приговора суда</w:t>
      </w:r>
    </w:p>
    <w:p>
      <w:pPr>
        <w:pStyle w:val="style0"/>
        <w:numPr>
          <w:ilvl w:val="0"/>
          <w:numId w:val="3"/>
        </w:numPr>
        <w:jc w:val="both"/>
      </w:pPr>
      <w:r>
        <w:rPr/>
        <w:t>осужден за совершение преступления, до прибытия (исполнения) наказания или освобождения от наказания</w:t>
      </w:r>
    </w:p>
    <w:p>
      <w:pPr>
        <w:pStyle w:val="style0"/>
        <w:numPr>
          <w:ilvl w:val="0"/>
          <w:numId w:val="3"/>
        </w:numPr>
        <w:jc w:val="both"/>
      </w:pPr>
      <w:r>
        <w:rPr/>
        <w:t>уклоняется от исполнения обязательств наложенных на него судом до исполнения обязательств либо до достижения согласия сторонами</w:t>
      </w:r>
    </w:p>
    <w:p>
      <w:pPr>
        <w:pStyle w:val="style0"/>
        <w:numPr>
          <w:ilvl w:val="0"/>
          <w:numId w:val="3"/>
        </w:numPr>
        <w:jc w:val="both"/>
      </w:pPr>
      <w:r>
        <w:rPr/>
        <w:t>сообщил о себе заведомо ложные сведения при оформлении документов для выезда из РФ, до решения вопроса в срок не более одного месяца органам, оформляющим такие документы.</w:t>
      </w:r>
    </w:p>
    <w:p>
      <w:pPr>
        <w:pStyle w:val="style0"/>
        <w:numPr>
          <w:ilvl w:val="0"/>
          <w:numId w:val="3"/>
        </w:numPr>
        <w:jc w:val="both"/>
      </w:pPr>
      <w:r>
        <w:rPr/>
        <w:t xml:space="preserve">по иным причинам на усмотрение соответствующих органов МИД и УПВС. </w:t>
      </w:r>
    </w:p>
    <w:p>
      <w:pPr>
        <w:pStyle w:val="style0"/>
        <w:ind w:hanging="0" w:left="390" w:right="0"/>
        <w:jc w:val="both"/>
      </w:pPr>
      <w:r>
        <w:rPr/>
      </w:r>
    </w:p>
    <w:p>
      <w:pPr>
        <w:pStyle w:val="style0"/>
        <w:numPr>
          <w:ilvl w:val="0"/>
          <w:numId w:val="4"/>
        </w:numPr>
        <w:jc w:val="both"/>
      </w:pPr>
      <w:r>
        <w:rPr/>
        <w:t xml:space="preserve">Настоящим Поручитель понимает, что причину отказа в выдаче ОЗП, визы, права на въезд и прочее соответствующие органы могут пояснить только </w:t>
      </w:r>
      <w:r>
        <w:rPr>
          <w:b/>
        </w:rPr>
        <w:t xml:space="preserve">лично </w:t>
      </w:r>
      <w:r>
        <w:rPr/>
        <w:t>Поручителю.</w:t>
      </w:r>
    </w:p>
    <w:p>
      <w:pPr>
        <w:pStyle w:val="style0"/>
        <w:ind w:hanging="0" w:left="360" w:right="0"/>
        <w:jc w:val="both"/>
      </w:pPr>
      <w:r>
        <w:rPr/>
      </w:r>
    </w:p>
    <w:p>
      <w:pPr>
        <w:pStyle w:val="style0"/>
        <w:jc w:val="both"/>
      </w:pPr>
      <w:r>
        <w:rPr/>
        <w:t>6. Поручитель принимает на себя ответственность за соответствие персональных документов требованиям законодательства Российской Федерации, а именно: наличие необходимых подписей и печатей, фотографий, соблюдения срока действия документов, сохранения надлежащего внешнего вида документов и т. д., а также предоставления достоверных персональных данных. Поручитель понимает, что недостоверные персональные данные, наличие непогашенных кредитных и прочих обязательств, равно как и допущенные Туристом ранее нарушения, пограничного и таможенного режимов могут служить препятствием для качественного предоставления услуг Поручителю и выходят за рамки ответственности Агентства.</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b/>
        </w:rPr>
        <w:t>2. Порядок расчетов</w:t>
      </w:r>
    </w:p>
    <w:p>
      <w:pPr>
        <w:pStyle w:val="style0"/>
        <w:numPr>
          <w:ilvl w:val="0"/>
          <w:numId w:val="5"/>
        </w:numPr>
        <w:jc w:val="both"/>
      </w:pPr>
      <w:r>
        <w:rPr/>
        <w:t>Поручитель  производит оплату Агентству при подаче пакета документов в полном объеме.</w:t>
      </w:r>
    </w:p>
    <w:p>
      <w:pPr>
        <w:pStyle w:val="style0"/>
        <w:numPr>
          <w:ilvl w:val="0"/>
          <w:numId w:val="5"/>
        </w:numPr>
        <w:jc w:val="both"/>
      </w:pPr>
      <w:r>
        <w:rPr/>
        <w:t xml:space="preserve">Произведенная оплата за услуги по ОЗП возвращается </w:t>
      </w:r>
      <w:r>
        <w:rPr>
          <w:b/>
        </w:rPr>
        <w:t>строго</w:t>
      </w:r>
      <w:r>
        <w:rPr/>
        <w:t xml:space="preserve"> в соответствии с разделом 3 п. 13.15 Инструкции ГНС РФ от 15.05.1996г. № 42 "По применению закона РФ о государственной пошлине", а именно:</w:t>
      </w:r>
    </w:p>
    <w:p>
      <w:pPr>
        <w:pStyle w:val="style0"/>
        <w:numPr>
          <w:ilvl w:val="0"/>
          <w:numId w:val="3"/>
        </w:numPr>
        <w:jc w:val="both"/>
      </w:pPr>
      <w:r>
        <w:rPr/>
        <w:t>в связи с внесением государственной пошлины в большем размере, чем это требуется по настоящему закону;</w:t>
      </w:r>
    </w:p>
    <w:p>
      <w:pPr>
        <w:pStyle w:val="style0"/>
        <w:numPr>
          <w:ilvl w:val="0"/>
          <w:numId w:val="3"/>
        </w:numPr>
        <w:jc w:val="both"/>
      </w:pPr>
      <w:r>
        <w:rPr/>
        <w:t>в связи с отказом от юридически значимого действия (до подачи документа на рассмотрение в органы ФМС РФ);</w:t>
      </w:r>
    </w:p>
    <w:p>
      <w:pPr>
        <w:pStyle w:val="style0"/>
        <w:numPr>
          <w:ilvl w:val="0"/>
          <w:numId w:val="3"/>
        </w:numPr>
        <w:jc w:val="both"/>
      </w:pPr>
      <w:r>
        <w:rPr/>
        <w:t>в связи с отказом в выдаче загранпаспорта на основании ст. 15 ФЗ РФ от 15.08.96г.</w:t>
      </w:r>
    </w:p>
    <w:p>
      <w:pPr>
        <w:pStyle w:val="style0"/>
        <w:ind w:hanging="0" w:left="390" w:right="0"/>
        <w:jc w:val="both"/>
      </w:pPr>
      <w:r>
        <w:rPr/>
        <w:t>по предъявлению Поручителем подтверждающих документов, а также Договора, подписанного обеими сторонами, кассового чека и проч. на основании претензии Поручителя и за вычетом фактически понесенных Агентством расходов. Срок рассмотрения претензии Поручителя составляет 20 (двадцать) рабочих дней. Оплата, произведенная по квитанциям в отделениях Сберегательного банка РФ подлежит возвращению через Сберегательный банк РФ.</w:t>
      </w:r>
    </w:p>
    <w:p>
      <w:pPr>
        <w:pStyle w:val="style0"/>
        <w:jc w:val="both"/>
      </w:pPr>
      <w:r>
        <w:rPr/>
      </w:r>
    </w:p>
    <w:p>
      <w:pPr>
        <w:pStyle w:val="style0"/>
        <w:jc w:val="center"/>
      </w:pPr>
      <w:r>
        <w:rPr>
          <w:b/>
        </w:rPr>
        <w:t>3. Ответственность сторон и срок действия договора</w:t>
      </w:r>
    </w:p>
    <w:p>
      <w:pPr>
        <w:pStyle w:val="style0"/>
        <w:numPr>
          <w:ilvl w:val="0"/>
          <w:numId w:val="1"/>
        </w:numPr>
        <w:jc w:val="both"/>
      </w:pPr>
      <w:r>
        <w:rPr/>
        <w:t xml:space="preserve">Действие данного Договора прекращается при сообщении Поручителем ложных сведений в анкете-заявлении (анкете).  </w:t>
      </w:r>
    </w:p>
    <w:p>
      <w:pPr>
        <w:pStyle w:val="style0"/>
        <w:ind w:hanging="0" w:left="360" w:right="0"/>
        <w:jc w:val="both"/>
      </w:pPr>
      <w:r>
        <w:rPr/>
        <w:t>Настоящим Поручитель подтверждает, что предупрежден о том, что сообщение ложных сведений в заявлении-анкете или предоставление поддельных документов, а также получения ОЗП  на чужие установочные данные по чужим документам влечет за собой ответственность согласно законодательству.</w:t>
      </w:r>
    </w:p>
    <w:p>
      <w:pPr>
        <w:pStyle w:val="style0"/>
        <w:numPr>
          <w:ilvl w:val="0"/>
          <w:numId w:val="1"/>
        </w:numPr>
        <w:jc w:val="both"/>
      </w:pPr>
      <w:r>
        <w:rPr/>
        <w:t>Договор вступает в силу со дня подписания обеими сторонами.</w:t>
      </w:r>
    </w:p>
    <w:p>
      <w:pPr>
        <w:pStyle w:val="style0"/>
        <w:numPr>
          <w:ilvl w:val="0"/>
          <w:numId w:val="1"/>
        </w:numPr>
        <w:jc w:val="both"/>
      </w:pPr>
      <w:r>
        <w:rPr/>
        <w:t>Договор может быть расторгнут по инициативе одной из сторон. О дне расторжения договора одна из сторон обязана предупредить вторую не позднее, чем за 10 (десять) дней до окончания взаимных обязательств. При расторжении договора по желанию Поручителя последний обязуется компенсировать Агентству все фактически понесенные расходы включая оплату государственных пошлин и сборов, а также сервисного сбора Агентства, взимаемого за содействие в оформлении ОЗП.</w:t>
      </w:r>
    </w:p>
    <w:p>
      <w:pPr>
        <w:pStyle w:val="style0"/>
        <w:numPr>
          <w:ilvl w:val="0"/>
          <w:numId w:val="1"/>
        </w:numPr>
        <w:jc w:val="both"/>
      </w:pPr>
      <w:r>
        <w:rPr/>
        <w:t xml:space="preserve">Агентство обязуется принимать необходимые меры по обеспечению безопасности полученных Агентством в процессе оказания услуг персональных данных Поручителя в соответствии с положениями Федерального закона «О персональных данных» от 27.07.2006 г. </w:t>
      </w:r>
    </w:p>
    <w:p>
      <w:pPr>
        <w:pStyle w:val="style0"/>
        <w:numPr>
          <w:ilvl w:val="0"/>
          <w:numId w:val="1"/>
        </w:numPr>
        <w:jc w:val="both"/>
      </w:pPr>
      <w:r>
        <w:rPr/>
        <w:t>Поручитель согласен с тем, что Агентство готовит документы, необходимые для оформления загранпаспорта и вовремя подает их в соответствующие органы и учреждения. Решение о выдаче (отказе, задержке) документов находится в компетенции  ФМС и ФСБ РФ либо других соответствующих  учреждений.</w:t>
      </w:r>
    </w:p>
    <w:p>
      <w:pPr>
        <w:pStyle w:val="style0"/>
        <w:numPr>
          <w:ilvl w:val="0"/>
          <w:numId w:val="1"/>
        </w:numPr>
        <w:jc w:val="both"/>
      </w:pPr>
      <w:r>
        <w:rPr/>
        <w:t>Поручитель предупрежден и согласен, что выдача ОЗП может быть задержана в следующих случаях:</w:t>
      </w:r>
    </w:p>
    <w:p>
      <w:pPr>
        <w:pStyle w:val="style0"/>
        <w:numPr>
          <w:ilvl w:val="0"/>
          <w:numId w:val="3"/>
        </w:numPr>
        <w:jc w:val="both"/>
      </w:pPr>
      <w:r>
        <w:rPr/>
        <w:t>При наличии уголовного дела и подписки о невыезде; даже в случае закрытия уголовного дела, т.к. снятие данной информации не всегда происходит автоматически (в таких случаях необходимо предоставить дополнительные документы);</w:t>
      </w:r>
    </w:p>
    <w:p>
      <w:pPr>
        <w:pStyle w:val="style0"/>
        <w:numPr>
          <w:ilvl w:val="0"/>
          <w:numId w:val="3"/>
        </w:numPr>
        <w:jc w:val="both"/>
      </w:pPr>
      <w:r>
        <w:rPr/>
        <w:t>При наличии обязательств по сохранению государственной тайны и если Поручитель учился(учится), работал (работает), служил (служит) на режимных, секретных предприятиях, учебных частях, заведениях.</w:t>
      </w:r>
    </w:p>
    <w:p>
      <w:pPr>
        <w:pStyle w:val="style0"/>
        <w:numPr>
          <w:ilvl w:val="0"/>
          <w:numId w:val="3"/>
        </w:numPr>
        <w:jc w:val="both"/>
      </w:pPr>
      <w:r>
        <w:rPr/>
        <w:t>При наличии регистрации в Москве менее 5 (пяти) лет, т.к. проверка ФМС РФ производится по последнему месту регистрации путем направления официального запроса.</w:t>
      </w:r>
    </w:p>
    <w:p>
      <w:pPr>
        <w:pStyle w:val="style0"/>
        <w:numPr>
          <w:ilvl w:val="0"/>
          <w:numId w:val="3"/>
        </w:numPr>
        <w:jc w:val="both"/>
      </w:pPr>
      <w:r>
        <w:rPr/>
        <w:t>Для бывших военнослужащих.</w:t>
      </w:r>
    </w:p>
    <w:p>
      <w:pPr>
        <w:pStyle w:val="style0"/>
        <w:numPr>
          <w:ilvl w:val="0"/>
          <w:numId w:val="3"/>
        </w:numPr>
        <w:jc w:val="both"/>
      </w:pPr>
      <w:r>
        <w:rPr/>
        <w:t>По иным причинам, изложенным в п. 5, 6 ст. 1 данного Договора</w:t>
      </w:r>
    </w:p>
    <w:p>
      <w:pPr>
        <w:pStyle w:val="style0"/>
        <w:numPr>
          <w:ilvl w:val="0"/>
          <w:numId w:val="1"/>
        </w:numPr>
        <w:jc w:val="both"/>
      </w:pPr>
      <w:r>
        <w:rPr/>
        <w:t xml:space="preserve"> </w:t>
      </w:r>
      <w:r>
        <w:rPr/>
        <w:t>Учреждения ФМС и ФСБ РФ оставляют за собой право на задержку или отказ в выдаче документов без объяснения причин.</w:t>
      </w:r>
    </w:p>
    <w:p>
      <w:pPr>
        <w:pStyle w:val="style0"/>
        <w:jc w:val="both"/>
      </w:pPr>
      <w:r>
        <w:rPr/>
      </w:r>
    </w:p>
    <w:p>
      <w:pPr>
        <w:pStyle w:val="style0"/>
        <w:jc w:val="center"/>
      </w:pPr>
      <w:r>
        <w:rPr>
          <w:b/>
        </w:rPr>
        <w:t>4. Прочие условия</w:t>
      </w:r>
    </w:p>
    <w:p>
      <w:pPr>
        <w:pStyle w:val="style0"/>
        <w:jc w:val="both"/>
      </w:pPr>
      <w:r>
        <w:rPr/>
      </w:r>
    </w:p>
    <w:p>
      <w:pPr>
        <w:pStyle w:val="style0"/>
        <w:jc w:val="both"/>
      </w:pPr>
      <w:r>
        <w:rPr/>
        <w:t>1. Данный Договор вступает в силу с момента его подписания и действует до исполнения Сторонами обязательств по Договору.</w:t>
      </w:r>
    </w:p>
    <w:p>
      <w:pPr>
        <w:pStyle w:val="style0"/>
        <w:jc w:val="both"/>
      </w:pPr>
      <w:r>
        <w:rPr/>
        <w:t xml:space="preserve">2. Изменения и дополнения к настоящему Договору совершаются только в письменной форме. </w:t>
      </w:r>
    </w:p>
    <w:p>
      <w:pPr>
        <w:pStyle w:val="style0"/>
        <w:jc w:val="both"/>
      </w:pPr>
      <w:r>
        <w:rPr/>
        <w:t>4. Договор оформлен на русском языке в двух экземплярах, один экземпляр предоставляется Агентству, второй – Поручителю.</w:t>
      </w:r>
    </w:p>
    <w:p>
      <w:pPr>
        <w:pStyle w:val="style0"/>
        <w:jc w:val="both"/>
      </w:pPr>
      <w:r>
        <w:rPr/>
        <w:t xml:space="preserve">5. Текст данного Договора, равно как и его условия понятны Поручителю, что Поручитель и подтверждает своей подписью. </w:t>
      </w:r>
    </w:p>
    <w:p>
      <w:pPr>
        <w:pStyle w:val="style0"/>
        <w:jc w:val="both"/>
      </w:pPr>
      <w:r>
        <w:rPr/>
      </w:r>
    </w:p>
    <w:p>
      <w:pPr>
        <w:pStyle w:val="style0"/>
        <w:numPr>
          <w:ilvl w:val="0"/>
          <w:numId w:val="2"/>
        </w:numPr>
        <w:jc w:val="center"/>
      </w:pPr>
      <w:r>
        <w:rPr>
          <w:b/>
        </w:rPr>
        <w:t>Реквизиты сторон:</w:t>
      </w:r>
    </w:p>
    <w:p>
      <w:pPr>
        <w:pStyle w:val="style0"/>
        <w:ind w:hanging="0" w:left="360" w:right="0"/>
        <w:jc w:val="both"/>
      </w:pPr>
      <w:r>
        <w:rPr/>
      </w:r>
    </w:p>
    <w:p>
      <w:pPr>
        <w:pStyle w:val="style0"/>
        <w:ind w:hanging="0" w:left="360" w:right="0"/>
        <w:jc w:val="both"/>
      </w:pPr>
      <w:r>
        <w:rPr>
          <w:b/>
        </w:rPr>
        <w:t xml:space="preserve">Агентство:                                                        </w:t>
        <w:tab/>
        <w:tab/>
        <w:t>Поручитель:</w:t>
      </w:r>
    </w:p>
    <w:p>
      <w:pPr>
        <w:pStyle w:val="style0"/>
        <w:ind w:hanging="0" w:left="360" w:right="0"/>
        <w:jc w:val="both"/>
      </w:pPr>
      <w:r>
        <w:rPr/>
        <w:t xml:space="preserve">ООО Группа Компаний "Флагман"                                       </w:t>
      </w:r>
    </w:p>
    <w:p>
      <w:pPr>
        <w:pStyle w:val="style0"/>
        <w:ind w:hanging="0" w:left="360" w:right="0"/>
        <w:jc w:val="both"/>
      </w:pPr>
      <w:r>
        <w:rPr/>
        <w:t>105064, г. Москва</w:t>
      </w:r>
    </w:p>
    <w:p>
      <w:pPr>
        <w:pStyle w:val="style0"/>
        <w:ind w:hanging="0" w:left="360" w:right="0"/>
        <w:jc w:val="both"/>
      </w:pPr>
      <w:r>
        <w:rPr/>
        <w:t xml:space="preserve">ИНН 7714844718/КПП 771401001                                                    </w:t>
      </w:r>
    </w:p>
    <w:p>
      <w:pPr>
        <w:pStyle w:val="style0"/>
        <w:ind w:hanging="0" w:left="360" w:right="0"/>
        <w:jc w:val="both"/>
      </w:pPr>
      <w:r>
        <w:rPr/>
        <w:t xml:space="preserve">ул. Земляной Вал, 7, оф.416                                     Адрес:       </w:t>
      </w:r>
    </w:p>
    <w:p>
      <w:pPr>
        <w:pStyle w:val="style0"/>
        <w:ind w:hanging="0" w:left="360" w:right="0"/>
        <w:jc w:val="both"/>
      </w:pPr>
      <w:r>
        <w:rPr/>
        <w:t xml:space="preserve">тел. (495) 9171099, 7787729                                     тел: </w:t>
      </w:r>
    </w:p>
    <w:p>
      <w:pPr>
        <w:pStyle w:val="style0"/>
        <w:ind w:hanging="0" w:left="360" w:right="0"/>
        <w:jc w:val="both"/>
      </w:pPr>
      <w:r>
        <w:rPr/>
      </w:r>
    </w:p>
    <w:p>
      <w:pPr>
        <w:pStyle w:val="style0"/>
        <w:ind w:hanging="0" w:left="360" w:right="0"/>
        <w:jc w:val="both"/>
      </w:pPr>
      <w:r>
        <w:rPr/>
        <w:t>__________________________                              ______________________________</w:t>
      </w:r>
    </w:p>
    <w:p>
      <w:pPr>
        <w:pStyle w:val="style0"/>
        <w:ind w:hanging="0" w:left="360" w:right="0"/>
        <w:jc w:val="both"/>
      </w:pPr>
      <w:r>
        <w:rPr/>
        <w:t>М.П.        /Мартынова К.А./                                                     /                              /</w:t>
      </w:r>
    </w:p>
    <w:p>
      <w:pPr>
        <w:pStyle w:val="style0"/>
      </w:pPr>
      <w:r>
        <w:rPr/>
      </w:r>
    </w:p>
    <w:sectPr>
      <w:headerReference r:id="rId2" w:type="default"/>
      <w:type w:val="nextPage"/>
      <w:pgSz w:h="16838" w:w="11906"/>
      <w:pgMar w:bottom="1134" w:footer="0" w:gutter="0" w:header="708" w:left="1701" w:right="850"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677" w:val="center"/>
        <w:tab w:leader="none" w:pos="9355" w:val="right"/>
      </w:tabs>
      <w:jc w:val="center"/>
    </w:pPr>
    <w:r>
      <w:rPr>
        <w:b/>
        <w:sz w:val="32"/>
        <w:szCs w:val="32"/>
      </w:rPr>
      <w:t>ГРУППА КОМПАНИЙ «ФЛАГМАН»</w:t>
    </w:r>
  </w:p>
  <w:p>
    <w:pPr>
      <w:pStyle w:val="style0"/>
      <w:tabs>
        <w:tab w:leader="none" w:pos="4677" w:val="center"/>
        <w:tab w:leader="none" w:pos="9355" w:val="right"/>
      </w:tabs>
    </w:pPr>
    <w:r>
      <w:rPr>
        <w:sz w:val="20"/>
        <w:szCs w:val="20"/>
      </w:rPr>
    </w:r>
  </w:p>
  <w:p>
    <w:pPr>
      <w:pStyle w:val="style0"/>
      <w:tabs>
        <w:tab w:leader="none" w:pos="4677" w:val="center"/>
        <w:tab w:leader="none" w:pos="9355" w:val="right"/>
      </w:tabs>
      <w:jc w:val="center"/>
    </w:pPr>
    <w:r>
      <w:rPr>
        <w:sz w:val="20"/>
        <w:szCs w:val="20"/>
      </w:rPr>
      <w:t>105064, Россия, г. Москва, ул. Земляной вал, д. 7</w:t>
    </w:r>
  </w:p>
  <w:p>
    <w:pPr>
      <w:pStyle w:val="style0"/>
      <w:tabs>
        <w:tab w:leader="none" w:pos="4677" w:val="center"/>
        <w:tab w:leader="none" w:pos="9355" w:val="right"/>
      </w:tabs>
      <w:jc w:val="center"/>
    </w:pPr>
    <w:r>
      <w:rPr>
        <w:sz w:val="20"/>
        <w:szCs w:val="20"/>
      </w:rPr>
      <w:t>Тел./факс: +7 (495) 917-1099;778-7729</w:t>
    </w:r>
  </w:p>
  <w:p>
    <w:pPr>
      <w:pStyle w:val="style27"/>
    </w:pPr>
    <w:r>
      <w:rPr/>
    </w:r>
  </w:p>
</w:hdr>
</file>

<file path=word/numbering.xml><?xml version="1.0" encoding="utf-8"?>
<w:numbering xmlns:w="http://schemas.openxmlformats.org/wordprocessingml/2006/main">
  <w:abstractNum w:abstractNumId="1">
    <w:lvl w:ilvl="0">
      <w:start w:val="1"/>
      <w:numFmt w:val="decimal"/>
      <w:lvlText w:val="%1."/>
      <w:lvlJc w:val="left"/>
      <w:pPr>
        <w:tabs>
          <w:tab w:pos="360" w:val="num"/>
        </w:tabs>
        <w:ind w:hanging="360" w:left="360"/>
      </w:pPr>
    </w:lvl>
  </w:abstractNum>
  <w:abstractNum w:abstractNumId="2">
    <w:lvl w:ilvl="0">
      <w:start w:val="5"/>
      <w:numFmt w:val="decimal"/>
      <w:lvlText w:val="%1."/>
      <w:lvlJc w:val="left"/>
      <w:pPr>
        <w:ind w:hanging="360" w:left="720"/>
      </w:pPr>
    </w:lvl>
  </w:abstractNum>
  <w:abstractNum w:abstractNumId="3">
    <w:lvl w:ilvl="0">
      <w:start w:val="3"/>
      <w:numFmt w:val="bullet"/>
      <w:lvlText w:val="-"/>
      <w:lvlJc w:val="left"/>
      <w:pPr>
        <w:tabs>
          <w:tab w:pos="750" w:val="num"/>
        </w:tabs>
        <w:ind w:hanging="360" w:left="750"/>
      </w:pPr>
      <w:rPr>
        <w:rFonts w:ascii="OpenSymbol" w:cs="OpenSymbol" w:hAnsi="OpenSymbol" w:hint="default"/>
      </w:rPr>
    </w:lvl>
  </w:abstractNum>
  <w:abstractNum w:abstractNumId="4">
    <w:lvl w:ilvl="0">
      <w:start w:val="1"/>
      <w:numFmt w:val="decimal"/>
      <w:lvlText w:val="%1."/>
      <w:lvlJc w:val="left"/>
      <w:pPr>
        <w:tabs>
          <w:tab w:pos="360" w:val="num"/>
        </w:tabs>
        <w:ind w:hanging="360" w:left="360"/>
      </w:pPr>
    </w:lvl>
    <w:lvl w:ilvl="1">
      <w:start w:val="1"/>
      <w:numFmt w:val="decimal"/>
      <w:lvlText w:val="%1.%2."/>
      <w:lvlJc w:val="left"/>
      <w:pPr>
        <w:tabs>
          <w:tab w:pos="360" w:val="num"/>
        </w:tabs>
        <w:ind w:hanging="360" w:left="360"/>
      </w:pPr>
    </w:lvl>
    <w:lvl w:ilvl="2">
      <w:start w:val="1"/>
      <w:numFmt w:val="decimal"/>
      <w:lvlText w:val="%1.%2.%3."/>
      <w:lvlJc w:val="left"/>
      <w:pPr>
        <w:tabs>
          <w:tab w:pos="720" w:val="num"/>
        </w:tabs>
        <w:ind w:hanging="720" w:left="720"/>
      </w:pPr>
    </w:lvl>
    <w:lvl w:ilvl="3">
      <w:start w:val="1"/>
      <w:numFmt w:val="decimal"/>
      <w:lvlText w:val="%1.%2.%3.%4."/>
      <w:lvlJc w:val="left"/>
      <w:pPr>
        <w:tabs>
          <w:tab w:pos="720" w:val="num"/>
        </w:tabs>
        <w:ind w:hanging="720" w:left="720"/>
      </w:pPr>
    </w:lvl>
    <w:lvl w:ilvl="4">
      <w:start w:val="1"/>
      <w:numFmt w:val="decimal"/>
      <w:lvlText w:val="%1.%2.%3.%4.%5."/>
      <w:lvlJc w:val="left"/>
      <w:pPr>
        <w:tabs>
          <w:tab w:pos="1080" w:val="num"/>
        </w:tabs>
        <w:ind w:hanging="1080" w:left="1080"/>
      </w:pPr>
    </w:lvl>
    <w:lvl w:ilvl="5">
      <w:start w:val="1"/>
      <w:numFmt w:val="decimal"/>
      <w:lvlText w:val="%1.%2.%3.%4.%5.%6."/>
      <w:lvlJc w:val="left"/>
      <w:pPr>
        <w:tabs>
          <w:tab w:pos="1080" w:val="num"/>
        </w:tabs>
        <w:ind w:hanging="1080" w:left="1080"/>
      </w:pPr>
    </w:lvl>
    <w:lvl w:ilvl="6">
      <w:start w:val="1"/>
      <w:numFmt w:val="decimal"/>
      <w:lvlText w:val="%1.%2.%3.%4.%5.%6.%7."/>
      <w:lvlJc w:val="left"/>
      <w:pPr>
        <w:tabs>
          <w:tab w:pos="1080" w:val="num"/>
        </w:tabs>
        <w:ind w:hanging="1080" w:left="1080"/>
      </w:pPr>
    </w:lvl>
    <w:lvl w:ilvl="7">
      <w:start w:val="1"/>
      <w:numFmt w:val="decimal"/>
      <w:lvlText w:val="%1.%2.%3.%4.%5.%6.%7.%8."/>
      <w:lvlJc w:val="left"/>
      <w:pPr>
        <w:tabs>
          <w:tab w:pos="1440" w:val="num"/>
        </w:tabs>
        <w:ind w:hanging="1440" w:left="1440"/>
      </w:pPr>
    </w:lvl>
    <w:lvl w:ilvl="8">
      <w:start w:val="1"/>
      <w:numFmt w:val="decimal"/>
      <w:lvlText w:val="%1.%2.%3.%4.%5.%6.%7.%8.%9."/>
      <w:lvlJc w:val="left"/>
      <w:pPr>
        <w:tabs>
          <w:tab w:pos="1440" w:val="num"/>
        </w:tabs>
        <w:ind w:hanging="1440" w:left="1440"/>
      </w:pPr>
    </w:lvl>
  </w:abstractNum>
  <w:abstractNum w:abstractNumId="5">
    <w:lvl w:ilvl="0">
      <w:start w:val="1"/>
      <w:numFmt w:val="decimal"/>
      <w:lvlText w:val="%1."/>
      <w:lvlJc w:val="left"/>
      <w:pPr>
        <w:tabs>
          <w:tab w:pos="360" w:val="num"/>
        </w:tabs>
        <w:ind w:hanging="360" w:left="36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Базовый"/>
    <w:next w:val="style0"/>
    <w:pPr>
      <w:widowControl/>
      <w:tabs>
        <w:tab w:leader="none" w:pos="708" w:val="left"/>
      </w:tabs>
      <w:suppressAutoHyphens w:val="true"/>
    </w:pPr>
    <w:rPr>
      <w:rFonts w:ascii="Times New Roman" w:cs="Times New Roman" w:eastAsia="Times New Roman" w:hAnsi="Times New Roman"/>
      <w:color w:val="auto"/>
      <w:sz w:val="24"/>
      <w:szCs w:val="24"/>
      <w:lang w:bidi="ar-SA" w:eastAsia="zh-CN" w:val="ru-RU"/>
    </w:rPr>
  </w:style>
  <w:style w:styleId="style15" w:type="character">
    <w:name w:val="Основной шрифт абзаца"/>
    <w:next w:val="style15"/>
    <w:rPr/>
  </w:style>
  <w:style w:styleId="style16" w:type="character">
    <w:name w:val="Основной текст Знак"/>
    <w:next w:val="style16"/>
    <w:rPr>
      <w:rFonts w:ascii="Times New Roman" w:cs="Times New Roman" w:eastAsia="Times New Roman" w:hAnsi="Times New Roman"/>
      <w:sz w:val="18"/>
      <w:szCs w:val="20"/>
    </w:rPr>
  </w:style>
  <w:style w:styleId="style17" w:type="character">
    <w:name w:val="Название Знак"/>
    <w:next w:val="style17"/>
    <w:rPr>
      <w:rFonts w:ascii="Times New Roman" w:cs="Times New Roman" w:eastAsia="Times New Roman" w:hAnsi="Times New Roman"/>
      <w:b/>
      <w:sz w:val="24"/>
      <w:szCs w:val="20"/>
    </w:rPr>
  </w:style>
  <w:style w:styleId="style18" w:type="character">
    <w:name w:val="Текст выноски Знак"/>
    <w:next w:val="style18"/>
    <w:rPr>
      <w:rFonts w:ascii="Tahoma" w:cs="Tahoma" w:eastAsia="Times New Roman" w:hAnsi="Tahoma"/>
      <w:sz w:val="16"/>
      <w:szCs w:val="16"/>
    </w:rPr>
  </w:style>
  <w:style w:styleId="style19" w:type="character">
    <w:name w:val="Верхний колонтитул Знак"/>
    <w:next w:val="style19"/>
    <w:rPr>
      <w:rFonts w:ascii="Times New Roman" w:cs="Times New Roman" w:eastAsia="Times New Roman" w:hAnsi="Times New Roman"/>
      <w:sz w:val="24"/>
      <w:szCs w:val="24"/>
    </w:rPr>
  </w:style>
  <w:style w:styleId="style20" w:type="character">
    <w:name w:val="Нижний колонтитул Знак"/>
    <w:next w:val="style20"/>
    <w:rPr>
      <w:rFonts w:ascii="Times New Roman" w:cs="Times New Roman" w:eastAsia="Times New Roman" w:hAnsi="Times New Roman"/>
      <w:sz w:val="24"/>
      <w:szCs w:val="24"/>
    </w:rPr>
  </w:style>
  <w:style w:styleId="style21" w:type="paragraph">
    <w:name w:val="Заголовок"/>
    <w:basedOn w:val="style0"/>
    <w:next w:val="style22"/>
    <w:pPr>
      <w:jc w:val="center"/>
    </w:pPr>
    <w:rPr>
      <w:b/>
      <w:szCs w:val="20"/>
    </w:rPr>
  </w:style>
  <w:style w:styleId="style22" w:type="paragraph">
    <w:name w:val="Основной текст"/>
    <w:basedOn w:val="style0"/>
    <w:next w:val="style22"/>
    <w:pPr>
      <w:jc w:val="center"/>
    </w:pPr>
    <w:rPr>
      <w:sz w:val="18"/>
      <w:szCs w:val="20"/>
    </w:rPr>
  </w:style>
  <w:style w:styleId="style23" w:type="paragraph">
    <w:name w:val="Список"/>
    <w:basedOn w:val="style22"/>
    <w:next w:val="style23"/>
    <w:pPr/>
    <w:rPr>
      <w:rFonts w:cs="Lohit Hindi"/>
    </w:rPr>
  </w:style>
  <w:style w:styleId="style24" w:type="paragraph">
    <w:name w:val="Название"/>
    <w:basedOn w:val="style0"/>
    <w:next w:val="style24"/>
    <w:pPr>
      <w:suppressLineNumbers/>
      <w:spacing w:after="120" w:before="120"/>
    </w:pPr>
    <w:rPr>
      <w:rFonts w:cs="Lohit Hindi"/>
      <w:i/>
      <w:iCs/>
      <w:sz w:val="24"/>
      <w:szCs w:val="24"/>
    </w:rPr>
  </w:style>
  <w:style w:styleId="style25" w:type="paragraph">
    <w:name w:val="Указатель"/>
    <w:basedOn w:val="style0"/>
    <w:next w:val="style25"/>
    <w:pPr>
      <w:suppressLineNumbers/>
    </w:pPr>
    <w:rPr>
      <w:rFonts w:cs="Lohit Hindi"/>
    </w:rPr>
  </w:style>
  <w:style w:styleId="style26" w:type="paragraph">
    <w:name w:val="Текст выноски"/>
    <w:basedOn w:val="style0"/>
    <w:next w:val="style26"/>
    <w:pPr/>
    <w:rPr>
      <w:rFonts w:ascii="Tahoma" w:cs="Tahoma" w:hAnsi="Tahoma"/>
      <w:sz w:val="16"/>
      <w:szCs w:val="16"/>
    </w:rPr>
  </w:style>
  <w:style w:styleId="style27" w:type="paragraph">
    <w:name w:val="Верхний колонтитул"/>
    <w:basedOn w:val="style0"/>
    <w:next w:val="style27"/>
    <w:pPr>
      <w:tabs>
        <w:tab w:leader="none" w:pos="4677" w:val="center"/>
        <w:tab w:leader="none" w:pos="9355" w:val="right"/>
      </w:tabs>
    </w:pPr>
    <w:rPr/>
  </w:style>
  <w:style w:styleId="style28" w:type="paragraph">
    <w:name w:val="Нижний колонтитул"/>
    <w:basedOn w:val="style0"/>
    <w:next w:val="style28"/>
    <w:pPr>
      <w:tabs>
        <w:tab w:leader="none" w:pos="4677" w:val="center"/>
        <w:tab w:leader="none" w:pos="9355"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2014-03-15T16:57:00.00Z</dcterms:created>
  <dc:creator>Pavel Belikov</dc:creator>
  <cp:lastModifiedBy>Vladelets</cp:lastModifiedBy>
  <cp:lastPrinted>2013-05-20T15:14:00.00Z</cp:lastPrinted>
  <dcterms:modified xsi:type="dcterms:W3CDTF">2014-03-15T16:57:00.00Z</dcterms:modified>
  <cp:revision>2</cp:revision>
  <dc:title>ДОГОВОР -  ПОРУЧЕНИЕ № _____</dc:title>
</cp:coreProperties>
</file>