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677" w:val="center"/>
          <w:tab w:leader="none" w:pos="9355" w:val="right"/>
        </w:tabs>
      </w:pPr>
      <w:r>
        <w:rPr>
          <w:sz w:val="20"/>
          <w:szCs w:val="20"/>
        </w:rPr>
      </w:r>
    </w:p>
    <w:p>
      <w:pPr>
        <w:pStyle w:val="style21"/>
      </w:pPr>
      <w:r>
        <w:rPr>
          <w:b w:val="false"/>
          <w:szCs w:val="24"/>
        </w:rPr>
        <w:t xml:space="preserve">ДОГОВОР -  ПОРУЧЕНИЕ </w:t>
      </w:r>
      <w:r>
        <w:rPr>
          <w:szCs w:val="24"/>
        </w:rPr>
        <w:t>№ ________</w:t>
      </w:r>
    </w:p>
    <w:p>
      <w:pPr>
        <w:pStyle w:val="style0"/>
        <w:ind w:hanging="0" w:left="0" w:right="-383"/>
      </w:pPr>
      <w:r>
        <w:rPr>
          <w:b/>
        </w:rPr>
      </w:r>
    </w:p>
    <w:p>
      <w:pPr>
        <w:pStyle w:val="style0"/>
        <w:jc w:val="center"/>
      </w:pPr>
      <w:r>
        <w:rPr/>
      </w:r>
    </w:p>
    <w:p>
      <w:pPr>
        <w:pStyle w:val="style22"/>
        <w:jc w:val="left"/>
      </w:pPr>
      <w:r>
        <w:rPr>
          <w:sz w:val="20"/>
        </w:rPr>
        <w:t xml:space="preserve">г.Москва   </w:t>
        <w:tab/>
        <w:tab/>
        <w:tab/>
        <w:tab/>
        <w:tab/>
        <w:tab/>
        <w:t xml:space="preserve">                                            «___ » ________ 2013 г.</w:t>
      </w:r>
    </w:p>
    <w:p>
      <w:pPr>
        <w:pStyle w:val="style0"/>
        <w:ind w:firstLine="720" w:left="0" w:right="0"/>
        <w:jc w:val="both"/>
      </w:pPr>
      <w:r>
        <w:rPr/>
      </w:r>
    </w:p>
    <w:p>
      <w:pPr>
        <w:pStyle w:val="style0"/>
        <w:jc w:val="both"/>
      </w:pPr>
      <w:r>
        <w:rPr/>
        <w:t>ООО  Группа Компаний  «Флагман», в лице Генерального директора, Мартыновой К.А.,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Супер Клиент,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p>
      <w:pPr>
        <w:pStyle w:val="style0"/>
        <w:ind w:hanging="0" w:left="360" w:right="0"/>
        <w:jc w:val="both"/>
      </w:pPr>
      <w:r>
        <w:rPr/>
      </w:r>
    </w:p>
    <w:p>
      <w:pPr>
        <w:pStyle w:val="style0"/>
        <w:ind w:hanging="0" w:left="360" w:right="0"/>
        <w:jc w:val="both"/>
      </w:pPr>
      <w:r>
        <w:rPr>
          <w:b/>
        </w:rPr>
        <w:t xml:space="preserve">Агентство:                                                        </w:t>
        <w:tab/>
        <w:tab/>
        <w:t>Поручитель:</w:t>
      </w:r>
    </w:p>
    <w:p>
      <w:pPr>
        <w:pStyle w:val="style0"/>
        <w:ind w:hanging="0" w:left="360" w:right="0"/>
        <w:jc w:val="both"/>
      </w:pPr>
      <w:r>
        <w:rPr/>
        <w:t xml:space="preserve">ООО Группа Компаний "Флагман"                                       </w:t>
      </w:r>
    </w:p>
    <w:p>
      <w:pPr>
        <w:pStyle w:val="style0"/>
        <w:ind w:hanging="0" w:left="360" w:right="0"/>
        <w:jc w:val="both"/>
      </w:pPr>
      <w:r>
        <w:rPr/>
        <w:t>105064, г. Москва</w:t>
      </w:r>
    </w:p>
    <w:p>
      <w:pPr>
        <w:pStyle w:val="style0"/>
        <w:ind w:hanging="0" w:left="360" w:right="0"/>
        <w:jc w:val="both"/>
      </w:pPr>
      <w:r>
        <w:rPr/>
        <w:t xml:space="preserve">ИНН 7714844718/КПП 771401001                                                    </w:t>
      </w:r>
    </w:p>
    <w:p>
      <w:pPr>
        <w:pStyle w:val="style0"/>
        <w:ind w:hanging="0" w:left="360" w:right="0"/>
        <w:jc w:val="both"/>
      </w:pPr>
      <w:r>
        <w:rPr/>
        <w:t xml:space="preserve">ул. Земляной Вал, 7, оф.416                                     Адрес:       </w:t>
      </w:r>
    </w:p>
    <w:p>
      <w:pPr>
        <w:pStyle w:val="style0"/>
        <w:ind w:hanging="0" w:left="360" w:right="0"/>
        <w:jc w:val="both"/>
      </w:pPr>
      <w:r>
        <w:rPr/>
        <w:t xml:space="preserve">тел. (495) 9171099, 7787729                                     тел: </w:t>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/Мартынова К.А./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677" w:val="center"/>
        <w:tab w:leader="none" w:pos="9355" w:val="right"/>
      </w:tabs>
      <w:jc w:val="center"/>
    </w:pPr>
    <w:r>
      <w:rPr>
        <w:b/>
        <w:sz w:val="32"/>
        <w:szCs w:val="32"/>
      </w:rPr>
      <w:t>ГРУППА КОМПАНИЙ «ФЛАГМАН»</w:t>
    </w:r>
  </w:p>
  <w:p>
    <w:pPr>
      <w:pStyle w:val="style0"/>
      <w:tabs>
        <w:tab w:leader="none" w:pos="4677" w:val="center"/>
        <w:tab w:leader="none" w:pos="9355" w:val="right"/>
      </w:tabs>
    </w:pPr>
    <w:r>
      <w:rPr>
        <w:sz w:val="20"/>
        <w:szCs w:val="20"/>
      </w:rPr>
    </w:r>
  </w:p>
  <w:p>
    <w:pPr>
      <w:pStyle w:val="style0"/>
      <w:tabs>
        <w:tab w:leader="none" w:pos="4677" w:val="center"/>
        <w:tab w:leader="none" w:pos="9355" w:val="right"/>
      </w:tabs>
      <w:jc w:val="center"/>
    </w:pPr>
    <w:r>
      <w:rPr>
        <w:sz w:val="20"/>
        <w:szCs w:val="20"/>
      </w:rPr>
      <w:t>105064, Россия, г. Москва, ул. Земляной вал, д. 7</w:t>
    </w:r>
  </w:p>
  <w:p>
    <w:pPr>
      <w:pStyle w:val="style0"/>
      <w:tabs>
        <w:tab w:leader="none" w:pos="4677" w:val="center"/>
        <w:tab w:leader="none" w:pos="9355" w:val="right"/>
      </w:tabs>
      <w:jc w:val="center"/>
    </w:pPr>
    <w:r>
      <w:rPr>
        <w:sz w:val="20"/>
        <w:szCs w:val="20"/>
      </w:rPr>
      <w:t>Тел./факс: +7 (495) 917-1099;778-7729</w:t>
    </w:r>
  </w:p>
  <w:p>
    <w:pPr>
      <w:pStyle w:val="style27"/>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abstractNum>
  <w:abstractNum w:abstractNumId="2">
    <w:lvl w:ilvl="0">
      <w:start w:val="5"/>
      <w:numFmt w:val="decimal"/>
      <w:lvlText w:val="%1."/>
      <w:lvlJc w:val="left"/>
      <w:pPr>
        <w:ind w:hanging="360" w:left="72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auto"/>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paragraph">
    <w:name w:val="Заголовок"/>
    <w:basedOn w:val="style0"/>
    <w:next w:val="style22"/>
    <w:pPr>
      <w:jc w:val="center"/>
    </w:pPr>
    <w:rPr>
      <w:b/>
      <w:szCs w:val="20"/>
    </w:rPr>
  </w:style>
  <w:style w:styleId="style22" w:type="paragraph">
    <w:name w:val="Основной текст"/>
    <w:basedOn w:val="style0"/>
    <w:next w:val="style22"/>
    <w:pPr>
      <w:jc w:val="center"/>
    </w:pPr>
    <w:rPr>
      <w:sz w:val="18"/>
      <w:szCs w:val="20"/>
    </w:rPr>
  </w:style>
  <w:style w:styleId="style23" w:type="paragraph">
    <w:name w:val="Список"/>
    <w:basedOn w:val="style22"/>
    <w:next w:val="style23"/>
    <w:pPr/>
    <w:rPr>
      <w:rFonts w:cs="Lohit Hindi"/>
    </w:rPr>
  </w:style>
  <w:style w:styleId="style24" w:type="paragraph">
    <w:name w:val="Название"/>
    <w:basedOn w:val="style0"/>
    <w:next w:val="style24"/>
    <w:pPr>
      <w:suppressLineNumbers/>
      <w:spacing w:after="120" w:before="120"/>
    </w:pPr>
    <w:rPr>
      <w:rFonts w:cs="Lohit Hindi"/>
      <w:i/>
      <w:iCs/>
      <w:sz w:val="24"/>
      <w:szCs w:val="24"/>
    </w:rPr>
  </w:style>
  <w:style w:styleId="style25" w:type="paragraph">
    <w:name w:val="Указатель"/>
    <w:basedOn w:val="style0"/>
    <w:next w:val="style25"/>
    <w:pPr>
      <w:suppressLineNumbers/>
    </w:pPr>
    <w:rPr>
      <w:rFonts w:cs="Lohit Hindi"/>
    </w:rPr>
  </w:style>
  <w:style w:styleId="style26" w:type="paragraph">
    <w:name w:val="Текст выноски"/>
    <w:basedOn w:val="style0"/>
    <w:next w:val="style26"/>
    <w:pPr/>
    <w:rPr>
      <w:rFonts w:ascii="Tahoma" w:cs="Tahoma" w:hAnsi="Tahoma"/>
      <w:sz w:val="16"/>
      <w:szCs w:val="16"/>
    </w:rPr>
  </w:style>
  <w:style w:styleId="style27" w:type="paragraph">
    <w:name w:val="Верхний колонтитул"/>
    <w:basedOn w:val="style0"/>
    <w:next w:val="style27"/>
    <w:pPr>
      <w:tabs>
        <w:tab w:leader="none" w:pos="4677" w:val="center"/>
        <w:tab w:leader="none" w:pos="9355" w:val="right"/>
      </w:tabs>
    </w:pPr>
    <w:rPr/>
  </w:style>
  <w:style w:styleId="style28" w:type="paragraph">
    <w:name w:val="Нижний колонтитул"/>
    <w:basedOn w:val="style0"/>
    <w:next w:val="style28"/>
    <w:pPr>
      <w:tabs>
        <w:tab w:leader="none" w:pos="4677" w:val="center"/>
        <w:tab w:leader="none" w:pos="9355"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