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06-04-2026 al 03-05-2026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exclusivamente a las problemáticas priorizadas en el Plan Comunal de Seguridad Pública: robos violentos, robo en lugar habitado, violencia intrafamiliar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ranking de cuadrantes según la suma total de eventos PCSP observados en el periodo. Los 5 cuadrantes con mayor concentración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178 eventos asociados a problemáticas PCSP. La tabla siguiente resume los cuadrantes asignados a refuerzo focalizado y agrega una fila de totales correspondiente a dichos cuadrantes priorizados.</w:t>
      </w:r>
    </w:p>
    <w:tbl>
      <w:tblPr>
        <w:tblStyle w:val="Tablaconcuadrcula"/>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Violencia intrafamiliar</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Total_PCSP</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17</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17</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15</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220B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220A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11</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221A</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 focalizados</w:t>
            </w:r>
          </w:p>
        </w:tc>
        <w:tc>
          <w:tcPr>
            <w:tcW w:type="dxa" w:w="1263"/>
            <w:vAlign w:val="center"/>
            <w:shd w:fill="FFFFFF"/>
          </w:tcPr>
          <w:p>
            <w:pPr>
              <w:spacing w:after="0"/>
              <w:jc w:val="left"/>
            </w:pPr>
            <w:r>
              <w:rPr>
                <w:color w:val="000000"/>
                <w:sz w:val="16"/>
              </w:rPr>
              <w:t>24</w:t>
            </w:r>
          </w:p>
        </w:tc>
        <w:tc>
          <w:tcPr>
            <w:tcW w:type="dxa" w:w="1263"/>
            <w:vAlign w:val="center"/>
            <w:shd w:fill="FFFFFF"/>
          </w:tcPr>
          <w:p>
            <w:pPr>
              <w:spacing w:after="0"/>
              <w:jc w:val="left"/>
            </w:pPr>
            <w:r>
              <w:rPr>
                <w:color w:val="000000"/>
                <w:sz w:val="16"/>
              </w:rPr>
              <w:t>36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140</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4442302"/>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4442302"/>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Anunciación &amp; Judith</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Anunciación &amp; Cecilia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Av. Central Gonzalo Pérez Llona &amp; Primera Transversal</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Pdte. Kennedy &amp; Pje. Grumete Bustos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1 Sur &amp; Pdte. Kennedy</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217A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Av. 5 De Abril &amp; Av. Segunda Transversal</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Campanario &amp; Pje. El Príncipe</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Pje. Los Aviadores &amp; Pje. Los Poetas</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Del Rey &amp; Pje. Los Escritores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Del Pontífice &amp; República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José Manuel Borgoño &amp; Pje. Alemania</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218B</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Av. Sur &amp; Pje. Los Pascuenses</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Av. El Olimpo &amp; Pje. Amaltea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Av. Las Naciones &amp; Pje. Los Zarzales</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Av. Sur &amp; Universidad Católica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219</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Pje. Filidor &amp; Pje. Los Coros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Las Golondrinas Oriente &amp; Los Ministros</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Av. Lumen &amp; Los Presidentes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Alaska &amp; Pje. Carmela Larraín</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Las Golondrinas &amp; Sagrado Corazón</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3 Norte &amp; Pje. La Pinta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222A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Pje. Puerto Cárdenas &amp; Pje. Puerto Viejo</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Los Beduinos &amp; Pje. Los Beduinos 5</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Caronte &amp; Esdras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Diputado Ángel Fantuzzi Hernández &amp; Madreselva</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Esdras &amp; Madreselva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223B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Pje. Heliópolis &amp; Pje. Sahara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bl>
    <w:p>
      <w:pPr>
        <w:spacing w:after="40"/>
      </w:pPr>
    </w:p>
    <w:p>
      <w:pPr>
        <w:spacing w:before="40" w:after="60"/>
        <w:jc w:val="left"/>
      </w:pPr>
      <w:r>
        <w:rPr>
          <w:b/>
          <w:color w:val="101846"/>
          <w:sz w:val="22"/>
        </w:rPr>
        <w:t>Motoristas</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Los Capuchinos &amp; Pje. Iniciación</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Av. Las Parcelas &amp; Pje. Reino Unido</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Dr. Livingstone &amp; Pje. Dakar</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Av. Simón Bolívar &amp; Dr. Livingstone</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Av. Las Torres &amp; Pje. El Duraznal</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215C</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Pje. Ionesco &amp; Pje. Roberto Kock</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Pje. Teatro Ópera &amp; Teatro Recoleta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Claudio Arrau &amp; Pje. Teatro Caupolicán</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Campo De Batalla &amp; Pje. Diez De Julio Huamachuco</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Av. El Rosal &amp; Campo De Batalla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Av. El Rosal &amp; Las Araucarias</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216B</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Av. La Sinfonía &amp; La Sinfonía</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220A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Aurora De Chile &amp; Padre De La Patria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Libertador Bernardo O'Higgins Sur &amp; Mujeres Chilenas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220A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La Candelaria &amp; Pje. Dawson</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Learcio &amp; Quinta Vergara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La Galaxia &amp; Pje. Esquilo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El Conquistador &amp; Las Tinajas</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El Conquistador &amp; Pje. Andrómeda</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Campanario &amp; El Conquistador</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220B</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Av. Sur &amp; El Conquistador</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 + Alcohol y drogas en vía pública</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Coltauco &amp; Llay-Llay</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Litueche &amp; Pje. Pichidegua</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3</w:t>
            </w:r>
          </w:p>
        </w:tc>
        <w:tc>
          <w:tcPr>
            <w:tcW w:type="dxa" w:w="1768"/>
            <w:vAlign w:val="center"/>
            <w:shd w:fill="FFFFFF"/>
          </w:tcPr>
          <w:p>
            <w:pPr>
              <w:spacing w:after="0"/>
              <w:jc w:val="left"/>
            </w:pPr>
            <w:r>
              <w:rPr>
                <w:color w:val="000000"/>
                <w:sz w:val="16"/>
              </w:rPr>
              <w:t>El Conquistador &amp; Pje. Ester</w:t>
            </w:r>
          </w:p>
        </w:tc>
        <w:tc>
          <w:tcPr>
            <w:tcW w:type="dxa" w:w="1768"/>
            <w:vAlign w:val="center"/>
            <w:shd w:fill="FFFFFF"/>
          </w:tcPr>
          <w:p>
            <w:pPr>
              <w:spacing w:after="0"/>
              <w:jc w:val="left"/>
            </w:pPr>
            <w:r>
              <w:rPr>
                <w:color w:val="000000"/>
                <w:sz w:val="16"/>
              </w:rPr>
              <w:t>Violencia intrafamiliar</w:t>
            </w:r>
          </w:p>
        </w:tc>
        <w:tc>
          <w:tcPr>
            <w:tcW w:type="dxa" w:w="1768"/>
            <w:vAlign w:val="center"/>
            <w:shd w:fill="FFFFFF"/>
          </w:tcPr>
          <w:p>
            <w:pPr>
              <w:spacing w:after="0"/>
              <w:jc w:val="left"/>
            </w:pPr>
            <w:r>
              <w:rPr>
                <w:color w:val="000000"/>
                <w:sz w:val="16"/>
              </w:rPr>
              <w:t>Violencia intrafamiliar</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4</w:t>
            </w:r>
          </w:p>
        </w:tc>
        <w:tc>
          <w:tcPr>
            <w:tcW w:type="dxa" w:w="1768"/>
            <w:vAlign w:val="center"/>
            <w:shd w:fill="FFFFFF"/>
          </w:tcPr>
          <w:p>
            <w:pPr>
              <w:spacing w:after="0"/>
              <w:jc w:val="left"/>
            </w:pPr>
            <w:r>
              <w:rPr>
                <w:color w:val="000000"/>
                <w:sz w:val="16"/>
              </w:rPr>
              <w:t>Av. 4 Poniente &amp; Av. Alfredo Silva Carvallo</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5</w:t>
            </w:r>
          </w:p>
        </w:tc>
        <w:tc>
          <w:tcPr>
            <w:tcW w:type="dxa" w:w="1768"/>
            <w:vAlign w:val="center"/>
            <w:shd w:fill="FFFFFF"/>
          </w:tcPr>
          <w:p>
            <w:pPr>
              <w:spacing w:after="0"/>
              <w:jc w:val="left"/>
            </w:pPr>
            <w:r>
              <w:rPr>
                <w:color w:val="000000"/>
                <w:sz w:val="16"/>
              </w:rPr>
              <w:t>Pje. Los Astronomos &amp; Valle De Los Reyes</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221A</w:t>
            </w:r>
          </w:p>
        </w:tc>
        <w:tc>
          <w:tcPr>
            <w:tcW w:type="dxa" w:w="1768"/>
            <w:vAlign w:val="center"/>
            <w:shd w:fill="FFFFFF"/>
          </w:tcPr>
          <w:p>
            <w:pPr>
              <w:spacing w:after="0"/>
              <w:jc w:val="left"/>
            </w:pPr>
            <w:r>
              <w:rPr>
                <w:color w:val="000000"/>
                <w:sz w:val="16"/>
              </w:rPr>
              <w:t>6</w:t>
            </w:r>
          </w:p>
        </w:tc>
        <w:tc>
          <w:tcPr>
            <w:tcW w:type="dxa" w:w="1768"/>
            <w:vAlign w:val="center"/>
            <w:shd w:fill="FFFFFF"/>
          </w:tcPr>
          <w:p>
            <w:pPr>
              <w:spacing w:after="0"/>
              <w:jc w:val="left"/>
            </w:pPr>
            <w:r>
              <w:rPr>
                <w:color w:val="000000"/>
                <w:sz w:val="16"/>
              </w:rPr>
              <w:t>El Avellano &amp; El Ulmo</w:t>
            </w:r>
          </w:p>
        </w:tc>
        <w:tc>
          <w:tcPr>
            <w:tcW w:type="dxa" w:w="1768"/>
            <w:vAlign w:val="center"/>
            <w:shd w:fill="FFFFFF"/>
          </w:tcPr>
          <w:p>
            <w:pPr>
              <w:spacing w:after="0"/>
              <w:jc w:val="left"/>
            </w:pPr>
            <w:r>
              <w:rPr>
                <w:color w:val="000000"/>
                <w:sz w:val="16"/>
              </w:rPr>
              <w:t>Robo en lugar habitado</w:t>
            </w:r>
          </w:p>
        </w:tc>
        <w:tc>
          <w:tcPr>
            <w:tcW w:type="dxa" w:w="1768"/>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ook w:firstColumn="1" w:firstRow="1" w:lastColumn="0" w:lastRow="0" w:noHBand="0" w:noVBand="1" w:val="04A0"/>
      </w:tblPr>
      <w:tblGrid>
        <w:gridCol w:w="1768"/>
        <w:gridCol w:w="1768"/>
        <w:gridCol w:w="1768"/>
        <w:gridCol w:w="1768"/>
        <w:gridCol w:w="1768"/>
      </w:tblGrid>
      <w:tr>
        <w:tc>
          <w:tcPr>
            <w:tcW w:type="dxa" w:w="1768"/>
            <w:vAlign w:val="center"/>
            <w:shd w:fill="252C54"/>
          </w:tcPr>
          <w:p>
            <w:pPr>
              <w:spacing w:after="0"/>
              <w:jc w:val="center"/>
            </w:pPr>
            <w:r>
              <w:rPr>
                <w:b/>
                <w:color w:val="FFFFFF"/>
                <w:sz w:val="16"/>
              </w:rPr>
              <w:t>Cuadrante</w:t>
            </w:r>
          </w:p>
        </w:tc>
        <w:tc>
          <w:tcPr>
            <w:tcW w:type="dxa" w:w="1768"/>
            <w:vAlign w:val="center"/>
            <w:shd w:fill="252C54"/>
          </w:tcPr>
          <w:p>
            <w:pPr>
              <w:spacing w:after="0"/>
              <w:jc w:val="center"/>
            </w:pPr>
            <w:r>
              <w:rPr>
                <w:b/>
                <w:color w:val="FFFFFF"/>
                <w:sz w:val="16"/>
              </w:rPr>
              <w:t>Orden</w:t>
            </w:r>
          </w:p>
        </w:tc>
        <w:tc>
          <w:tcPr>
            <w:tcW w:type="dxa" w:w="1768"/>
            <w:vAlign w:val="center"/>
            <w:shd w:fill="252C54"/>
          </w:tcPr>
          <w:p>
            <w:pPr>
              <w:spacing w:after="0"/>
              <w:jc w:val="center"/>
            </w:pPr>
            <w:r>
              <w:rPr>
                <w:b/>
                <w:color w:val="FFFFFF"/>
                <w:sz w:val="16"/>
              </w:rPr>
              <w:t>Intersección</w:t>
            </w:r>
          </w:p>
        </w:tc>
        <w:tc>
          <w:tcPr>
            <w:tcW w:type="dxa" w:w="1768"/>
            <w:vAlign w:val="center"/>
            <w:shd w:fill="252C54"/>
          </w:tcPr>
          <w:p>
            <w:pPr>
              <w:spacing w:after="0"/>
              <w:jc w:val="center"/>
            </w:pPr>
            <w:r>
              <w:rPr>
                <w:b/>
                <w:color w:val="FFFFFF"/>
                <w:sz w:val="16"/>
              </w:rPr>
              <w:t>Problemática principal</w:t>
            </w:r>
          </w:p>
        </w:tc>
        <w:tc>
          <w:tcPr>
            <w:tcW w:type="dxa" w:w="1768"/>
            <w:vAlign w:val="center"/>
            <w:shd w:fill="252C54"/>
          </w:tcPr>
          <w:p>
            <w:pPr>
              <w:spacing w:after="0"/>
              <w:jc w:val="center"/>
            </w:pPr>
            <w:r>
              <w:rPr>
                <w:b/>
                <w:color w:val="FFFFFF"/>
                <w:sz w:val="16"/>
              </w:rPr>
              <w:t>Problemáticas asociadas</w:t>
            </w:r>
          </w:p>
        </w:tc>
      </w:tr>
      <w:tr>
        <w:tc>
          <w:tcPr>
            <w:tcW w:type="dxa" w:w="1768"/>
            <w:vAlign w:val="center"/>
            <w:shd w:fill="FFFFFF"/>
          </w:tcPr>
          <w:p>
            <w:pPr>
              <w:spacing w:after="0"/>
              <w:jc w:val="left"/>
            </w:pPr>
            <w:r>
              <w:rPr>
                <w:color w:val="000000"/>
                <w:sz w:val="16"/>
              </w:rPr>
              <w:t>218C</w:t>
            </w:r>
          </w:p>
        </w:tc>
        <w:tc>
          <w:tcPr>
            <w:tcW w:type="dxa" w:w="1768"/>
            <w:vAlign w:val="center"/>
            <w:shd w:fill="FFFFFF"/>
          </w:tcPr>
          <w:p>
            <w:pPr>
              <w:spacing w:after="0"/>
              <w:jc w:val="left"/>
            </w:pPr>
            <w:r>
              <w:rPr>
                <w:color w:val="000000"/>
                <w:sz w:val="16"/>
              </w:rPr>
              <w:t>1</w:t>
            </w:r>
          </w:p>
        </w:tc>
        <w:tc>
          <w:tcPr>
            <w:tcW w:type="dxa" w:w="1768"/>
            <w:vAlign w:val="center"/>
            <w:shd w:fill="FFFFFF"/>
          </w:tcPr>
          <w:p>
            <w:pPr>
              <w:spacing w:after="0"/>
              <w:jc w:val="left"/>
            </w:pPr>
            <w:r>
              <w:rPr>
                <w:color w:val="000000"/>
                <w:sz w:val="16"/>
              </w:rPr>
              <w:t>Av. Los Pajaritos &amp; Maipú</w:t>
            </w:r>
          </w:p>
        </w:tc>
        <w:tc>
          <w:tcPr>
            <w:tcW w:type="dxa" w:w="1768"/>
            <w:vAlign w:val="center"/>
            <w:shd w:fill="FFFFFF"/>
          </w:tcPr>
          <w:p>
            <w:pPr>
              <w:spacing w:after="0"/>
              <w:jc w:val="left"/>
            </w:pPr>
            <w:r>
              <w:rPr>
                <w:color w:val="000000"/>
                <w:sz w:val="16"/>
              </w:rPr>
              <w:t>Robos violentos</w:t>
            </w:r>
          </w:p>
        </w:tc>
        <w:tc>
          <w:tcPr>
            <w:tcW w:type="dxa" w:w="1768"/>
            <w:vAlign w:val="center"/>
            <w:shd w:fill="FFFFFF"/>
          </w:tcPr>
          <w:p>
            <w:pPr>
              <w:spacing w:after="0"/>
              <w:jc w:val="left"/>
            </w:pPr>
            <w:r>
              <w:rPr>
                <w:color w:val="000000"/>
                <w:sz w:val="16"/>
              </w:rPr>
              <w:t>Robos violentos</w:t>
            </w:r>
          </w:p>
        </w:tc>
      </w:tr>
      <w:tr>
        <w:tc>
          <w:tcPr>
            <w:tcW w:type="dxa" w:w="1768"/>
            <w:vAlign w:val="center"/>
            <w:shd w:fill="FFFFFF"/>
          </w:tcPr>
          <w:p>
            <w:pPr>
              <w:spacing w:after="0"/>
              <w:jc w:val="left"/>
            </w:pPr>
            <w:r>
              <w:rPr>
                <w:color w:val="000000"/>
                <w:sz w:val="16"/>
              </w:rPr>
              <w:t>218C</w:t>
            </w:r>
          </w:p>
        </w:tc>
        <w:tc>
          <w:tcPr>
            <w:tcW w:type="dxa" w:w="1768"/>
            <w:vAlign w:val="center"/>
            <w:shd w:fill="FFFFFF"/>
          </w:tcPr>
          <w:p>
            <w:pPr>
              <w:spacing w:after="0"/>
              <w:jc w:val="left"/>
            </w:pPr>
            <w:r>
              <w:rPr>
                <w:color w:val="000000"/>
                <w:sz w:val="16"/>
              </w:rPr>
              <w:t>2</w:t>
            </w:r>
          </w:p>
        </w:tc>
        <w:tc>
          <w:tcPr>
            <w:tcW w:type="dxa" w:w="1768"/>
            <w:vAlign w:val="center"/>
            <w:shd w:fill="FFFFFF"/>
          </w:tcPr>
          <w:p>
            <w:pPr>
              <w:spacing w:after="0"/>
              <w:jc w:val="left"/>
            </w:pPr>
            <w:r>
              <w:rPr>
                <w:color w:val="000000"/>
                <w:sz w:val="16"/>
              </w:rPr>
              <w:t>Chacabuco &amp; Monumento</w:t>
            </w:r>
          </w:p>
        </w:tc>
        <w:tc>
          <w:tcPr>
            <w:tcW w:type="dxa" w:w="1768"/>
            <w:vAlign w:val="center"/>
            <w:shd w:fill="FFFFFF"/>
          </w:tcPr>
          <w:p>
            <w:pPr>
              <w:spacing w:after="0"/>
              <w:jc w:val="left"/>
            </w:pPr>
            <w:r>
              <w:rPr>
                <w:color w:val="000000"/>
                <w:sz w:val="16"/>
              </w:rPr>
              <w:t>Alcohol y drogas en vía pública</w:t>
            </w:r>
          </w:p>
        </w:tc>
        <w:tc>
          <w:tcPr>
            <w:tcW w:type="dxa" w:w="1768"/>
            <w:vAlign w:val="center"/>
            <w:shd w:fill="FFFFFF"/>
          </w:tcPr>
          <w:p>
            <w:pPr>
              <w:spacing w:after="0"/>
              <w:jc w:val="left"/>
            </w:pPr>
            <w:r>
              <w:rPr>
                <w:color w:val="000000"/>
                <w:sz w:val="16"/>
              </w:rPr>
              <w:t>Alcohol y drogas en vía pública</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