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0" w:after="60"/>
        <w:jc w:val="left"/>
      </w:pPr>
      <w:r>
        <w:rPr>
          <w:b/>
          <w:color w:val="101846"/>
          <w:sz w:val="32"/>
        </w:rPr>
        <w:t>Informe de Focalización PCSP</w:t>
      </w:r>
    </w:p>
    <w:p>
      <w:pPr>
        <w:jc w:val="center"/>
      </w:pPr>
      <w:r>
        <w:t>Periodo de análisis: 18-05-2026 al 14-06-2026</w:t>
      </w:r>
    </w:p>
    <w:p>
      <w:pPr>
        <w:spacing w:before="40" w:after="60"/>
        <w:jc w:val="left"/>
      </w:pPr>
      <w:r>
        <w:rPr>
          <w:b/>
          <w:color w:val="101846"/>
          <w:sz w:val="26"/>
        </w:rPr>
        <w:t>1. Introducción</w:t>
      </w:r>
    </w:p>
    <w:p>
      <w:pPr>
        <w:spacing w:after="80"/>
        <w:jc w:val="both"/>
      </w:pPr>
      <w:r>
        <w:rPr>
          <w:b w:val="0"/>
        </w:rPr>
        <w:t>El presente informe consolida la pauta focalizada de patrullaje preventivo, elaborada a partir de los reportes del Visor de Emergencias de Seguridad (VES) correspondientes a los últimos 28 días disponibles. La focalización se orienta a las tres problemáticas con meta de patrullaje del PCSP: robos violentos, robo en lugar habitado y consumo de alcohol o drogas en la vía pública.</w:t>
      </w:r>
    </w:p>
    <w:p>
      <w:pPr>
        <w:spacing w:before="40" w:after="60"/>
        <w:jc w:val="left"/>
      </w:pPr>
      <w:r>
        <w:rPr>
          <w:b/>
          <w:color w:val="101846"/>
          <w:sz w:val="26"/>
        </w:rPr>
        <w:t>2. Criterio metodológico</w:t>
      </w:r>
    </w:p>
    <w:p>
      <w:pPr>
        <w:spacing w:after="80"/>
        <w:jc w:val="both"/>
      </w:pPr>
      <w:r>
        <w:rPr>
          <w:b w:val="0"/>
        </w:rPr>
        <w:t>La asignación territorial se realiza mediante un ranking ponderado por cuadrante. Primero se prioriza la cantidad de eventos asociados a las tres problemáticas con meta de patrullaje y luego se utiliza un puntaje técnico interno para reforzar la lectura operativa del territorio. Los 5 cuadrantes con mayor prioridad son asignados a refuerzo de móviles, los siguientes 5 a refuerzo de motoristas, mientras que el cuadrante 218C se mantiene como zona permanente de intervención del equipo Delta. Para identificar puntos operativos, se utiliza una grilla regular de 400 x 400 metros en la comuna y una grilla de 50 x 50 metros en 218C. Posteriormente, se busca la intersección más cercana al centro de concentración de eventos dentro de cada celda priorizada.</w:t>
      </w:r>
    </w:p>
    <w:p>
      <w:pPr>
        <w:spacing w:before="40" w:after="60"/>
        <w:jc w:val="left"/>
      </w:pPr>
      <w:r>
        <w:rPr>
          <w:b/>
          <w:color w:val="101846"/>
          <w:sz w:val="26"/>
        </w:rPr>
        <w:t>3. Resumen de eventos PCSP y asignación de equipos</w:t>
      </w:r>
    </w:p>
    <w:p>
      <w:pPr>
        <w:spacing w:after="80"/>
        <w:jc w:val="both"/>
      </w:pPr>
      <w:r>
        <w:rPr>
          <w:b w:val="0"/>
        </w:rPr>
        <w:t>Durante el periodo analizado se identificaron 235 eventos incorporados a la fórmula de priorización territorial PCSP ajustada. De ellos, 106 corresponden a las tres problemáticas con meta de patrullaje y 129 corresponden a delitos complementarios considerados internamente con menor peso técnico. Para efectos de planificación, verificación y cumplimiento de meta, la tabla siguiente muestra únicamente las tres problemáticas PCSP con meta en los cuadrantes focalizados; por eso el total verificable de la tabla corresponde a 78 eventos asociados a metas, mientras que el puntaje ponderado se mantiene como un criterio técnico interno de priorización.</w:t>
      </w:r>
    </w:p>
    <w:tbl>
      <w:tblPr>
        <w:tblStyle w:val="Tablaconcuadrcula"/>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shd w:fill="252C54"/>
          </w:tcPr>
          <w:p>
            <w:pPr>
              <w:spacing w:after="0"/>
              <w:jc w:val="center"/>
            </w:pPr>
            <w:r>
              <w:rPr>
                <w:b/>
                <w:color w:val="FFFFFF"/>
                <w:sz w:val="16"/>
              </w:rPr>
              <w:t>Cuadrante</w:t>
            </w:r>
          </w:p>
        </w:tc>
        <w:tc>
          <w:tcPr>
            <w:tcW w:type="dxa" w:w="1263"/>
            <w:vAlign w:val="center"/>
            <w:shd w:fill="252C54"/>
          </w:tcPr>
          <w:p>
            <w:pPr>
              <w:spacing w:after="0"/>
              <w:jc w:val="center"/>
            </w:pPr>
            <w:r>
              <w:rPr>
                <w:b/>
                <w:color w:val="FFFFFF"/>
                <w:sz w:val="16"/>
              </w:rPr>
              <w:t>Robos violentos</w:t>
            </w:r>
          </w:p>
        </w:tc>
        <w:tc>
          <w:tcPr>
            <w:tcW w:type="dxa" w:w="1263"/>
            <w:vAlign w:val="center"/>
            <w:shd w:fill="252C54"/>
          </w:tcPr>
          <w:p>
            <w:pPr>
              <w:spacing w:after="0"/>
              <w:jc w:val="center"/>
            </w:pPr>
            <w:r>
              <w:rPr>
                <w:b/>
                <w:color w:val="FFFFFF"/>
                <w:sz w:val="16"/>
              </w:rPr>
              <w:t>Robo en lugar habitado</w:t>
            </w:r>
          </w:p>
        </w:tc>
        <w:tc>
          <w:tcPr>
            <w:tcW w:type="dxa" w:w="1263"/>
            <w:vAlign w:val="center"/>
            <w:shd w:fill="252C54"/>
          </w:tcPr>
          <w:p>
            <w:pPr>
              <w:spacing w:after="0"/>
              <w:jc w:val="center"/>
            </w:pPr>
            <w:r>
              <w:rPr>
                <w:b/>
                <w:color w:val="FFFFFF"/>
                <w:sz w:val="16"/>
              </w:rPr>
              <w:t>Alcohol y drogas en vía pública</w:t>
            </w:r>
          </w:p>
        </w:tc>
        <w:tc>
          <w:tcPr>
            <w:tcW w:type="dxa" w:w="1263"/>
            <w:vAlign w:val="center"/>
            <w:shd w:fill="252C54"/>
          </w:tcPr>
          <w:p>
            <w:pPr>
              <w:spacing w:after="0"/>
              <w:jc w:val="center"/>
            </w:pPr>
            <w:r>
              <w:rPr>
                <w:b/>
                <w:color w:val="FFFFFF"/>
                <w:sz w:val="16"/>
              </w:rPr>
              <w:t>Total Meta PCSP</w:t>
            </w:r>
          </w:p>
        </w:tc>
        <w:tc>
          <w:tcPr>
            <w:tcW w:type="dxa" w:w="1263"/>
            <w:vAlign w:val="center"/>
            <w:shd w:fill="252C54"/>
          </w:tcPr>
          <w:p>
            <w:pPr>
              <w:spacing w:after="0"/>
              <w:jc w:val="center"/>
            </w:pPr>
            <w:r>
              <w:rPr>
                <w:b/>
                <w:color w:val="FFFFFF"/>
                <w:sz w:val="16"/>
              </w:rPr>
              <w:t>Puntaje PCSP Ponderado</w:t>
            </w:r>
          </w:p>
        </w:tc>
        <w:tc>
          <w:tcPr>
            <w:tcW w:type="dxa" w:w="1263"/>
            <w:vAlign w:val="center"/>
            <w:shd w:fill="252C54"/>
          </w:tcPr>
          <w:p>
            <w:pPr>
              <w:spacing w:after="0"/>
              <w:jc w:val="center"/>
            </w:pPr>
            <w:r>
              <w:rPr>
                <w:b/>
                <w:color w:val="FFFFFF"/>
                <w:sz w:val="16"/>
              </w:rPr>
              <w:t>Equipo</w:t>
            </w:r>
          </w:p>
        </w:tc>
      </w:tr>
      <w:tr>
        <w:tc>
          <w:tcPr>
            <w:tcW w:type="dxa" w:w="1263"/>
            <w:vAlign w:val="center"/>
            <w:shd w:fill="FFFFFF"/>
          </w:tcPr>
          <w:p>
            <w:pPr>
              <w:spacing w:after="0"/>
              <w:jc w:val="left"/>
            </w:pPr>
            <w:r>
              <w:rPr>
                <w:color w:val="000000"/>
                <w:sz w:val="16"/>
              </w:rPr>
              <w:t>218B</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10</w:t>
            </w:r>
          </w:p>
        </w:tc>
        <w:tc>
          <w:tcPr>
            <w:tcW w:type="dxa" w:w="1263"/>
            <w:vAlign w:val="center"/>
            <w:shd w:fill="FFFFFF"/>
          </w:tcPr>
          <w:p>
            <w:pPr>
              <w:spacing w:after="0"/>
              <w:jc w:val="left"/>
            </w:pPr>
            <w:r>
              <w:rPr>
                <w:color w:val="000000"/>
                <w:sz w:val="16"/>
              </w:rPr>
              <w:t>120</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215B</w:t>
            </w:r>
          </w:p>
        </w:tc>
        <w:tc>
          <w:tcPr>
            <w:tcW w:type="dxa" w:w="1263"/>
            <w:vAlign w:val="center"/>
            <w:shd w:fill="FFFFFF"/>
          </w:tcPr>
          <w:p>
            <w:pPr>
              <w:spacing w:after="0"/>
              <w:jc w:val="left"/>
            </w:pPr>
            <w:r>
              <w:rPr>
                <w:color w:val="000000"/>
                <w:sz w:val="16"/>
              </w:rPr>
              <w:t>7</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9</w:t>
            </w:r>
          </w:p>
        </w:tc>
        <w:tc>
          <w:tcPr>
            <w:tcW w:type="dxa" w:w="1263"/>
            <w:vAlign w:val="center"/>
            <w:shd w:fill="FFFFFF"/>
          </w:tcPr>
          <w:p>
            <w:pPr>
              <w:spacing w:after="0"/>
              <w:jc w:val="left"/>
            </w:pPr>
            <w:r>
              <w:rPr>
                <w:color w:val="000000"/>
                <w:sz w:val="16"/>
              </w:rPr>
              <w:t>108</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220A</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9</w:t>
            </w:r>
          </w:p>
        </w:tc>
        <w:tc>
          <w:tcPr>
            <w:tcW w:type="dxa" w:w="1263"/>
            <w:vAlign w:val="center"/>
            <w:shd w:fill="FFFFFF"/>
          </w:tcPr>
          <w:p>
            <w:pPr>
              <w:spacing w:after="0"/>
              <w:jc w:val="left"/>
            </w:pPr>
            <w:r>
              <w:rPr>
                <w:color w:val="000000"/>
                <w:sz w:val="16"/>
              </w:rPr>
              <w:t>104</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222A</w:t>
            </w:r>
          </w:p>
        </w:tc>
        <w:tc>
          <w:tcPr>
            <w:tcW w:type="dxa" w:w="1263"/>
            <w:vAlign w:val="center"/>
            <w:shd w:fill="FFFFFF"/>
          </w:tcPr>
          <w:p>
            <w:pPr>
              <w:spacing w:after="0"/>
              <w:jc w:val="left"/>
            </w:pPr>
            <w:r>
              <w:rPr>
                <w:color w:val="000000"/>
                <w:sz w:val="16"/>
              </w:rPr>
              <w:t>5</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8</w:t>
            </w:r>
          </w:p>
        </w:tc>
        <w:tc>
          <w:tcPr>
            <w:tcW w:type="dxa" w:w="1263"/>
            <w:vAlign w:val="center"/>
            <w:shd w:fill="FFFFFF"/>
          </w:tcPr>
          <w:p>
            <w:pPr>
              <w:spacing w:after="0"/>
              <w:jc w:val="left"/>
            </w:pPr>
            <w:r>
              <w:rPr>
                <w:color w:val="000000"/>
                <w:sz w:val="16"/>
              </w:rPr>
              <w:t>98</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216B</w:t>
            </w:r>
          </w:p>
        </w:tc>
        <w:tc>
          <w:tcPr>
            <w:tcW w:type="dxa" w:w="1263"/>
            <w:vAlign w:val="center"/>
            <w:shd w:fill="FFFFFF"/>
          </w:tcPr>
          <w:p>
            <w:pPr>
              <w:spacing w:after="0"/>
              <w:jc w:val="left"/>
            </w:pPr>
            <w:r>
              <w:rPr>
                <w:color w:val="000000"/>
                <w:sz w:val="16"/>
              </w:rPr>
              <w:t>5</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8</w:t>
            </w:r>
          </w:p>
        </w:tc>
        <w:tc>
          <w:tcPr>
            <w:tcW w:type="dxa" w:w="1263"/>
            <w:vAlign w:val="center"/>
            <w:shd w:fill="FFFFFF"/>
          </w:tcPr>
          <w:p>
            <w:pPr>
              <w:spacing w:after="0"/>
              <w:jc w:val="left"/>
            </w:pPr>
            <w:r>
              <w:rPr>
                <w:color w:val="000000"/>
                <w:sz w:val="16"/>
              </w:rPr>
              <w:t>98</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218A</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7</w:t>
            </w:r>
          </w:p>
        </w:tc>
        <w:tc>
          <w:tcPr>
            <w:tcW w:type="dxa" w:w="1263"/>
            <w:vAlign w:val="center"/>
            <w:shd w:fill="FFFFFF"/>
          </w:tcPr>
          <w:p>
            <w:pPr>
              <w:spacing w:after="0"/>
              <w:jc w:val="left"/>
            </w:pPr>
            <w:r>
              <w:rPr>
                <w:color w:val="000000"/>
                <w:sz w:val="16"/>
              </w:rPr>
              <w:t>86</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217B</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5</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7</w:t>
            </w:r>
          </w:p>
        </w:tc>
        <w:tc>
          <w:tcPr>
            <w:tcW w:type="dxa" w:w="1263"/>
            <w:vAlign w:val="center"/>
            <w:shd w:fill="FFFFFF"/>
          </w:tcPr>
          <w:p>
            <w:pPr>
              <w:spacing w:after="0"/>
              <w:jc w:val="left"/>
            </w:pPr>
            <w:r>
              <w:rPr>
                <w:color w:val="000000"/>
                <w:sz w:val="16"/>
              </w:rPr>
              <w:t>86</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217A</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82</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223B</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80</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221B</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74</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218C</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30</w:t>
            </w:r>
          </w:p>
        </w:tc>
        <w:tc>
          <w:tcPr>
            <w:tcW w:type="dxa" w:w="1263"/>
            <w:vAlign w:val="center"/>
            <w:shd w:fill="FFFFFF"/>
          </w:tcPr>
          <w:p>
            <w:pPr>
              <w:spacing w:after="0"/>
              <w:jc w:val="left"/>
            </w:pPr>
            <w:r>
              <w:rPr>
                <w:color w:val="000000"/>
                <w:sz w:val="16"/>
              </w:rPr>
              <w:t>Delta</w:t>
            </w:r>
          </w:p>
        </w:tc>
      </w:tr>
      <w:tr>
        <w:tc>
          <w:tcPr>
            <w:tcW w:type="dxa" w:w="1263"/>
            <w:vAlign w:val="center"/>
            <w:shd w:fill="FFFFFF"/>
          </w:tcPr>
          <w:p>
            <w:pPr>
              <w:spacing w:after="0"/>
              <w:jc w:val="left"/>
            </w:pPr>
            <w:r>
              <w:rPr>
                <w:color w:val="000000"/>
                <w:sz w:val="16"/>
              </w:rPr>
              <w:t>Total</w:t>
            </w:r>
          </w:p>
        </w:tc>
        <w:tc>
          <w:tcPr>
            <w:tcW w:type="dxa" w:w="1263"/>
            <w:vAlign w:val="center"/>
            <w:shd w:fill="FFFFFF"/>
          </w:tcPr>
          <w:p>
            <w:pPr>
              <w:spacing w:after="0"/>
              <w:jc w:val="left"/>
            </w:pPr>
            <w:r>
              <w:rPr>
                <w:color w:val="000000"/>
                <w:sz w:val="16"/>
              </w:rPr>
              <w:t>43</w:t>
            </w:r>
          </w:p>
        </w:tc>
        <w:tc>
          <w:tcPr>
            <w:tcW w:type="dxa" w:w="1263"/>
            <w:vAlign w:val="center"/>
            <w:shd w:fill="FFFFFF"/>
          </w:tcPr>
          <w:p>
            <w:pPr>
              <w:spacing w:after="0"/>
              <w:jc w:val="left"/>
            </w:pPr>
            <w:r>
              <w:rPr>
                <w:color w:val="000000"/>
                <w:sz w:val="16"/>
              </w:rPr>
              <w:t>29</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78</w:t>
            </w:r>
          </w:p>
        </w:tc>
        <w:tc>
          <w:tcPr>
            <w:tcW w:type="dxa" w:w="1263"/>
            <w:vAlign w:val="center"/>
            <w:shd w:fill="FFFFFF"/>
          </w:tcPr>
          <w:p>
            <w:pPr>
              <w:spacing w:after="0"/>
              <w:jc w:val="left"/>
            </w:pPr>
            <w:r>
              <w:rPr>
                <w:color w:val="000000"/>
                <w:sz w:val="16"/>
              </w:rPr>
              <w:t>966</w:t>
            </w:r>
          </w:p>
        </w:tc>
        <w:tc>
          <w:tcPr>
            <w:tcW w:type="dxa" w:w="1263"/>
            <w:vAlign w:val="center"/>
            <w:shd w:fill="FFFFFF"/>
          </w:tcPr>
          <w:p>
            <w:pPr>
              <w:spacing w:after="0"/>
              <w:jc w:val="left"/>
            </w:pPr>
            <w:r>
              <w:rPr>
                <w:color w:val="000000"/>
                <w:sz w:val="16"/>
              </w:rPr>
            </w:r>
          </w:p>
        </w:tc>
      </w:tr>
    </w:tbl>
    <w:p>
      <w:pPr>
        <w:spacing w:after="40"/>
      </w:pPr>
    </w:p>
    <w:p>
      <w:pPr>
        <w:spacing w:before="40" w:after="60"/>
        <w:jc w:val="left"/>
      </w:pPr>
      <w:r>
        <w:rPr>
          <w:b/>
          <w:color w:val="101846"/>
          <w:sz w:val="26"/>
        </w:rPr>
        <w:t>4. Mapa de focalización</w:t>
      </w:r>
    </w:p>
    <w:p>
      <w:pPr>
        <w:spacing w:after="80"/>
        <w:jc w:val="both"/>
      </w:pPr>
      <w:r>
        <w:rPr>
          <w:b w:val="0"/>
        </w:rPr>
        <w:t>El mapa presenta los cuadrantes focalizados con relleno semitransparente según equipo asignado, la red vial base en gris claro, la totalidad de los límites de cuadrantes como referencia territorial y los puntos operativos numerados según orden sugerido de recorrido.</w:t>
      </w:r>
    </w:p>
    <w:p>
      <w:pPr>
        <w:jc w:val="center"/>
      </w:pPr>
      <w:r>
        <w:drawing>
          <wp:inline xmlns:a="http://schemas.openxmlformats.org/drawingml/2006/main" xmlns:pic="http://schemas.openxmlformats.org/drawingml/2006/picture">
            <wp:extent cx="5612130" cy="10982665"/>
            <wp:docPr id="1" name="Picture 1"/>
            <wp:cNvGraphicFramePr>
              <a:graphicFrameLocks noChangeAspect="1"/>
            </wp:cNvGraphicFramePr>
            <a:graphic>
              <a:graphicData uri="http://schemas.openxmlformats.org/drawingml/2006/picture">
                <pic:pic>
                  <pic:nvPicPr>
                    <pic:cNvPr id="0" name="mapa_pauta_focalizada_pcsp.png"/>
                    <pic:cNvPicPr/>
                  </pic:nvPicPr>
                  <pic:blipFill>
                    <a:blip r:embed="rId17"/>
                    <a:stretch>
                      <a:fillRect/>
                    </a:stretch>
                  </pic:blipFill>
                  <pic:spPr>
                    <a:xfrm>
                      <a:off x="0" y="0"/>
                      <a:ext cx="5612130" cy="10982665"/>
                    </a:xfrm>
                    <a:prstGeom prst="rect"/>
                  </pic:spPr>
                </pic:pic>
              </a:graphicData>
            </a:graphic>
          </wp:inline>
        </w:drawing>
      </w:r>
    </w:p>
    <w:p>
      <w:pPr>
        <w:spacing w:before="40" w:after="60"/>
        <w:jc w:val="left"/>
      </w:pPr>
      <w:r>
        <w:rPr>
          <w:b/>
          <w:color w:val="101846"/>
          <w:sz w:val="26"/>
        </w:rPr>
        <w:t>5. Puntos focalizados por equipo</w:t>
      </w:r>
    </w:p>
    <w:p>
      <w:pPr>
        <w:spacing w:before="40" w:after="60"/>
        <w:jc w:val="left"/>
      </w:pPr>
      <w:r>
        <w:rPr>
          <w:b/>
          <w:color w:val="101846"/>
          <w:sz w:val="22"/>
        </w:rPr>
        <w:t>Móviles</w:t>
      </w:r>
    </w:p>
    <w:tbl>
      <w:tblPr>
        <w:tblStyle w:val="Tablaconcuadrcula"/>
        <w:tblW w:type="auto" w:w="0"/>
        <w:jc w:val="center"/>
        <w:tblLayout w:type="fixed"/>
        <w:tblLook w:firstColumn="1" w:firstRow="1" w:lastColumn="0" w:lastRow="0" w:noHBand="0" w:noVBand="1" w:val="04A0"/>
      </w:tblPr>
      <w:tblGrid>
        <w:gridCol w:w="1037"/>
        <w:gridCol w:w="662"/>
        <w:gridCol w:w="4680"/>
        <w:gridCol w:w="2952"/>
      </w:tblGrid>
      <w:tr>
        <w:tc>
          <w:tcPr>
            <w:tcW w:type="dxa" w:w="1037"/>
            <w:vAlign w:val="center"/>
            <w:shd w:fill="252C54"/>
          </w:tcPr>
          <w:p>
            <w:pPr>
              <w:spacing w:after="0"/>
              <w:jc w:val="center"/>
            </w:pPr>
            <w:r>
              <w:rPr>
                <w:b/>
                <w:color w:val="FFFFFF"/>
                <w:sz w:val="16"/>
              </w:rPr>
              <w:t>Cuadrante</w:t>
            </w:r>
          </w:p>
        </w:tc>
        <w:tc>
          <w:tcPr>
            <w:tcW w:type="dxa" w:w="662"/>
            <w:vAlign w:val="center"/>
            <w:shd w:fill="252C54"/>
          </w:tcPr>
          <w:p>
            <w:pPr>
              <w:spacing w:after="0"/>
              <w:jc w:val="center"/>
            </w:pPr>
            <w:r>
              <w:rPr>
                <w:b/>
                <w:color w:val="FFFFFF"/>
                <w:sz w:val="16"/>
              </w:rPr>
              <w:t>Orden</w:t>
            </w:r>
          </w:p>
        </w:tc>
        <w:tc>
          <w:tcPr>
            <w:tcW w:type="dxa" w:w="4680"/>
            <w:vAlign w:val="center"/>
            <w:shd w:fill="252C54"/>
          </w:tcPr>
          <w:p>
            <w:pPr>
              <w:spacing w:after="0"/>
              <w:jc w:val="center"/>
            </w:pPr>
            <w:r>
              <w:rPr>
                <w:b/>
                <w:color w:val="FFFFFF"/>
                <w:sz w:val="16"/>
              </w:rPr>
              <w:t>Intersección</w:t>
            </w:r>
          </w:p>
        </w:tc>
        <w:tc>
          <w:tcPr>
            <w:tcW w:type="dxa" w:w="2952"/>
            <w:vAlign w:val="center"/>
            <w:shd w:fill="252C54"/>
          </w:tcPr>
          <w:p>
            <w:pPr>
              <w:spacing w:after="0"/>
              <w:jc w:val="center"/>
            </w:pPr>
            <w:r>
              <w:rPr>
                <w:b/>
                <w:color w:val="FFFFFF"/>
                <w:sz w:val="16"/>
              </w:rPr>
              <w:t>Meta PCSP</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1</w:t>
            </w:r>
          </w:p>
        </w:tc>
        <w:tc>
          <w:tcPr>
            <w:tcW w:type="dxa" w:w="4680"/>
            <w:vAlign w:val="center"/>
            <w:shd w:fill="FFFFFF"/>
          </w:tcPr>
          <w:p>
            <w:pPr>
              <w:spacing w:after="0"/>
              <w:jc w:val="left"/>
            </w:pPr>
            <w:r>
              <w:rPr>
                <w:color w:val="000000"/>
                <w:sz w:val="16"/>
              </w:rPr>
              <w:t>Cerro Sta. Lucía &amp; Pje. Samaniego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El Descanso &amp; Ministro Antorio Varas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Amazonia &amp; Quisqueya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Anita Lizana &amp; Aves Del Paraíso</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Gustavo Eiffel &amp; Pje. Los Canarios</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Av. Longitudinal &amp; Pje. Parque Las Américas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216B</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Isabel Riquelme &amp; Pje. Achupallas</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216B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Isabel Riquelme &amp; La Sinfonía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216B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Av. La Sinfonía &amp; Pje. Teatro Princesa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216B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Diez De Julio Huamachuco &amp; Victoria De Abril</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216B</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Av. La Sinfonía &amp; Teatro Municipal</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216B</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Doquilla &amp; Las Flores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218B</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Pje. El Príncipe &amp; Pje. Las Artes</w:t>
            </w:r>
          </w:p>
        </w:tc>
        <w:tc>
          <w:tcPr>
            <w:tcW w:type="dxa" w:w="2952"/>
            <w:vAlign w:val="center"/>
            <w:shd w:fill="FFFFFF"/>
            <w:tcBorders>
              <w:top w:val="single" w:sz="8" w:space="0" w:color="6B7280"/>
            </w:tcBorders>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El Cid &amp; Grecia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José Manuel Borgoño &amp; Pje. Los Universitarios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Camino A Rinconada &amp; Corredor Transantiago 5 De Abril</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El Carmen &amp; San José</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Diego De Almagro &amp; Pje. 2</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Borders>
              <w:top w:val="single" w:sz="8" w:space="0" w:color="6B7280"/>
            </w:tcBorders>
          </w:tcPr>
          <w:p>
            <w:pPr>
              <w:spacing w:after="0"/>
              <w:jc w:val="left"/>
            </w:pPr>
            <w:r>
              <w:rPr>
                <w:color w:val="000000"/>
                <w:sz w:val="16"/>
              </w:rPr>
              <w:t>220A</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San Calixto &amp; San Hermogenes</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220A</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Camino A Rinconada &amp; La Lechera</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220A</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Brisas Del Maipo &amp; Pje. Vado Azul</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220A</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El Conquistador &amp; Jaime Galle</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220A</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Coronel Rufino Carrasco &amp; La Galaxia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220A</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Anita González &amp; La Pergola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Borders>
              <w:top w:val="single" w:sz="8" w:space="0" w:color="6B7280"/>
            </w:tcBorders>
          </w:tcPr>
          <w:p>
            <w:pPr>
              <w:spacing w:after="0"/>
              <w:jc w:val="left"/>
            </w:pPr>
            <w:r>
              <w:rPr>
                <w:color w:val="000000"/>
                <w:sz w:val="16"/>
              </w:rPr>
              <w:t>222A</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Ana María Cotapos &amp; Las Rosas</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222A</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Los Ministros &amp; Tabancura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222A</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Av. Lumen &amp; Isabel Riquelme Sur</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222A</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Av. Lumen &amp; Primo De Rivera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222A</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Las Golondrinas &amp; Sagrado Corazón</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222A</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Av. Lumen &amp; Pje. Yukón</w:t>
            </w:r>
          </w:p>
        </w:tc>
        <w:tc>
          <w:tcPr>
            <w:tcW w:type="dxa" w:w="2952"/>
            <w:vAlign w:val="center"/>
            <w:shd w:fill="FFFFFF"/>
          </w:tcPr>
          <w:p>
            <w:pPr>
              <w:spacing w:after="0"/>
              <w:jc w:val="left"/>
            </w:pPr>
            <w:r>
              <w:rPr>
                <w:color w:val="000000"/>
                <w:sz w:val="16"/>
              </w:rPr>
              <w:t>Robos violentos</w:t>
            </w:r>
          </w:p>
        </w:tc>
      </w:tr>
    </w:tbl>
    <w:p>
      <w:pPr>
        <w:spacing w:after="40"/>
      </w:pPr>
    </w:p>
    <w:p>
      <w:pPr>
        <w:spacing w:before="40" w:after="60"/>
        <w:jc w:val="left"/>
      </w:pPr>
      <w:r>
        <w:rPr>
          <w:b/>
          <w:color w:val="101846"/>
          <w:sz w:val="22"/>
        </w:rPr>
        <w:t>Motoristas</w:t>
      </w:r>
    </w:p>
    <w:tbl>
      <w:tblPr>
        <w:tblStyle w:val="Tablaconcuadrcula"/>
        <w:tblW w:type="auto" w:w="0"/>
        <w:jc w:val="center"/>
        <w:tblLayout w:type="fixed"/>
        <w:tblLook w:firstColumn="1" w:firstRow="1" w:lastColumn="0" w:lastRow="0" w:noHBand="0" w:noVBand="1" w:val="04A0"/>
      </w:tblPr>
      <w:tblGrid>
        <w:gridCol w:w="1037"/>
        <w:gridCol w:w="662"/>
        <w:gridCol w:w="4680"/>
        <w:gridCol w:w="2952"/>
      </w:tblGrid>
      <w:tr>
        <w:tc>
          <w:tcPr>
            <w:tcW w:type="dxa" w:w="1037"/>
            <w:vAlign w:val="center"/>
            <w:shd w:fill="252C54"/>
          </w:tcPr>
          <w:p>
            <w:pPr>
              <w:spacing w:after="0"/>
              <w:jc w:val="center"/>
            </w:pPr>
            <w:r>
              <w:rPr>
                <w:b/>
                <w:color w:val="FFFFFF"/>
                <w:sz w:val="16"/>
              </w:rPr>
              <w:t>Cuadrante</w:t>
            </w:r>
          </w:p>
        </w:tc>
        <w:tc>
          <w:tcPr>
            <w:tcW w:type="dxa" w:w="662"/>
            <w:vAlign w:val="center"/>
            <w:shd w:fill="252C54"/>
          </w:tcPr>
          <w:p>
            <w:pPr>
              <w:spacing w:after="0"/>
              <w:jc w:val="center"/>
            </w:pPr>
            <w:r>
              <w:rPr>
                <w:b/>
                <w:color w:val="FFFFFF"/>
                <w:sz w:val="16"/>
              </w:rPr>
              <w:t>Orden</w:t>
            </w:r>
          </w:p>
        </w:tc>
        <w:tc>
          <w:tcPr>
            <w:tcW w:type="dxa" w:w="4680"/>
            <w:vAlign w:val="center"/>
            <w:shd w:fill="252C54"/>
          </w:tcPr>
          <w:p>
            <w:pPr>
              <w:spacing w:after="0"/>
              <w:jc w:val="center"/>
            </w:pPr>
            <w:r>
              <w:rPr>
                <w:b/>
                <w:color w:val="FFFFFF"/>
                <w:sz w:val="16"/>
              </w:rPr>
              <w:t>Intersección</w:t>
            </w:r>
          </w:p>
        </w:tc>
        <w:tc>
          <w:tcPr>
            <w:tcW w:type="dxa" w:w="2952"/>
            <w:vAlign w:val="center"/>
            <w:shd w:fill="252C54"/>
          </w:tcPr>
          <w:p>
            <w:pPr>
              <w:spacing w:after="0"/>
              <w:jc w:val="center"/>
            </w:pPr>
            <w:r>
              <w:rPr>
                <w:b/>
                <w:color w:val="FFFFFF"/>
                <w:sz w:val="16"/>
              </w:rPr>
              <w:t>Meta PCSP</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1</w:t>
            </w:r>
          </w:p>
        </w:tc>
        <w:tc>
          <w:tcPr>
            <w:tcW w:type="dxa" w:w="4680"/>
            <w:vAlign w:val="center"/>
            <w:shd w:fill="FFFFFF"/>
          </w:tcPr>
          <w:p>
            <w:pPr>
              <w:spacing w:after="0"/>
              <w:jc w:val="left"/>
            </w:pPr>
            <w:r>
              <w:rPr>
                <w:color w:val="000000"/>
                <w:sz w:val="16"/>
              </w:rPr>
              <w:t>Pdte. Germán Riesco &amp; Sta. Amanda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Primera Transversal &amp; Rafael Riesco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Carlos Cruz &amp; Renaico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Av. Central Gonzalo Pérez Llona &amp; Renaico</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Bailén &amp; Luis Gandarillas</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Av. Segunda Transversal &amp; El Alto</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Borders>
              <w:top w:val="single" w:sz="8" w:space="0" w:color="6B7280"/>
            </w:tcBorders>
          </w:tcPr>
          <w:p>
            <w:pPr>
              <w:spacing w:after="0"/>
              <w:jc w:val="left"/>
            </w:pPr>
            <w:r>
              <w:rPr>
                <w:color w:val="000000"/>
                <w:sz w:val="16"/>
              </w:rPr>
              <w:t>217B</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Sta. María &amp; Vicente Reyes</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217B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Las Acacias &amp; Marina Chica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Av. Del Ferrocarril &amp; Exequiel</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Av. 5 de Abril &amp; Reinosa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217B</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Alberto Llona &amp; Sta. María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217B</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Corredor Transantiago Pajaritos &amp; Jorge Contador Bravo</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Borders>
              <w:top w:val="single" w:sz="8" w:space="0" w:color="6B7280"/>
            </w:tcBorders>
          </w:tcPr>
          <w:p>
            <w:pPr>
              <w:spacing w:after="0"/>
              <w:jc w:val="left"/>
            </w:pPr>
            <w:r>
              <w:rPr>
                <w:color w:val="000000"/>
                <w:sz w:val="16"/>
              </w:rPr>
              <w:t>218A</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Asunción &amp; Trinidad</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De La Victoria &amp; Pje. Victoria 6</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Gral. San Martín &amp; Pje. Don Emilio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Hermanos Carrera &amp; Libertad</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Av. Los Pajaritos &amp; Libertad</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Av. Los Pajaritos &amp; Pje. Centenario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221B</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René Olivares Becerra &amp; Sergio Silva Acuña</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221B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Europa &amp; Rey Cristián</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221B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Cabo De Hornos &amp; Glorias Navales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221B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Julio Verne &amp; Pje. Emilio Salgari</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221B</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Ester Sore &amp; Germán Garcés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221B</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Pje. Resurrección &amp; Pje. Sto. Grial</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223B</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Constantino &amp; Los Pescadores</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223B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El Líbano &amp; Pje. Turquestán</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223B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Pje. Heliópolis &amp; Pje. Sahara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223B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Esdras &amp; Rey Salomón</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223B</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Camino A Melipilla &amp; Granaderos De San Martín</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223B</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Jorge Andrés Guerra &amp; Los Talaveras</w:t>
            </w:r>
          </w:p>
        </w:tc>
        <w:tc>
          <w:tcPr>
            <w:tcW w:type="dxa" w:w="2952"/>
            <w:vAlign w:val="center"/>
            <w:shd w:fill="FFFFFF"/>
          </w:tcPr>
          <w:p>
            <w:pPr>
              <w:spacing w:after="0"/>
              <w:jc w:val="left"/>
            </w:pPr>
            <w:r>
              <w:rPr>
                <w:color w:val="000000"/>
                <w:sz w:val="16"/>
              </w:rPr>
              <w:t>Robo en lugar habitado</w:t>
            </w:r>
          </w:p>
        </w:tc>
      </w:tr>
    </w:tbl>
    <w:p>
      <w:pPr>
        <w:spacing w:after="40"/>
      </w:pPr>
    </w:p>
    <w:p>
      <w:pPr>
        <w:spacing w:before="40" w:after="60"/>
        <w:jc w:val="left"/>
      </w:pPr>
      <w:r>
        <w:rPr>
          <w:b/>
          <w:color w:val="101846"/>
          <w:sz w:val="22"/>
        </w:rPr>
        <w:t>Delta</w:t>
      </w:r>
    </w:p>
    <w:tbl>
      <w:tblPr>
        <w:tblStyle w:val="Tablaconcuadrcula"/>
        <w:tblW w:type="auto" w:w="0"/>
        <w:jc w:val="center"/>
        <w:tblLayout w:type="fixed"/>
        <w:tblLook w:firstColumn="1" w:firstRow="1" w:lastColumn="0" w:lastRow="0" w:noHBand="0" w:noVBand="1" w:val="04A0"/>
      </w:tblPr>
      <w:tblGrid>
        <w:gridCol w:w="1037"/>
        <w:gridCol w:w="662"/>
        <w:gridCol w:w="4680"/>
        <w:gridCol w:w="2952"/>
      </w:tblGrid>
      <w:tr>
        <w:tc>
          <w:tcPr>
            <w:tcW w:type="dxa" w:w="1037"/>
            <w:vAlign w:val="center"/>
            <w:shd w:fill="252C54"/>
          </w:tcPr>
          <w:p>
            <w:pPr>
              <w:spacing w:after="0"/>
              <w:jc w:val="center"/>
            </w:pPr>
            <w:r>
              <w:rPr>
                <w:b/>
                <w:color w:val="FFFFFF"/>
                <w:sz w:val="16"/>
              </w:rPr>
              <w:t>Cuadrante</w:t>
            </w:r>
          </w:p>
        </w:tc>
        <w:tc>
          <w:tcPr>
            <w:tcW w:type="dxa" w:w="662"/>
            <w:vAlign w:val="center"/>
            <w:shd w:fill="252C54"/>
          </w:tcPr>
          <w:p>
            <w:pPr>
              <w:spacing w:after="0"/>
              <w:jc w:val="center"/>
            </w:pPr>
            <w:r>
              <w:rPr>
                <w:b/>
                <w:color w:val="FFFFFF"/>
                <w:sz w:val="16"/>
              </w:rPr>
              <w:t>Orden</w:t>
            </w:r>
          </w:p>
        </w:tc>
        <w:tc>
          <w:tcPr>
            <w:tcW w:type="dxa" w:w="4680"/>
            <w:vAlign w:val="center"/>
            <w:shd w:fill="252C54"/>
          </w:tcPr>
          <w:p>
            <w:pPr>
              <w:spacing w:after="0"/>
              <w:jc w:val="center"/>
            </w:pPr>
            <w:r>
              <w:rPr>
                <w:b/>
                <w:color w:val="FFFFFF"/>
                <w:sz w:val="16"/>
              </w:rPr>
              <w:t>Intersección</w:t>
            </w:r>
          </w:p>
        </w:tc>
        <w:tc>
          <w:tcPr>
            <w:tcW w:type="dxa" w:w="2952"/>
            <w:vAlign w:val="center"/>
            <w:shd w:fill="252C54"/>
          </w:tcPr>
          <w:p>
            <w:pPr>
              <w:spacing w:after="0"/>
              <w:jc w:val="center"/>
            </w:pPr>
            <w:r>
              <w:rPr>
                <w:b/>
                <w:color w:val="FFFFFF"/>
                <w:sz w:val="16"/>
              </w:rPr>
              <w:t>Meta PCSP</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1</w:t>
            </w:r>
          </w:p>
        </w:tc>
        <w:tc>
          <w:tcPr>
            <w:tcW w:type="dxa" w:w="4680"/>
            <w:vAlign w:val="center"/>
            <w:shd w:fill="FFFFFF"/>
          </w:tcPr>
          <w:p>
            <w:pPr>
              <w:spacing w:after="0"/>
              <w:jc w:val="left"/>
            </w:pPr>
            <w:r>
              <w:rPr>
                <w:color w:val="000000"/>
                <w:sz w:val="16"/>
              </w:rPr>
              <w:t>Av. Los Pajaritos &amp; Belarmino Osorio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Los Pajaritos &amp; Chacabuco</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Alberto Llona &amp; Chacabuco</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Av. Los Pajaritos &amp; Maipú</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Gral. Ordóñez &amp; Interior</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Camino A Rinconada &amp; Corredor Transantiago Rinconada</w:t>
            </w:r>
          </w:p>
        </w:tc>
        <w:tc>
          <w:tcPr>
            <w:tcW w:type="dxa" w:w="2952"/>
            <w:vAlign w:val="center"/>
            <w:shd w:fill="FFFFFF"/>
          </w:tcPr>
          <w:p>
            <w:pPr>
              <w:spacing w:after="0"/>
              <w:jc w:val="left"/>
            </w:pPr>
            <w:r>
              <w:rPr>
                <w:color w:val="000000"/>
                <w:sz w:val="16"/>
              </w:rPr>
              <w:t>Alcohol y drogas en vía pública</w:t>
            </w:r>
          </w:p>
        </w:tc>
      </w:tr>
    </w:tbl>
    <w:p>
      <w:pPr>
        <w:spacing w:after="40"/>
      </w:pPr>
    </w:p>
    <w:p>
      <w:pPr>
        <w:spacing w:before="40" w:after="60"/>
        <w:jc w:val="left"/>
      </w:pPr>
      <w:r>
        <w:rPr>
          <w:b/>
          <w:color w:val="101846"/>
          <w:sz w:val="26"/>
        </w:rPr>
        <w:t>6. Instrucción operativa</w:t>
      </w:r>
    </w:p>
    <w:p>
      <w:pPr>
        <w:spacing w:after="80"/>
        <w:jc w:val="both"/>
      </w:pPr>
      <w:r>
        <w:rPr>
          <w:b w:val="0"/>
        </w:rPr>
        <w:t>Los equipos asignados al refuerzo focalizado deberán orientar su desplazamiento preferentemente hacia los puntos definidos en la pauta, registrando su cumplimiento mediante el formulario Survey123 habilitado para Seguridad Comunitaria. El visor web permite seleccionar funcionario, filtrar por equipo o cuadrante, abrir navegación en Google Maps y registrar el punto con campos precargados para reducir el tiempo de ingreso en terreno.</w:t>
      </w:r>
    </w:p>
    <w:sectPr w:rsidR="00C97288" w:rsidSect="00795D18">
      <w:headerReference w:type="even" r:id="rId11"/>
      <w:headerReference w:type="default" r:id="rId12"/>
      <w:footerReference w:type="default" r:id="rId13"/>
      <w:headerReference w:type="first" r:id="rId14"/>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5B91D" w14:textId="77777777" w:rsidR="00D35E4A" w:rsidRDefault="00D35E4A" w:rsidP="0011789A">
      <w:r>
        <w:separator/>
      </w:r>
    </w:p>
  </w:endnote>
  <w:endnote w:type="continuationSeparator" w:id="0">
    <w:p w14:paraId="0F2BE1EF" w14:textId="77777777" w:rsidR="00D35E4A" w:rsidRDefault="00D35E4A" w:rsidP="001178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5034E" w14:textId="6052E22C" w:rsidR="00483E0E" w:rsidRDefault="00A57463">
    <w:pPr>
      <w:pStyle w:val="Piedepgina"/>
    </w:pPr>
    <w:r>
      <w:rPr>
        <w:noProof/>
      </w:rPr>
      <w:drawing>
        <wp:anchor distT="0" distB="0" distL="114300" distR="114300" simplePos="0" relativeHeight="251669504" behindDoc="1" locked="0" layoutInCell="1" allowOverlap="1" wp14:anchorId="66BB920B" wp14:editId="086AA10F">
          <wp:simplePos x="0" y="0"/>
          <wp:positionH relativeFrom="column">
            <wp:posOffset>1074717</wp:posOffset>
          </wp:positionH>
          <wp:positionV relativeFrom="paragraph">
            <wp:posOffset>-53439</wp:posOffset>
          </wp:positionV>
          <wp:extent cx="5612130" cy="353060"/>
          <wp:effectExtent l="0" t="0" r="1270" b="2540"/>
          <wp:wrapNone/>
          <wp:docPr id="3724243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424309" name="Imagen 372424309"/>
                  <pic:cNvPicPr/>
                </pic:nvPicPr>
                <pic:blipFill>
                  <a:blip r:embed="rId1">
                    <a:extLst>
                      <a:ext uri="{28A0092B-C50C-407E-A947-70E740481C1C}">
                        <a14:useLocalDpi xmlns:a14="http://schemas.microsoft.com/office/drawing/2010/main" val="0"/>
                      </a:ext>
                    </a:extLst>
                  </a:blip>
                  <a:stretch>
                    <a:fillRect/>
                  </a:stretch>
                </pic:blipFill>
                <pic:spPr>
                  <a:xfrm>
                    <a:off x="0" y="0"/>
                    <a:ext cx="5612130" cy="35306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47A8D" w14:textId="77777777" w:rsidR="00D35E4A" w:rsidRDefault="00D35E4A" w:rsidP="0011789A">
      <w:r>
        <w:separator/>
      </w:r>
    </w:p>
  </w:footnote>
  <w:footnote w:type="continuationSeparator" w:id="0">
    <w:p w14:paraId="224C5630" w14:textId="77777777" w:rsidR="00D35E4A" w:rsidRDefault="00D35E4A" w:rsidP="001178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46154" w14:textId="29CA9285" w:rsidR="0011789A" w:rsidRDefault="00D35E4A">
    <w:pPr>
      <w:pStyle w:val="Encabezado"/>
    </w:pPr>
    <w:r>
      <w:rPr>
        <w:noProof/>
      </w:rPr>
      <w:pict w14:anchorId="5B63AF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540648" o:spid="_x0000_s1026" type="#_x0000_t75" alt="" style="position:absolute;margin-left:0;margin-top:0;width:599.7pt;height:774.55pt;z-index:-251653120;mso-wrap-edited:f;mso-width-percent:0;mso-height-percent:0;mso-position-horizontal:center;mso-position-horizontal-relative:margin;mso-position-vertical:center;mso-position-vertical-relative:margin;mso-width-percent:0;mso-height-percent:0" o:allowincell="f">
          <v:imagedata r:id="rId1" o:title="Hoja Carta_Mesa de trabajo 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C424B" w14:textId="3C947D0B" w:rsidR="0011789A" w:rsidRDefault="00744C69">
    <w:pPr>
      <w:pStyle w:val="Encabezado"/>
    </w:pPr>
    <w:r>
      <w:rPr>
        <w:noProof/>
      </w:rPr>
      <w:drawing>
        <wp:anchor distT="0" distB="0" distL="114300" distR="114300" simplePos="0" relativeHeight="251668480" behindDoc="0" locked="0" layoutInCell="1" allowOverlap="1" wp14:anchorId="60E91913" wp14:editId="1DBE9415">
          <wp:simplePos x="0" y="0"/>
          <wp:positionH relativeFrom="column">
            <wp:posOffset>-1431925</wp:posOffset>
          </wp:positionH>
          <wp:positionV relativeFrom="paragraph">
            <wp:posOffset>-184785</wp:posOffset>
          </wp:positionV>
          <wp:extent cx="8475980" cy="922655"/>
          <wp:effectExtent l="0" t="0" r="0" b="4445"/>
          <wp:wrapSquare wrapText="bothSides"/>
          <wp:docPr id="9888982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898262" name="Imagen 988898262"/>
                  <pic:cNvPicPr/>
                </pic:nvPicPr>
                <pic:blipFill>
                  <a:blip r:embed="rId1">
                    <a:extLst>
                      <a:ext uri="{28A0092B-C50C-407E-A947-70E740481C1C}">
                        <a14:useLocalDpi xmlns:a14="http://schemas.microsoft.com/office/drawing/2010/main" val="0"/>
                      </a:ext>
                    </a:extLst>
                  </a:blip>
                  <a:stretch>
                    <a:fillRect/>
                  </a:stretch>
                </pic:blipFill>
                <pic:spPr>
                  <a:xfrm>
                    <a:off x="0" y="0"/>
                    <a:ext cx="8475980" cy="922655"/>
                  </a:xfrm>
                  <a:prstGeom prst="rect">
                    <a:avLst/>
                  </a:prstGeom>
                </pic:spPr>
              </pic:pic>
            </a:graphicData>
          </a:graphic>
          <wp14:sizeRelH relativeFrom="page">
            <wp14:pctWidth>0</wp14:pctWidth>
          </wp14:sizeRelH>
          <wp14:sizeRelV relativeFrom="page">
            <wp14:pctHeight>0</wp14:pctHeight>
          </wp14:sizeRelV>
        </wp:anchor>
      </w:drawing>
    </w:r>
    <w:r w:rsidR="006F7508">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F143F" w14:textId="535598EE" w:rsidR="0011789A" w:rsidRDefault="00D35E4A">
    <w:pPr>
      <w:pStyle w:val="Encabezado"/>
    </w:pPr>
    <w:r>
      <w:rPr>
        <w:noProof/>
      </w:rPr>
      <w:pict w14:anchorId="15D8CE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540647" o:spid="_x0000_s1025" type="#_x0000_t75" alt="" style="position:absolute;margin-left:0;margin-top:0;width:599.7pt;height:774.55pt;z-index:-251656192;mso-wrap-edited:f;mso-width-percent:0;mso-height-percent:0;mso-position-horizontal:center;mso-position-horizontal-relative:margin;mso-position-vertical:center;mso-position-vertical-relative:margin;mso-width-percent:0;mso-height-percent:0" o:allowincell="f">
          <v:imagedata r:id="rId1" o:title="Hoja Carta_Mesa de trabajo 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7F0568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C06930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A2A994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AA6709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23E0FC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82C670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329E26E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094106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69ED6C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5D4636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365BC"/>
    <w:multiLevelType w:val="multilevel"/>
    <w:tmpl w:val="63A89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1AEA82"/>
    <w:multiLevelType w:val="hybridMultilevel"/>
    <w:tmpl w:val="943085A4"/>
    <w:lvl w:ilvl="0" w:tplc="823817EE">
      <w:start w:val="1"/>
      <w:numFmt w:val="bullet"/>
      <w:lvlText w:val="-"/>
      <w:lvlJc w:val="left"/>
      <w:pPr>
        <w:ind w:left="720" w:hanging="360"/>
      </w:pPr>
      <w:rPr>
        <w:rFonts w:ascii="Calibri" w:hAnsi="Calibri" w:hint="default"/>
      </w:rPr>
    </w:lvl>
    <w:lvl w:ilvl="1" w:tplc="69E26CDA">
      <w:start w:val="1"/>
      <w:numFmt w:val="bullet"/>
      <w:lvlText w:val="o"/>
      <w:lvlJc w:val="left"/>
      <w:pPr>
        <w:ind w:left="1440" w:hanging="360"/>
      </w:pPr>
      <w:rPr>
        <w:rFonts w:ascii="Courier New" w:hAnsi="Courier New" w:hint="default"/>
      </w:rPr>
    </w:lvl>
    <w:lvl w:ilvl="2" w:tplc="625240A2">
      <w:start w:val="1"/>
      <w:numFmt w:val="bullet"/>
      <w:lvlText w:val=""/>
      <w:lvlJc w:val="left"/>
      <w:pPr>
        <w:ind w:left="2160" w:hanging="360"/>
      </w:pPr>
      <w:rPr>
        <w:rFonts w:ascii="Wingdings" w:hAnsi="Wingdings" w:hint="default"/>
      </w:rPr>
    </w:lvl>
    <w:lvl w:ilvl="3" w:tplc="18D40660">
      <w:start w:val="1"/>
      <w:numFmt w:val="bullet"/>
      <w:lvlText w:val=""/>
      <w:lvlJc w:val="left"/>
      <w:pPr>
        <w:ind w:left="2880" w:hanging="360"/>
      </w:pPr>
      <w:rPr>
        <w:rFonts w:ascii="Symbol" w:hAnsi="Symbol" w:hint="default"/>
      </w:rPr>
    </w:lvl>
    <w:lvl w:ilvl="4" w:tplc="E66C645C">
      <w:start w:val="1"/>
      <w:numFmt w:val="bullet"/>
      <w:lvlText w:val="o"/>
      <w:lvlJc w:val="left"/>
      <w:pPr>
        <w:ind w:left="3600" w:hanging="360"/>
      </w:pPr>
      <w:rPr>
        <w:rFonts w:ascii="Courier New" w:hAnsi="Courier New" w:hint="default"/>
      </w:rPr>
    </w:lvl>
    <w:lvl w:ilvl="5" w:tplc="A5287D3E">
      <w:start w:val="1"/>
      <w:numFmt w:val="bullet"/>
      <w:lvlText w:val=""/>
      <w:lvlJc w:val="left"/>
      <w:pPr>
        <w:ind w:left="4320" w:hanging="360"/>
      </w:pPr>
      <w:rPr>
        <w:rFonts w:ascii="Wingdings" w:hAnsi="Wingdings" w:hint="default"/>
      </w:rPr>
    </w:lvl>
    <w:lvl w:ilvl="6" w:tplc="46FC80AC">
      <w:start w:val="1"/>
      <w:numFmt w:val="bullet"/>
      <w:lvlText w:val=""/>
      <w:lvlJc w:val="left"/>
      <w:pPr>
        <w:ind w:left="5040" w:hanging="360"/>
      </w:pPr>
      <w:rPr>
        <w:rFonts w:ascii="Symbol" w:hAnsi="Symbol" w:hint="default"/>
      </w:rPr>
    </w:lvl>
    <w:lvl w:ilvl="7" w:tplc="AEE62FD6">
      <w:start w:val="1"/>
      <w:numFmt w:val="bullet"/>
      <w:lvlText w:val="o"/>
      <w:lvlJc w:val="left"/>
      <w:pPr>
        <w:ind w:left="5760" w:hanging="360"/>
      </w:pPr>
      <w:rPr>
        <w:rFonts w:ascii="Courier New" w:hAnsi="Courier New" w:hint="default"/>
      </w:rPr>
    </w:lvl>
    <w:lvl w:ilvl="8" w:tplc="8060760C">
      <w:start w:val="1"/>
      <w:numFmt w:val="bullet"/>
      <w:lvlText w:val=""/>
      <w:lvlJc w:val="left"/>
      <w:pPr>
        <w:ind w:left="6480" w:hanging="360"/>
      </w:pPr>
      <w:rPr>
        <w:rFonts w:ascii="Wingdings" w:hAnsi="Wingdings" w:hint="default"/>
      </w:rPr>
    </w:lvl>
  </w:abstractNum>
  <w:abstractNum w:abstractNumId="12" w15:restartNumberingAfterBreak="0">
    <w:nsid w:val="7E0F64EB"/>
    <w:multiLevelType w:val="multilevel"/>
    <w:tmpl w:val="9BB85D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7847474">
    <w:abstractNumId w:val="11"/>
  </w:num>
  <w:num w:numId="2" w16cid:durableId="14113938">
    <w:abstractNumId w:val="4"/>
  </w:num>
  <w:num w:numId="3" w16cid:durableId="640694412">
    <w:abstractNumId w:val="5"/>
  </w:num>
  <w:num w:numId="4" w16cid:durableId="1758363107">
    <w:abstractNumId w:val="6"/>
  </w:num>
  <w:num w:numId="5" w16cid:durableId="2088116396">
    <w:abstractNumId w:val="7"/>
  </w:num>
  <w:num w:numId="6" w16cid:durableId="1205361663">
    <w:abstractNumId w:val="9"/>
  </w:num>
  <w:num w:numId="7" w16cid:durableId="947540552">
    <w:abstractNumId w:val="0"/>
  </w:num>
  <w:num w:numId="8" w16cid:durableId="532158192">
    <w:abstractNumId w:val="1"/>
  </w:num>
  <w:num w:numId="9" w16cid:durableId="1275092218">
    <w:abstractNumId w:val="2"/>
  </w:num>
  <w:num w:numId="10" w16cid:durableId="430319021">
    <w:abstractNumId w:val="3"/>
  </w:num>
  <w:num w:numId="11" w16cid:durableId="1813713969">
    <w:abstractNumId w:val="8"/>
  </w:num>
  <w:num w:numId="12" w16cid:durableId="1322541133">
    <w:abstractNumId w:val="12"/>
  </w:num>
  <w:num w:numId="13" w16cid:durableId="75335437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4"/>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789A"/>
    <w:rsid w:val="00010889"/>
    <w:rsid w:val="0001669F"/>
    <w:rsid w:val="00034996"/>
    <w:rsid w:val="00060C3E"/>
    <w:rsid w:val="00091697"/>
    <w:rsid w:val="000E151E"/>
    <w:rsid w:val="000E394D"/>
    <w:rsid w:val="000F05CE"/>
    <w:rsid w:val="00105BA5"/>
    <w:rsid w:val="0010797A"/>
    <w:rsid w:val="0011789A"/>
    <w:rsid w:val="00143E3C"/>
    <w:rsid w:val="00154D8A"/>
    <w:rsid w:val="001F361A"/>
    <w:rsid w:val="00263AEF"/>
    <w:rsid w:val="00287ADC"/>
    <w:rsid w:val="002958A9"/>
    <w:rsid w:val="002A56AE"/>
    <w:rsid w:val="002D7CEC"/>
    <w:rsid w:val="00320131"/>
    <w:rsid w:val="00334F87"/>
    <w:rsid w:val="00336C77"/>
    <w:rsid w:val="00350C95"/>
    <w:rsid w:val="003600B0"/>
    <w:rsid w:val="003760E0"/>
    <w:rsid w:val="003C71D1"/>
    <w:rsid w:val="003D3A73"/>
    <w:rsid w:val="003F3F3C"/>
    <w:rsid w:val="00417CFD"/>
    <w:rsid w:val="00441A1B"/>
    <w:rsid w:val="00472A80"/>
    <w:rsid w:val="00483E0E"/>
    <w:rsid w:val="004D10B8"/>
    <w:rsid w:val="004E4224"/>
    <w:rsid w:val="0053716B"/>
    <w:rsid w:val="00577D33"/>
    <w:rsid w:val="005D7DDE"/>
    <w:rsid w:val="006063C9"/>
    <w:rsid w:val="006157E4"/>
    <w:rsid w:val="00662B67"/>
    <w:rsid w:val="00673DE2"/>
    <w:rsid w:val="00677ED0"/>
    <w:rsid w:val="00680578"/>
    <w:rsid w:val="006B032C"/>
    <w:rsid w:val="006D6928"/>
    <w:rsid w:val="006F4205"/>
    <w:rsid w:val="006F60A3"/>
    <w:rsid w:val="006F7508"/>
    <w:rsid w:val="0072501E"/>
    <w:rsid w:val="00744AF8"/>
    <w:rsid w:val="00744C69"/>
    <w:rsid w:val="00772F90"/>
    <w:rsid w:val="007855D5"/>
    <w:rsid w:val="0078632D"/>
    <w:rsid w:val="00795D18"/>
    <w:rsid w:val="007F6049"/>
    <w:rsid w:val="008066EF"/>
    <w:rsid w:val="00822EA0"/>
    <w:rsid w:val="00833514"/>
    <w:rsid w:val="0085724B"/>
    <w:rsid w:val="00881551"/>
    <w:rsid w:val="00882BCF"/>
    <w:rsid w:val="00893CE3"/>
    <w:rsid w:val="008B5E50"/>
    <w:rsid w:val="008E102A"/>
    <w:rsid w:val="009012C1"/>
    <w:rsid w:val="009554D6"/>
    <w:rsid w:val="0095704D"/>
    <w:rsid w:val="00987871"/>
    <w:rsid w:val="009B1EA3"/>
    <w:rsid w:val="009F0256"/>
    <w:rsid w:val="009F3F52"/>
    <w:rsid w:val="009F75A9"/>
    <w:rsid w:val="00A048C5"/>
    <w:rsid w:val="00A079C4"/>
    <w:rsid w:val="00A412B8"/>
    <w:rsid w:val="00A45F2C"/>
    <w:rsid w:val="00A57463"/>
    <w:rsid w:val="00AA67EE"/>
    <w:rsid w:val="00AC5C41"/>
    <w:rsid w:val="00AD3F83"/>
    <w:rsid w:val="00B00B51"/>
    <w:rsid w:val="00B14601"/>
    <w:rsid w:val="00B30221"/>
    <w:rsid w:val="00B3538C"/>
    <w:rsid w:val="00B7024A"/>
    <w:rsid w:val="00B93A0D"/>
    <w:rsid w:val="00B965A3"/>
    <w:rsid w:val="00BD3BEB"/>
    <w:rsid w:val="00BD3E6D"/>
    <w:rsid w:val="00BF0E34"/>
    <w:rsid w:val="00BF7CF8"/>
    <w:rsid w:val="00C30310"/>
    <w:rsid w:val="00C66F9D"/>
    <w:rsid w:val="00C97288"/>
    <w:rsid w:val="00CB6530"/>
    <w:rsid w:val="00D22487"/>
    <w:rsid w:val="00D35E4A"/>
    <w:rsid w:val="00D566D1"/>
    <w:rsid w:val="00D81BB7"/>
    <w:rsid w:val="00DA2BFB"/>
    <w:rsid w:val="00DB3863"/>
    <w:rsid w:val="00DC24CF"/>
    <w:rsid w:val="00DD1991"/>
    <w:rsid w:val="00DE54C2"/>
    <w:rsid w:val="00E14410"/>
    <w:rsid w:val="00E4039B"/>
    <w:rsid w:val="00E57F43"/>
    <w:rsid w:val="00E84547"/>
    <w:rsid w:val="00EA7CF0"/>
    <w:rsid w:val="00EC26B7"/>
    <w:rsid w:val="00F11328"/>
    <w:rsid w:val="00F456F2"/>
    <w:rsid w:val="00F872E2"/>
    <w:rsid w:val="00FB1059"/>
    <w:rsid w:val="00FF31D1"/>
    <w:rsid w:val="00FF3708"/>
    <w:rsid w:val="013F881E"/>
    <w:rsid w:val="0199E7C9"/>
    <w:rsid w:val="01F215EC"/>
    <w:rsid w:val="027DD99D"/>
    <w:rsid w:val="029DE9FA"/>
    <w:rsid w:val="02B49424"/>
    <w:rsid w:val="02CD6C3F"/>
    <w:rsid w:val="02EC391A"/>
    <w:rsid w:val="033AD161"/>
    <w:rsid w:val="036321A8"/>
    <w:rsid w:val="03834ECE"/>
    <w:rsid w:val="05429594"/>
    <w:rsid w:val="066D58EC"/>
    <w:rsid w:val="073E694E"/>
    <w:rsid w:val="074C1AEB"/>
    <w:rsid w:val="08E94517"/>
    <w:rsid w:val="095651D8"/>
    <w:rsid w:val="09CE9E85"/>
    <w:rsid w:val="09F311E3"/>
    <w:rsid w:val="09FAB912"/>
    <w:rsid w:val="0A05738C"/>
    <w:rsid w:val="0A1ADCE5"/>
    <w:rsid w:val="0A20956E"/>
    <w:rsid w:val="0ACCB381"/>
    <w:rsid w:val="0C5B2F3E"/>
    <w:rsid w:val="0C932276"/>
    <w:rsid w:val="0CB966BF"/>
    <w:rsid w:val="0CE6809A"/>
    <w:rsid w:val="0D532044"/>
    <w:rsid w:val="0D8A6327"/>
    <w:rsid w:val="0D9B9DFE"/>
    <w:rsid w:val="0D9F8ADB"/>
    <w:rsid w:val="0E0F1AAE"/>
    <w:rsid w:val="0E62FD8B"/>
    <w:rsid w:val="0F9CEA72"/>
    <w:rsid w:val="0FBF511B"/>
    <w:rsid w:val="10743D39"/>
    <w:rsid w:val="10C4D667"/>
    <w:rsid w:val="1138BAD3"/>
    <w:rsid w:val="11F80399"/>
    <w:rsid w:val="12D48B34"/>
    <w:rsid w:val="135BB438"/>
    <w:rsid w:val="13F6B6D3"/>
    <w:rsid w:val="144464CD"/>
    <w:rsid w:val="1457CBAB"/>
    <w:rsid w:val="14A627C9"/>
    <w:rsid w:val="14F5DA66"/>
    <w:rsid w:val="15E0352E"/>
    <w:rsid w:val="1629877D"/>
    <w:rsid w:val="164D2FB2"/>
    <w:rsid w:val="16A05C8D"/>
    <w:rsid w:val="16AD79F8"/>
    <w:rsid w:val="16EFB031"/>
    <w:rsid w:val="16F2DAA8"/>
    <w:rsid w:val="16F827CF"/>
    <w:rsid w:val="175191DE"/>
    <w:rsid w:val="177C058F"/>
    <w:rsid w:val="18457679"/>
    <w:rsid w:val="18BDFF2C"/>
    <w:rsid w:val="19BC40C4"/>
    <w:rsid w:val="19D03732"/>
    <w:rsid w:val="1BB06861"/>
    <w:rsid w:val="1C753FAB"/>
    <w:rsid w:val="1C8C7DE3"/>
    <w:rsid w:val="1CDF5126"/>
    <w:rsid w:val="1D2756E4"/>
    <w:rsid w:val="1D3FEB73"/>
    <w:rsid w:val="1DCBB142"/>
    <w:rsid w:val="1E34B24E"/>
    <w:rsid w:val="1E71FF4E"/>
    <w:rsid w:val="1EBEA56C"/>
    <w:rsid w:val="1F38C7F7"/>
    <w:rsid w:val="212AD55B"/>
    <w:rsid w:val="2179A89D"/>
    <w:rsid w:val="2233D635"/>
    <w:rsid w:val="22652511"/>
    <w:rsid w:val="232D3728"/>
    <w:rsid w:val="2331538C"/>
    <w:rsid w:val="2389455D"/>
    <w:rsid w:val="23E7EA39"/>
    <w:rsid w:val="24890C61"/>
    <w:rsid w:val="251141BA"/>
    <w:rsid w:val="264F6DF9"/>
    <w:rsid w:val="2663E8D6"/>
    <w:rsid w:val="266D0B0F"/>
    <w:rsid w:val="2708120E"/>
    <w:rsid w:val="2721394E"/>
    <w:rsid w:val="27445F3D"/>
    <w:rsid w:val="27B01F7C"/>
    <w:rsid w:val="290CFE7B"/>
    <w:rsid w:val="294819D3"/>
    <w:rsid w:val="2B9731DB"/>
    <w:rsid w:val="2CD13E5B"/>
    <w:rsid w:val="2D910A75"/>
    <w:rsid w:val="2D96FFB1"/>
    <w:rsid w:val="2DB10BF7"/>
    <w:rsid w:val="2EB3E9C3"/>
    <w:rsid w:val="2EBCA815"/>
    <w:rsid w:val="2F1323F3"/>
    <w:rsid w:val="2F241557"/>
    <w:rsid w:val="2FA84FEF"/>
    <w:rsid w:val="306CDE82"/>
    <w:rsid w:val="3098EBB7"/>
    <w:rsid w:val="30EE4B7D"/>
    <w:rsid w:val="3118EB1F"/>
    <w:rsid w:val="32CC1DAE"/>
    <w:rsid w:val="32D71C21"/>
    <w:rsid w:val="332AEC0B"/>
    <w:rsid w:val="34A8C3D9"/>
    <w:rsid w:val="364F42C4"/>
    <w:rsid w:val="36C1457C"/>
    <w:rsid w:val="36CF81DE"/>
    <w:rsid w:val="371EC45E"/>
    <w:rsid w:val="3996E65A"/>
    <w:rsid w:val="39EBA24D"/>
    <w:rsid w:val="3A18F69B"/>
    <w:rsid w:val="3AECA931"/>
    <w:rsid w:val="3B3451E5"/>
    <w:rsid w:val="3B5F8BAD"/>
    <w:rsid w:val="3B7CD7B6"/>
    <w:rsid w:val="3BDB9E5E"/>
    <w:rsid w:val="3C4C4FF9"/>
    <w:rsid w:val="3C887992"/>
    <w:rsid w:val="3CBF376A"/>
    <w:rsid w:val="3CCB233A"/>
    <w:rsid w:val="3D2D6058"/>
    <w:rsid w:val="3D301FC1"/>
    <w:rsid w:val="3D40D613"/>
    <w:rsid w:val="3DB7D1F0"/>
    <w:rsid w:val="3DFF95AC"/>
    <w:rsid w:val="3E12D759"/>
    <w:rsid w:val="3EC930B9"/>
    <w:rsid w:val="3F2801FB"/>
    <w:rsid w:val="3F4488AA"/>
    <w:rsid w:val="3F9B7E2F"/>
    <w:rsid w:val="3FA0125C"/>
    <w:rsid w:val="3FBC002A"/>
    <w:rsid w:val="40084E2F"/>
    <w:rsid w:val="4020FAE3"/>
    <w:rsid w:val="40FB897C"/>
    <w:rsid w:val="41006DD6"/>
    <w:rsid w:val="418AE3D9"/>
    <w:rsid w:val="419FA5B0"/>
    <w:rsid w:val="42137143"/>
    <w:rsid w:val="4261D914"/>
    <w:rsid w:val="42843599"/>
    <w:rsid w:val="43B9AB0D"/>
    <w:rsid w:val="43ECB462"/>
    <w:rsid w:val="44A7C6BA"/>
    <w:rsid w:val="44B39BD4"/>
    <w:rsid w:val="451B1B75"/>
    <w:rsid w:val="46AD9F6A"/>
    <w:rsid w:val="46DCF1E1"/>
    <w:rsid w:val="470DA168"/>
    <w:rsid w:val="471A0A34"/>
    <w:rsid w:val="47A2DF54"/>
    <w:rsid w:val="48A0F909"/>
    <w:rsid w:val="494DD43D"/>
    <w:rsid w:val="497967DE"/>
    <w:rsid w:val="4AEA1283"/>
    <w:rsid w:val="4B3F2845"/>
    <w:rsid w:val="4B58C8C9"/>
    <w:rsid w:val="4B810C3F"/>
    <w:rsid w:val="4CE2655B"/>
    <w:rsid w:val="4D329612"/>
    <w:rsid w:val="4DCB0096"/>
    <w:rsid w:val="4E0444A0"/>
    <w:rsid w:val="4E18C4E3"/>
    <w:rsid w:val="4F15F329"/>
    <w:rsid w:val="4F5BAD1E"/>
    <w:rsid w:val="4FF1B938"/>
    <w:rsid w:val="51A25D94"/>
    <w:rsid w:val="5248A50F"/>
    <w:rsid w:val="52BDFE0C"/>
    <w:rsid w:val="52BE8D66"/>
    <w:rsid w:val="531365E5"/>
    <w:rsid w:val="547410D3"/>
    <w:rsid w:val="547DA947"/>
    <w:rsid w:val="5494B355"/>
    <w:rsid w:val="54A4C50D"/>
    <w:rsid w:val="5509BFC6"/>
    <w:rsid w:val="551647AC"/>
    <w:rsid w:val="556C1F1A"/>
    <w:rsid w:val="55D42CBB"/>
    <w:rsid w:val="56A6291C"/>
    <w:rsid w:val="571FC80B"/>
    <w:rsid w:val="576106A4"/>
    <w:rsid w:val="577716C4"/>
    <w:rsid w:val="57B54634"/>
    <w:rsid w:val="57E3A2C0"/>
    <w:rsid w:val="582BC039"/>
    <w:rsid w:val="5862E18C"/>
    <w:rsid w:val="5868D01A"/>
    <w:rsid w:val="58BF5CCF"/>
    <w:rsid w:val="596AF220"/>
    <w:rsid w:val="59C9C7AF"/>
    <w:rsid w:val="5A5F90CA"/>
    <w:rsid w:val="5AC99F4B"/>
    <w:rsid w:val="5B0EA7B5"/>
    <w:rsid w:val="5B27A600"/>
    <w:rsid w:val="5B621D10"/>
    <w:rsid w:val="5B70562A"/>
    <w:rsid w:val="5C139BB8"/>
    <w:rsid w:val="5C7ED208"/>
    <w:rsid w:val="5C88B757"/>
    <w:rsid w:val="5D7B73D7"/>
    <w:rsid w:val="5E6552F2"/>
    <w:rsid w:val="5EF50300"/>
    <w:rsid w:val="6082A209"/>
    <w:rsid w:val="6165DA02"/>
    <w:rsid w:val="62602B6C"/>
    <w:rsid w:val="62B9BEC6"/>
    <w:rsid w:val="6386DE61"/>
    <w:rsid w:val="63C609EB"/>
    <w:rsid w:val="63E20A3B"/>
    <w:rsid w:val="63FAC736"/>
    <w:rsid w:val="644E0FAF"/>
    <w:rsid w:val="64D61474"/>
    <w:rsid w:val="6522AEC2"/>
    <w:rsid w:val="660C2654"/>
    <w:rsid w:val="664AF9DE"/>
    <w:rsid w:val="66B0D980"/>
    <w:rsid w:val="67798D15"/>
    <w:rsid w:val="6788776E"/>
    <w:rsid w:val="67DCDBA8"/>
    <w:rsid w:val="682DAB05"/>
    <w:rsid w:val="6856E836"/>
    <w:rsid w:val="6925A25D"/>
    <w:rsid w:val="69827810"/>
    <w:rsid w:val="69C5D156"/>
    <w:rsid w:val="69CB30C2"/>
    <w:rsid w:val="6A37B5A7"/>
    <w:rsid w:val="6A647D36"/>
    <w:rsid w:val="6A951D22"/>
    <w:rsid w:val="6B3DEA15"/>
    <w:rsid w:val="6B49E470"/>
    <w:rsid w:val="6B4B991A"/>
    <w:rsid w:val="6BD38608"/>
    <w:rsid w:val="6C378473"/>
    <w:rsid w:val="6C92D080"/>
    <w:rsid w:val="6CE7697B"/>
    <w:rsid w:val="6CF4C41B"/>
    <w:rsid w:val="6DA3A1B6"/>
    <w:rsid w:val="6DCF84E1"/>
    <w:rsid w:val="6E51A470"/>
    <w:rsid w:val="6E8339DC"/>
    <w:rsid w:val="6EEBBC10"/>
    <w:rsid w:val="6F11C3B3"/>
    <w:rsid w:val="6FAF128A"/>
    <w:rsid w:val="6FD067C9"/>
    <w:rsid w:val="701E04B6"/>
    <w:rsid w:val="70406FBF"/>
    <w:rsid w:val="71647AEF"/>
    <w:rsid w:val="71DA2BF3"/>
    <w:rsid w:val="721A2D21"/>
    <w:rsid w:val="7239D568"/>
    <w:rsid w:val="72B71937"/>
    <w:rsid w:val="72BC878C"/>
    <w:rsid w:val="72C2247A"/>
    <w:rsid w:val="73AF9668"/>
    <w:rsid w:val="73D3F981"/>
    <w:rsid w:val="7460768F"/>
    <w:rsid w:val="747890C1"/>
    <w:rsid w:val="74BD8055"/>
    <w:rsid w:val="758E8E39"/>
    <w:rsid w:val="75F168D3"/>
    <w:rsid w:val="770CC786"/>
    <w:rsid w:val="770E4B29"/>
    <w:rsid w:val="780563A5"/>
    <w:rsid w:val="78A923C4"/>
    <w:rsid w:val="790167B8"/>
    <w:rsid w:val="79CED36E"/>
    <w:rsid w:val="79EA0FE5"/>
    <w:rsid w:val="7A19BEAA"/>
    <w:rsid w:val="7A45EBEB"/>
    <w:rsid w:val="7A89680E"/>
    <w:rsid w:val="7AD04722"/>
    <w:rsid w:val="7B39C83A"/>
    <w:rsid w:val="7CF4FDB2"/>
    <w:rsid w:val="7E7D8CDE"/>
    <w:rsid w:val="7E9267DC"/>
    <w:rsid w:val="7E963DE6"/>
    <w:rsid w:val="7EFAD403"/>
    <w:rsid w:val="7F37E886"/>
    <w:rsid w:val="7F5992B7"/>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A4F915"/>
  <w15:chartTrackingRefBased/>
  <w15:docId w15:val="{8607E0A1-66BD-7642-A3AC-1E6780ACE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72F90"/>
    <w:rPr>
      <w:rFonts w:eastAsiaTheme="minorEastAsia"/>
      <w:color w:val="404040" w:themeColor="text1" w:themeTint="BF"/>
      <w:sz w:val="22"/>
      <w:lang w:val="es-ES"/>
    </w:rPr>
  </w:style>
  <w:style w:type="paragraph" w:styleId="Ttulo1">
    <w:name w:val="heading 1"/>
    <w:basedOn w:val="Normal"/>
    <w:next w:val="Normal"/>
    <w:link w:val="Ttulo1Car"/>
    <w:uiPriority w:val="9"/>
    <w:qFormat/>
    <w:rsid w:val="008B5E50"/>
    <w:pPr>
      <w:keepNext/>
      <w:keepLines/>
      <w:spacing w:before="240"/>
      <w:outlineLvl w:val="0"/>
    </w:pPr>
    <w:rPr>
      <w:rFonts w:eastAsiaTheme="majorEastAsia" w:cstheme="majorBidi"/>
      <w:b/>
      <w:color w:val="10174A"/>
      <w:sz w:val="32"/>
      <w:szCs w:val="32"/>
    </w:rPr>
  </w:style>
  <w:style w:type="paragraph" w:styleId="Ttulo2">
    <w:name w:val="heading 2"/>
    <w:basedOn w:val="Normal"/>
    <w:link w:val="Ttulo2Car"/>
    <w:uiPriority w:val="9"/>
    <w:rsid w:val="001F361A"/>
    <w:pPr>
      <w:spacing w:before="100" w:beforeAutospacing="1" w:after="100" w:afterAutospacing="1"/>
      <w:outlineLvl w:val="1"/>
    </w:pPr>
    <w:rPr>
      <w:rFonts w:ascii="Times New Roman" w:eastAsia="Times New Roman" w:hAnsi="Times New Roman" w:cs="Times New Roman"/>
      <w:b/>
      <w:bCs/>
      <w:sz w:val="36"/>
      <w:szCs w:val="36"/>
      <w:lang w:eastAsia="es-ES_tradnl"/>
    </w:rPr>
  </w:style>
  <w:style w:type="paragraph" w:styleId="Ttulo3">
    <w:name w:val="heading 3"/>
    <w:basedOn w:val="Normal"/>
    <w:next w:val="Normal"/>
    <w:link w:val="Ttulo3Car"/>
    <w:uiPriority w:val="9"/>
    <w:semiHidden/>
    <w:unhideWhenUsed/>
    <w:rsid w:val="00AD3F83"/>
    <w:pPr>
      <w:keepNext/>
      <w:keepLines/>
      <w:spacing w:before="4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AD3F83"/>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1789A"/>
    <w:pPr>
      <w:tabs>
        <w:tab w:val="center" w:pos="4419"/>
        <w:tab w:val="right" w:pos="8838"/>
      </w:tabs>
    </w:pPr>
  </w:style>
  <w:style w:type="character" w:customStyle="1" w:styleId="EncabezadoCar">
    <w:name w:val="Encabezado Car"/>
    <w:basedOn w:val="Fuentedeprrafopredeter"/>
    <w:link w:val="Encabezado"/>
    <w:uiPriority w:val="99"/>
    <w:rsid w:val="0011789A"/>
    <w:rPr>
      <w:rFonts w:eastAsiaTheme="minorEastAsia"/>
    </w:rPr>
  </w:style>
  <w:style w:type="paragraph" w:styleId="Piedepgina">
    <w:name w:val="footer"/>
    <w:basedOn w:val="Normal"/>
    <w:link w:val="PiedepginaCar"/>
    <w:uiPriority w:val="99"/>
    <w:unhideWhenUsed/>
    <w:rsid w:val="0011789A"/>
    <w:pPr>
      <w:tabs>
        <w:tab w:val="center" w:pos="4419"/>
        <w:tab w:val="right" w:pos="8838"/>
      </w:tabs>
    </w:pPr>
  </w:style>
  <w:style w:type="character" w:customStyle="1" w:styleId="PiedepginaCar">
    <w:name w:val="Pie de página Car"/>
    <w:basedOn w:val="Fuentedeprrafopredeter"/>
    <w:link w:val="Piedepgina"/>
    <w:uiPriority w:val="99"/>
    <w:rsid w:val="0011789A"/>
    <w:rPr>
      <w:rFonts w:eastAsiaTheme="minorEastAsia"/>
    </w:rPr>
  </w:style>
  <w:style w:type="character" w:customStyle="1" w:styleId="Ttulo2Car">
    <w:name w:val="Título 2 Car"/>
    <w:basedOn w:val="Fuentedeprrafopredeter"/>
    <w:link w:val="Ttulo2"/>
    <w:uiPriority w:val="9"/>
    <w:rsid w:val="001F361A"/>
    <w:rPr>
      <w:rFonts w:ascii="Times New Roman" w:eastAsia="Times New Roman" w:hAnsi="Times New Roman" w:cs="Times New Roman"/>
      <w:b/>
      <w:bCs/>
      <w:sz w:val="36"/>
      <w:szCs w:val="36"/>
      <w:lang w:eastAsia="es-ES_tradnl"/>
    </w:rPr>
  </w:style>
  <w:style w:type="paragraph" w:styleId="NormalWeb">
    <w:name w:val="Normal (Web)"/>
    <w:basedOn w:val="Normal"/>
    <w:uiPriority w:val="99"/>
    <w:semiHidden/>
    <w:unhideWhenUsed/>
    <w:rsid w:val="001F361A"/>
    <w:pPr>
      <w:spacing w:before="100" w:beforeAutospacing="1" w:after="100" w:afterAutospacing="1"/>
    </w:pPr>
    <w:rPr>
      <w:rFonts w:ascii="Times New Roman" w:eastAsia="Times New Roman" w:hAnsi="Times New Roman" w:cs="Times New Roman"/>
      <w:lang w:eastAsia="es-ES_tradnl"/>
    </w:rPr>
  </w:style>
  <w:style w:type="paragraph" w:customStyle="1" w:styleId="Subttulo1">
    <w:name w:val="Subtítulo 1"/>
    <w:basedOn w:val="Normal"/>
    <w:qFormat/>
    <w:rsid w:val="00DA2BFB"/>
    <w:rPr>
      <w:b/>
      <w:color w:val="10174A"/>
      <w:sz w:val="28"/>
    </w:rPr>
  </w:style>
  <w:style w:type="character" w:styleId="Textoennegrita">
    <w:name w:val="Strong"/>
    <w:basedOn w:val="Fuentedeprrafopredeter"/>
    <w:uiPriority w:val="22"/>
    <w:qFormat/>
    <w:rsid w:val="00DD1991"/>
    <w:rPr>
      <w:rFonts w:asciiTheme="minorHAnsi" w:hAnsiTheme="minorHAnsi"/>
      <w:b/>
      <w:bCs/>
      <w:color w:val="171717" w:themeColor="background2" w:themeShade="1A"/>
      <w:sz w:val="22"/>
    </w:rPr>
  </w:style>
  <w:style w:type="character" w:customStyle="1" w:styleId="Ttulo1Car">
    <w:name w:val="Título 1 Car"/>
    <w:basedOn w:val="Fuentedeprrafopredeter"/>
    <w:link w:val="Ttulo1"/>
    <w:uiPriority w:val="9"/>
    <w:rsid w:val="008B5E50"/>
    <w:rPr>
      <w:rFonts w:eastAsiaTheme="majorEastAsia" w:cstheme="majorBidi"/>
      <w:b/>
      <w:color w:val="10174A"/>
      <w:sz w:val="32"/>
      <w:szCs w:val="32"/>
    </w:rPr>
  </w:style>
  <w:style w:type="character" w:customStyle="1" w:styleId="Ttulo3Car">
    <w:name w:val="Título 3 Car"/>
    <w:basedOn w:val="Fuentedeprrafopredeter"/>
    <w:link w:val="Ttulo3"/>
    <w:uiPriority w:val="9"/>
    <w:semiHidden/>
    <w:rsid w:val="00AD3F83"/>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link w:val="Ttulo4"/>
    <w:uiPriority w:val="9"/>
    <w:semiHidden/>
    <w:rsid w:val="00AD3F83"/>
    <w:rPr>
      <w:rFonts w:asciiTheme="majorHAnsi" w:eastAsiaTheme="majorEastAsia" w:hAnsiTheme="majorHAnsi" w:cstheme="majorBidi"/>
      <w:i/>
      <w:iCs/>
      <w:color w:val="2F5496" w:themeColor="accent1" w:themeShade="BF"/>
    </w:rPr>
  </w:style>
  <w:style w:type="paragraph" w:styleId="Cita">
    <w:name w:val="Quote"/>
    <w:basedOn w:val="Normal"/>
    <w:next w:val="Normal"/>
    <w:link w:val="CitaCar"/>
    <w:uiPriority w:val="29"/>
    <w:qFormat/>
    <w:rsid w:val="008B5E50"/>
    <w:pPr>
      <w:spacing w:before="200" w:after="200" w:line="276" w:lineRule="auto"/>
      <w:ind w:left="864" w:right="864"/>
      <w:jc w:val="center"/>
    </w:pPr>
    <w:rPr>
      <w:rFonts w:eastAsiaTheme="minorHAnsi"/>
      <w:i/>
      <w:iCs/>
      <w:color w:val="002060"/>
      <w:szCs w:val="22"/>
    </w:rPr>
  </w:style>
  <w:style w:type="character" w:customStyle="1" w:styleId="CitaCar">
    <w:name w:val="Cita Car"/>
    <w:basedOn w:val="Fuentedeprrafopredeter"/>
    <w:link w:val="Cita"/>
    <w:uiPriority w:val="29"/>
    <w:rsid w:val="008B5E50"/>
    <w:rPr>
      <w:i/>
      <w:iCs/>
      <w:color w:val="002060"/>
      <w:sz w:val="22"/>
      <w:szCs w:val="22"/>
    </w:rPr>
  </w:style>
  <w:style w:type="character" w:styleId="nfasisintenso">
    <w:name w:val="Intense Emphasis"/>
    <w:aliases w:val="Cuerpo texto"/>
    <w:basedOn w:val="Fuentedeprrafopredeter"/>
    <w:uiPriority w:val="21"/>
    <w:qFormat/>
    <w:rsid w:val="00DD1991"/>
    <w:rPr>
      <w:rFonts w:asciiTheme="minorHAnsi" w:hAnsiTheme="minorHAnsi"/>
      <w:b w:val="0"/>
      <w:i w:val="0"/>
      <w:iCs/>
      <w:color w:val="171717" w:themeColor="background2" w:themeShade="1A"/>
    </w:rPr>
  </w:style>
  <w:style w:type="paragraph" w:customStyle="1" w:styleId="Subttulo3">
    <w:name w:val="Subtítulo 3"/>
    <w:basedOn w:val="Normal"/>
    <w:qFormat/>
    <w:rsid w:val="00AA67EE"/>
    <w:rPr>
      <w:b/>
      <w:color w:val="1ECECA"/>
      <w:sz w:val="28"/>
    </w:rPr>
  </w:style>
  <w:style w:type="paragraph" w:styleId="Citadestacada">
    <w:name w:val="Intense Quote"/>
    <w:basedOn w:val="Normal"/>
    <w:next w:val="Normal"/>
    <w:link w:val="CitadestacadaCar"/>
    <w:uiPriority w:val="30"/>
    <w:qFormat/>
    <w:rsid w:val="00AA67EE"/>
    <w:pPr>
      <w:pBdr>
        <w:top w:val="single" w:sz="4" w:space="10" w:color="E60280"/>
        <w:bottom w:val="single" w:sz="4" w:space="10" w:color="E60280"/>
      </w:pBdr>
      <w:spacing w:before="360" w:after="360"/>
      <w:ind w:left="864" w:right="864"/>
      <w:jc w:val="center"/>
    </w:pPr>
    <w:rPr>
      <w:i/>
      <w:iCs/>
      <w:color w:val="10174A"/>
    </w:rPr>
  </w:style>
  <w:style w:type="paragraph" w:styleId="Sinespaciado">
    <w:name w:val="No Spacing"/>
    <w:uiPriority w:val="1"/>
    <w:rsid w:val="00AD3F83"/>
    <w:rPr>
      <w:rFonts w:eastAsiaTheme="minorEastAsia"/>
    </w:rPr>
  </w:style>
  <w:style w:type="character" w:styleId="nfasissutil">
    <w:name w:val="Subtle Emphasis"/>
    <w:basedOn w:val="Fuentedeprrafopredeter"/>
    <w:uiPriority w:val="19"/>
    <w:rsid w:val="00AD3F83"/>
    <w:rPr>
      <w:i/>
      <w:iCs/>
      <w:color w:val="404040" w:themeColor="text1" w:themeTint="BF"/>
    </w:rPr>
  </w:style>
  <w:style w:type="paragraph" w:customStyle="1" w:styleId="Estilo1">
    <w:name w:val="Estilo1"/>
    <w:basedOn w:val="Normal"/>
    <w:rsid w:val="00772F90"/>
    <w:rPr>
      <w:lang w:val="en-US"/>
    </w:rPr>
  </w:style>
  <w:style w:type="paragraph" w:customStyle="1" w:styleId="Subttulo2">
    <w:name w:val="Subtítulo 2"/>
    <w:basedOn w:val="Normal"/>
    <w:qFormat/>
    <w:rsid w:val="00AA67EE"/>
    <w:rPr>
      <w:b/>
      <w:color w:val="E60280"/>
      <w:sz w:val="28"/>
      <w:lang w:val="en-US"/>
    </w:rPr>
  </w:style>
  <w:style w:type="character" w:customStyle="1" w:styleId="CitadestacadaCar">
    <w:name w:val="Cita destacada Car"/>
    <w:basedOn w:val="Fuentedeprrafopredeter"/>
    <w:link w:val="Citadestacada"/>
    <w:uiPriority w:val="30"/>
    <w:rsid w:val="00AA67EE"/>
    <w:rPr>
      <w:rFonts w:eastAsiaTheme="minorEastAsia"/>
      <w:i/>
      <w:iCs/>
      <w:color w:val="10174A"/>
      <w:sz w:val="22"/>
    </w:rPr>
  </w:style>
  <w:style w:type="table" w:styleId="Tablaconcuadrcula">
    <w:name w:val="Table Grid"/>
    <w:basedOn w:val="Tablanormal"/>
    <w:uiPriority w:val="39"/>
    <w:rsid w:val="000E151E"/>
    <w:rPr>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aconvietas">
    <w:name w:val="List Bullet"/>
    <w:basedOn w:val="Normal"/>
    <w:uiPriority w:val="99"/>
    <w:unhideWhenUsed/>
    <w:rsid w:val="000E151E"/>
    <w:pPr>
      <w:tabs>
        <w:tab w:val="num" w:pos="360"/>
      </w:tabs>
      <w:ind w:left="360" w:hanging="360"/>
      <w:contextualSpacing/>
    </w:pPr>
  </w:style>
  <w:style w:type="character" w:styleId="Hipervnculo">
    <w:name w:val="Hyperlink"/>
    <w:basedOn w:val="Fuentedeprrafopredeter"/>
    <w:uiPriority w:val="99"/>
    <w:unhideWhenUsed/>
    <w:rsid w:val="00336C77"/>
    <w:rPr>
      <w:color w:val="0563C1" w:themeColor="hyperlink"/>
      <w:u w:val="single"/>
    </w:rPr>
  </w:style>
  <w:style w:type="character" w:customStyle="1" w:styleId="gaoya">
    <w:name w:val="gaoya"/>
    <w:basedOn w:val="Fuentedeprrafopredeter"/>
    <w:rsid w:val="00B7024A"/>
  </w:style>
  <w:style w:type="character" w:customStyle="1" w:styleId="normaltextrun">
    <w:name w:val="normaltextrun"/>
    <w:basedOn w:val="Fuentedeprrafopredeter"/>
    <w:rsid w:val="0085724B"/>
  </w:style>
  <w:style w:type="character" w:customStyle="1" w:styleId="eop">
    <w:name w:val="eop"/>
    <w:basedOn w:val="Fuentedeprrafopredeter"/>
    <w:rsid w:val="0085724B"/>
  </w:style>
  <w:style w:type="character" w:styleId="Mencinsinresolver">
    <w:name w:val="Unresolved Mention"/>
    <w:basedOn w:val="Fuentedeprrafopredeter"/>
    <w:uiPriority w:val="99"/>
    <w:semiHidden/>
    <w:unhideWhenUsed/>
    <w:rsid w:val="0085724B"/>
    <w:rPr>
      <w:color w:val="605E5C"/>
      <w:shd w:val="clear" w:color="auto" w:fill="E1DFDD"/>
    </w:rPr>
  </w:style>
  <w:style w:type="paragraph" w:customStyle="1" w:styleId="paragraph">
    <w:name w:val="paragraph"/>
    <w:basedOn w:val="Normal"/>
    <w:rsid w:val="00D81BB7"/>
    <w:pPr>
      <w:spacing w:before="100" w:beforeAutospacing="1" w:after="100" w:afterAutospacing="1"/>
    </w:pPr>
    <w:rPr>
      <w:rFonts w:ascii="Times New Roman" w:eastAsia="Times New Roman" w:hAnsi="Times New Roman" w:cs="Times New Roman"/>
      <w:color w:val="auto"/>
      <w:sz w:val="24"/>
      <w:lang w:val="es-CL" w:eastAsia="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2518068">
      <w:bodyDiv w:val="1"/>
      <w:marLeft w:val="0"/>
      <w:marRight w:val="0"/>
      <w:marTop w:val="0"/>
      <w:marBottom w:val="0"/>
      <w:divBdr>
        <w:top w:val="none" w:sz="0" w:space="0" w:color="auto"/>
        <w:left w:val="none" w:sz="0" w:space="0" w:color="auto"/>
        <w:bottom w:val="none" w:sz="0" w:space="0" w:color="auto"/>
        <w:right w:val="none" w:sz="0" w:space="0" w:color="auto"/>
      </w:divBdr>
    </w:div>
    <w:div w:id="1051688542">
      <w:bodyDiv w:val="1"/>
      <w:marLeft w:val="0"/>
      <w:marRight w:val="0"/>
      <w:marTop w:val="0"/>
      <w:marBottom w:val="0"/>
      <w:divBdr>
        <w:top w:val="none" w:sz="0" w:space="0" w:color="auto"/>
        <w:left w:val="none" w:sz="0" w:space="0" w:color="auto"/>
        <w:bottom w:val="none" w:sz="0" w:space="0" w:color="auto"/>
        <w:right w:val="none" w:sz="0" w:space="0" w:color="auto"/>
      </w:divBdr>
    </w:div>
    <w:div w:id="1120222316">
      <w:bodyDiv w:val="1"/>
      <w:marLeft w:val="0"/>
      <w:marRight w:val="0"/>
      <w:marTop w:val="0"/>
      <w:marBottom w:val="0"/>
      <w:divBdr>
        <w:top w:val="none" w:sz="0" w:space="0" w:color="auto"/>
        <w:left w:val="none" w:sz="0" w:space="0" w:color="auto"/>
        <w:bottom w:val="none" w:sz="0" w:space="0" w:color="auto"/>
        <w:right w:val="none" w:sz="0" w:space="0" w:color="auto"/>
      </w:divBdr>
    </w:div>
    <w:div w:id="1257523023">
      <w:bodyDiv w:val="1"/>
      <w:marLeft w:val="0"/>
      <w:marRight w:val="0"/>
      <w:marTop w:val="0"/>
      <w:marBottom w:val="0"/>
      <w:divBdr>
        <w:top w:val="none" w:sz="0" w:space="0" w:color="auto"/>
        <w:left w:val="none" w:sz="0" w:space="0" w:color="auto"/>
        <w:bottom w:val="none" w:sz="0" w:space="0" w:color="auto"/>
        <w:right w:val="none" w:sz="0" w:space="0" w:color="auto"/>
      </w:divBdr>
      <w:divsChild>
        <w:div w:id="50925301">
          <w:marLeft w:val="0"/>
          <w:marRight w:val="0"/>
          <w:marTop w:val="0"/>
          <w:marBottom w:val="0"/>
          <w:divBdr>
            <w:top w:val="none" w:sz="0" w:space="0" w:color="auto"/>
            <w:left w:val="none" w:sz="0" w:space="0" w:color="auto"/>
            <w:bottom w:val="none" w:sz="0" w:space="0" w:color="auto"/>
            <w:right w:val="none" w:sz="0" w:space="0" w:color="auto"/>
          </w:divBdr>
        </w:div>
        <w:div w:id="1391078460">
          <w:marLeft w:val="0"/>
          <w:marRight w:val="0"/>
          <w:marTop w:val="0"/>
          <w:marBottom w:val="0"/>
          <w:divBdr>
            <w:top w:val="none" w:sz="0" w:space="0" w:color="auto"/>
            <w:left w:val="none" w:sz="0" w:space="0" w:color="auto"/>
            <w:bottom w:val="none" w:sz="0" w:space="0" w:color="auto"/>
            <w:right w:val="none" w:sz="0" w:space="0" w:color="auto"/>
          </w:divBdr>
        </w:div>
        <w:div w:id="174075521">
          <w:marLeft w:val="0"/>
          <w:marRight w:val="0"/>
          <w:marTop w:val="0"/>
          <w:marBottom w:val="0"/>
          <w:divBdr>
            <w:top w:val="none" w:sz="0" w:space="0" w:color="auto"/>
            <w:left w:val="none" w:sz="0" w:space="0" w:color="auto"/>
            <w:bottom w:val="none" w:sz="0" w:space="0" w:color="auto"/>
            <w:right w:val="none" w:sz="0" w:space="0" w:color="auto"/>
          </w:divBdr>
        </w:div>
        <w:div w:id="378941647">
          <w:marLeft w:val="0"/>
          <w:marRight w:val="0"/>
          <w:marTop w:val="0"/>
          <w:marBottom w:val="0"/>
          <w:divBdr>
            <w:top w:val="none" w:sz="0" w:space="0" w:color="auto"/>
            <w:left w:val="none" w:sz="0" w:space="0" w:color="auto"/>
            <w:bottom w:val="none" w:sz="0" w:space="0" w:color="auto"/>
            <w:right w:val="none" w:sz="0" w:space="0" w:color="auto"/>
          </w:divBdr>
        </w:div>
        <w:div w:id="338123250">
          <w:marLeft w:val="0"/>
          <w:marRight w:val="0"/>
          <w:marTop w:val="0"/>
          <w:marBottom w:val="0"/>
          <w:divBdr>
            <w:top w:val="none" w:sz="0" w:space="0" w:color="auto"/>
            <w:left w:val="none" w:sz="0" w:space="0" w:color="auto"/>
            <w:bottom w:val="none" w:sz="0" w:space="0" w:color="auto"/>
            <w:right w:val="none" w:sz="0" w:space="0" w:color="auto"/>
          </w:divBdr>
        </w:div>
        <w:div w:id="1213615005">
          <w:marLeft w:val="0"/>
          <w:marRight w:val="0"/>
          <w:marTop w:val="0"/>
          <w:marBottom w:val="0"/>
          <w:divBdr>
            <w:top w:val="none" w:sz="0" w:space="0" w:color="auto"/>
            <w:left w:val="none" w:sz="0" w:space="0" w:color="auto"/>
            <w:bottom w:val="none" w:sz="0" w:space="0" w:color="auto"/>
            <w:right w:val="none" w:sz="0" w:space="0" w:color="auto"/>
          </w:divBdr>
        </w:div>
        <w:div w:id="1865745277">
          <w:marLeft w:val="0"/>
          <w:marRight w:val="0"/>
          <w:marTop w:val="0"/>
          <w:marBottom w:val="0"/>
          <w:divBdr>
            <w:top w:val="none" w:sz="0" w:space="0" w:color="auto"/>
            <w:left w:val="none" w:sz="0" w:space="0" w:color="auto"/>
            <w:bottom w:val="none" w:sz="0" w:space="0" w:color="auto"/>
            <w:right w:val="none" w:sz="0" w:space="0" w:color="auto"/>
          </w:divBdr>
        </w:div>
        <w:div w:id="1683162554">
          <w:marLeft w:val="0"/>
          <w:marRight w:val="0"/>
          <w:marTop w:val="0"/>
          <w:marBottom w:val="0"/>
          <w:divBdr>
            <w:top w:val="none" w:sz="0" w:space="0" w:color="auto"/>
            <w:left w:val="none" w:sz="0" w:space="0" w:color="auto"/>
            <w:bottom w:val="none" w:sz="0" w:space="0" w:color="auto"/>
            <w:right w:val="none" w:sz="0" w:space="0" w:color="auto"/>
          </w:divBdr>
        </w:div>
      </w:divsChild>
    </w:div>
    <w:div w:id="1656881754">
      <w:bodyDiv w:val="1"/>
      <w:marLeft w:val="0"/>
      <w:marRight w:val="0"/>
      <w:marTop w:val="0"/>
      <w:marBottom w:val="0"/>
      <w:divBdr>
        <w:top w:val="none" w:sz="0" w:space="0" w:color="auto"/>
        <w:left w:val="none" w:sz="0" w:space="0" w:color="auto"/>
        <w:bottom w:val="none" w:sz="0" w:space="0" w:color="auto"/>
        <w:right w:val="none" w:sz="0" w:space="0" w:color="auto"/>
      </w:divBdr>
      <w:divsChild>
        <w:div w:id="701830218">
          <w:marLeft w:val="0"/>
          <w:marRight w:val="0"/>
          <w:marTop w:val="0"/>
          <w:marBottom w:val="0"/>
          <w:divBdr>
            <w:top w:val="none" w:sz="0" w:space="0" w:color="auto"/>
            <w:left w:val="none" w:sz="0" w:space="0" w:color="auto"/>
            <w:bottom w:val="none" w:sz="0" w:space="0" w:color="auto"/>
            <w:right w:val="none" w:sz="0" w:space="0" w:color="auto"/>
          </w:divBdr>
        </w:div>
        <w:div w:id="1519463301">
          <w:marLeft w:val="0"/>
          <w:marRight w:val="0"/>
          <w:marTop w:val="0"/>
          <w:marBottom w:val="0"/>
          <w:divBdr>
            <w:top w:val="none" w:sz="0" w:space="0" w:color="auto"/>
            <w:left w:val="none" w:sz="0" w:space="0" w:color="auto"/>
            <w:bottom w:val="none" w:sz="0" w:space="0" w:color="auto"/>
            <w:right w:val="none" w:sz="0" w:space="0" w:color="auto"/>
          </w:divBdr>
        </w:div>
        <w:div w:id="645478204">
          <w:marLeft w:val="0"/>
          <w:marRight w:val="0"/>
          <w:marTop w:val="0"/>
          <w:marBottom w:val="0"/>
          <w:divBdr>
            <w:top w:val="none" w:sz="0" w:space="0" w:color="auto"/>
            <w:left w:val="none" w:sz="0" w:space="0" w:color="auto"/>
            <w:bottom w:val="none" w:sz="0" w:space="0" w:color="auto"/>
            <w:right w:val="none" w:sz="0" w:space="0" w:color="auto"/>
          </w:divBdr>
        </w:div>
        <w:div w:id="401097328">
          <w:marLeft w:val="0"/>
          <w:marRight w:val="0"/>
          <w:marTop w:val="0"/>
          <w:marBottom w:val="0"/>
          <w:divBdr>
            <w:top w:val="none" w:sz="0" w:space="0" w:color="auto"/>
            <w:left w:val="none" w:sz="0" w:space="0" w:color="auto"/>
            <w:bottom w:val="none" w:sz="0" w:space="0" w:color="auto"/>
            <w:right w:val="none" w:sz="0" w:space="0" w:color="auto"/>
          </w:divBdr>
        </w:div>
        <w:div w:id="1613825328">
          <w:marLeft w:val="0"/>
          <w:marRight w:val="0"/>
          <w:marTop w:val="0"/>
          <w:marBottom w:val="0"/>
          <w:divBdr>
            <w:top w:val="none" w:sz="0" w:space="0" w:color="auto"/>
            <w:left w:val="none" w:sz="0" w:space="0" w:color="auto"/>
            <w:bottom w:val="none" w:sz="0" w:space="0" w:color="auto"/>
            <w:right w:val="none" w:sz="0" w:space="0" w:color="auto"/>
          </w:divBdr>
        </w:div>
        <w:div w:id="43067546">
          <w:marLeft w:val="0"/>
          <w:marRight w:val="0"/>
          <w:marTop w:val="0"/>
          <w:marBottom w:val="0"/>
          <w:divBdr>
            <w:top w:val="none" w:sz="0" w:space="0" w:color="auto"/>
            <w:left w:val="none" w:sz="0" w:space="0" w:color="auto"/>
            <w:bottom w:val="none" w:sz="0" w:space="0" w:color="auto"/>
            <w:right w:val="none" w:sz="0" w:space="0" w:color="auto"/>
          </w:divBdr>
        </w:div>
        <w:div w:id="715738714">
          <w:marLeft w:val="0"/>
          <w:marRight w:val="0"/>
          <w:marTop w:val="0"/>
          <w:marBottom w:val="0"/>
          <w:divBdr>
            <w:top w:val="none" w:sz="0" w:space="0" w:color="auto"/>
            <w:left w:val="none" w:sz="0" w:space="0" w:color="auto"/>
            <w:bottom w:val="none" w:sz="0" w:space="0" w:color="auto"/>
            <w:right w:val="none" w:sz="0" w:space="0" w:color="auto"/>
          </w:divBdr>
        </w:div>
        <w:div w:id="282466999">
          <w:marLeft w:val="0"/>
          <w:marRight w:val="0"/>
          <w:marTop w:val="0"/>
          <w:marBottom w:val="0"/>
          <w:divBdr>
            <w:top w:val="none" w:sz="0" w:space="0" w:color="auto"/>
            <w:left w:val="none" w:sz="0" w:space="0" w:color="auto"/>
            <w:bottom w:val="none" w:sz="0" w:space="0" w:color="auto"/>
            <w:right w:val="none" w:sz="0" w:space="0" w:color="auto"/>
          </w:divBdr>
          <w:divsChild>
            <w:div w:id="1615594530">
              <w:marLeft w:val="0"/>
              <w:marRight w:val="0"/>
              <w:marTop w:val="0"/>
              <w:marBottom w:val="0"/>
              <w:divBdr>
                <w:top w:val="none" w:sz="0" w:space="0" w:color="auto"/>
                <w:left w:val="none" w:sz="0" w:space="0" w:color="auto"/>
                <w:bottom w:val="none" w:sz="0" w:space="0" w:color="auto"/>
                <w:right w:val="none" w:sz="0" w:space="0" w:color="auto"/>
              </w:divBdr>
              <w:divsChild>
                <w:div w:id="110218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5054">
          <w:marLeft w:val="0"/>
          <w:marRight w:val="0"/>
          <w:marTop w:val="0"/>
          <w:marBottom w:val="0"/>
          <w:divBdr>
            <w:top w:val="none" w:sz="0" w:space="0" w:color="auto"/>
            <w:left w:val="none" w:sz="0" w:space="0" w:color="auto"/>
            <w:bottom w:val="none" w:sz="0" w:space="0" w:color="auto"/>
            <w:right w:val="none" w:sz="0" w:space="0" w:color="auto"/>
          </w:divBdr>
        </w:div>
        <w:div w:id="86541217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ad8d8cf-ba14-4b8b-98c1-a636495e3c7b">
      <Terms xmlns="http://schemas.microsoft.com/office/infopath/2007/PartnerControls"/>
    </lcf76f155ced4ddcb4097134ff3c332f>
    <TaxCatchAll xmlns="6d91cc72-f9f7-4a1e-93de-9fdb5e7ff8b7"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36372E609FF2F74DA7873BC68C601F77" ma:contentTypeVersion="11" ma:contentTypeDescription="Crear nuevo documento." ma:contentTypeScope="" ma:versionID="e201a1dd5b6d764ca7e161b8677a0bb9">
  <xsd:schema xmlns:xsd="http://www.w3.org/2001/XMLSchema" xmlns:xs="http://www.w3.org/2001/XMLSchema" xmlns:p="http://schemas.microsoft.com/office/2006/metadata/properties" xmlns:ns2="3ad8d8cf-ba14-4b8b-98c1-a636495e3c7b" xmlns:ns3="6d91cc72-f9f7-4a1e-93de-9fdb5e7ff8b7" targetNamespace="http://schemas.microsoft.com/office/2006/metadata/properties" ma:root="true" ma:fieldsID="4dd0c37d3c4adacdf8a67f28f7ccbc23" ns2:_="" ns3:_="">
    <xsd:import namespace="3ad8d8cf-ba14-4b8b-98c1-a636495e3c7b"/>
    <xsd:import namespace="6d91cc72-f9f7-4a1e-93de-9fdb5e7ff8b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ad8d8cf-ba14-4b8b-98c1-a636495e3c7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b90a2e2f-12a6-4a38-be20-5d08159bfcc9"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d91cc72-f9f7-4a1e-93de-9fdb5e7ff8b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ba5b28d-842b-44f4-9bd6-6411a76ac6e6}" ma:internalName="TaxCatchAll" ma:showField="CatchAllData" ma:web="6d91cc72-f9f7-4a1e-93de-9fdb5e7ff8b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8B9BC6D-AFD0-416A-85A1-1EDAE76687E4}">
  <ds:schemaRefs>
    <ds:schemaRef ds:uri="http://schemas.microsoft.com/office/2006/metadata/properties"/>
    <ds:schemaRef ds:uri="http://schemas.microsoft.com/office/infopath/2007/PartnerControls"/>
    <ds:schemaRef ds:uri="3ad8d8cf-ba14-4b8b-98c1-a636495e3c7b"/>
    <ds:schemaRef ds:uri="6d91cc72-f9f7-4a1e-93de-9fdb5e7ff8b7"/>
  </ds:schemaRefs>
</ds:datastoreItem>
</file>

<file path=customXml/itemProps2.xml><?xml version="1.0" encoding="utf-8"?>
<ds:datastoreItem xmlns:ds="http://schemas.openxmlformats.org/officeDocument/2006/customXml" ds:itemID="{620B0F81-E2B7-4A45-AEDF-3372448849CE}">
  <ds:schemaRefs>
    <ds:schemaRef ds:uri="http://schemas.openxmlformats.org/officeDocument/2006/bibliography"/>
  </ds:schemaRefs>
</ds:datastoreItem>
</file>

<file path=customXml/itemProps3.xml><?xml version="1.0" encoding="utf-8"?>
<ds:datastoreItem xmlns:ds="http://schemas.openxmlformats.org/officeDocument/2006/customXml" ds:itemID="{AB7BC98B-7441-415E-B5A3-143AA9DD64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ad8d8cf-ba14-4b8b-98c1-a636495e3c7b"/>
    <ds:schemaRef ds:uri="6d91cc72-f9f7-4a1e-93de-9fdb5e7ff8b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9FD6E34-9232-4518-B6E4-FFEE3FBE78D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263</Words>
  <Characters>1452</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Marcelo Ivan Menares Huenchuman</cp:lastModifiedBy>
  <cp:revision>2</cp:revision>
  <cp:lastPrinted>2025-01-14T19:01:00Z</cp:lastPrinted>
  <dcterms:created xsi:type="dcterms:W3CDTF">2025-08-25T14:24:00Z</dcterms:created>
  <dcterms:modified xsi:type="dcterms:W3CDTF">2025-08-25T14:24:00Z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0x01010036372E609FF2F74DA7873BC68C601F77</vt:lpwstr>
  </property>
  <property fmtid="{D5CDD505-2E9C-101B-9397-08002B2CF9AE}" pid="3" name="MediaServiceImageTags">
    <vt:lpwstr/>
  </property>
  <property fmtid="{D5CDD505-2E9C-101B-9397-08002B2CF9AE}" pid="4" name="MSIP_Label_20409c19-2fb4-420c-8d70-ad7f63403864_Enabled">
    <vt:lpwstr>true</vt:lpwstr>
  </property>
  <property fmtid="{D5CDD505-2E9C-101B-9397-08002B2CF9AE}" pid="5" name="MSIP_Label_20409c19-2fb4-420c-8d70-ad7f63403864_SetDate">
    <vt:lpwstr>2025-01-10T18:35:35Z</vt:lpwstr>
  </property>
  <property fmtid="{D5CDD505-2E9C-101B-9397-08002B2CF9AE}" pid="6" name="MSIP_Label_20409c19-2fb4-420c-8d70-ad7f63403864_Method">
    <vt:lpwstr>Standard</vt:lpwstr>
  </property>
  <property fmtid="{D5CDD505-2E9C-101B-9397-08002B2CF9AE}" pid="7" name="MSIP_Label_20409c19-2fb4-420c-8d70-ad7f63403864_Name">
    <vt:lpwstr>defa4170-0d19-0005-0004-bc88714345d2</vt:lpwstr>
  </property>
  <property fmtid="{D5CDD505-2E9C-101B-9397-08002B2CF9AE}" pid="8" name="MSIP_Label_20409c19-2fb4-420c-8d70-ad7f63403864_SiteId">
    <vt:lpwstr>7254b8cd-2f8a-46df-bbb5-9bd7df4153ba</vt:lpwstr>
  </property>
  <property fmtid="{D5CDD505-2E9C-101B-9397-08002B2CF9AE}" pid="9" name="MSIP_Label_20409c19-2fb4-420c-8d70-ad7f63403864_ActionId">
    <vt:lpwstr>5b1644f9-9e66-46fa-adba-5dd0cef7e757</vt:lpwstr>
  </property>
  <property fmtid="{D5CDD505-2E9C-101B-9397-08002B2CF9AE}" pid="10" name="MSIP_Label_20409c19-2fb4-420c-8d70-ad7f63403864_ContentBits">
    <vt:lpwstr>0</vt:lpwstr>
  </property>
  <property fmtid="{D5CDD505-2E9C-101B-9397-08002B2CF9AE}" pid="11" name="MSIP_Label_20409c19-2fb4-420c-8d70-ad7f63403864_Tag">
    <vt:lpwstr>10, 3, 0, 2</vt:lpwstr>
  </property>
</Properties>
</file>