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Airline Cargo Operations Performance Analysis</w:t>
      </w:r>
    </w:p>
    <w:p>
      <w:pPr>
        <w:pStyle w:val="Heading1"/>
      </w:pPr>
      <w:r>
        <w:t>Executive Summary</w:t>
      </w:r>
    </w:p>
    <w:p>
      <w:r>
        <w:t>This project analyzes cargo load factor, utilization, revenue and offloading using 5000 operational records.</w:t>
      </w:r>
    </w:p>
    <w:p>
      <w:pPr>
        <w:pStyle w:val="Heading1"/>
      </w:pPr>
      <w:r>
        <w:t>KPIs</w:t>
      </w:r>
    </w:p>
    <w:p>
      <w:r>
        <w:t>Load Factor, Utilization, Offload %, Revenue per KG</w:t>
      </w:r>
    </w:p>
    <w:p>
      <w:pPr>
        <w:pStyle w:val="Heading1"/>
      </w:pPr>
      <w:r>
        <w:t>Business Recommendations</w:t>
      </w:r>
    </w:p>
    <w:p>
      <w:r>
        <w:t>Optimize aircraft allocation, reduce delays, improve booking forecasts.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