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Agent Authority Profile</w:t>
      </w:r>
    </w:p>
    <w:p>
      <w:pPr>
        <w:pStyle w:val="Subtitle"/>
      </w:pPr>
      <w:r>
        <w:rPr>
          <w:b w:val="0"/>
        </w:rPr>
        <w:t>Working worksheet &amp; readiness review</w:t>
      </w:r>
    </w:p>
    <w:p>
      <w:pPr>
        <w:spacing w:after="80"/>
      </w:pPr>
      <w:r>
        <w:rPr>
          <w:b w:val="0"/>
          <w:color w:val="566775"/>
          <w:sz w:val="18"/>
        </w:rPr>
        <w:t>Independent reference  |  Companion to Workflow &amp; Definition</w:t>
      </w:r>
    </w:p>
    <w:p>
      <w:r>
        <w:rPr>
          <w:b w:val="0"/>
        </w:rPr>
        <w:t>Complete one copy for a bounded agent workflow. Product owns intent; engineering binds it to enforceable controls. Record the accountable program, aggregate grouping and orchestration boundary as well as per-action authority. Type in the shaded cells and add rows where needed. “N/A” needs a reason. Unknown answers remain open—not implicit permission. Completing this form alone establishes no runtime guarantee.</w:t>
      </w:r>
    </w:p>
    <w:p>
      <w:pPr>
        <w:pStyle w:val="Heading1"/>
      </w:pPr>
      <w:r>
        <w:rPr>
          <w:b w:val="0"/>
        </w:rPr>
        <w:t>A. Product decisions</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4522"/>
        <w:gridCol w:w="5904"/>
      </w:tblGrid>
      <w:tr>
        <w:trPr>
          <w:tblHeader/>
        </w:trPr>
        <w:tc>
          <w:tcPr>
            <w:tcW w:type="dxa" w:w="4522"/>
            <w:shd w:fill="18374B"/>
          </w:tcPr>
          <w:p>
            <w:pPr>
              <w:spacing w:after="0" w:line="245" w:lineRule="auto"/>
            </w:pPr>
            <w:r>
              <w:rPr>
                <w:b/>
                <w:color w:val="FFFFFF"/>
                <w:sz w:val="20"/>
              </w:rPr>
              <w:t>Identify the workflow</w:t>
            </w:r>
          </w:p>
        </w:tc>
        <w:tc>
          <w:tcPr>
            <w:tcW w:type="dxa" w:w="5904"/>
            <w:shd w:fill="18374B"/>
          </w:tcPr>
          <w:p>
            <w:pPr>
              <w:spacing w:after="0" w:line="245" w:lineRule="auto"/>
            </w:pPr>
            <w:r>
              <w:rPr>
                <w:b/>
                <w:color w:val="FFFFFF"/>
                <w:sz w:val="20"/>
              </w:rPr>
              <w:t>Your answer</w:t>
            </w:r>
          </w:p>
        </w:tc>
      </w:tr>
      <w:tr>
        <w:trPr>
          <w:trHeight w:val="504" w:hRule="atLeast"/>
          <w:cantSplit/>
        </w:trPr>
        <w:tc>
          <w:tcPr>
            <w:tcW w:type="dxa" w:w="4522"/>
            <w:vAlign w:val="top"/>
          </w:tcPr>
          <w:p>
            <w:pPr>
              <w:spacing w:after="0" w:line="247" w:lineRule="auto"/>
            </w:pPr>
            <w:r>
              <w:rPr>
                <w:b w:val="0"/>
                <w:color w:val="18374B"/>
                <w:sz w:val="20"/>
              </w:rPr>
              <w:t>Agent / workflow, accountable program and release version</w:t>
            </w:r>
          </w:p>
        </w:tc>
        <w:tc>
          <w:tcPr>
            <w:tcW w:type="dxa" w:w="5904"/>
            <w:vAlign w:val="top"/>
            <w:shd w:fill="F3F7F9"/>
          </w:tcPr>
          <w:p>
            <w:pPr>
              <w:spacing w:after="0" w:line="247" w:lineRule="auto"/>
            </w:pPr>
          </w:p>
        </w:tc>
      </w:tr>
      <w:tr>
        <w:trPr>
          <w:trHeight w:val="504" w:hRule="atLeast"/>
          <w:cantSplit/>
        </w:trPr>
        <w:tc>
          <w:tcPr>
            <w:tcW w:type="dxa" w:w="4522"/>
            <w:vAlign w:val="top"/>
            <w:shd w:fill="FAFCFD"/>
          </w:tcPr>
          <w:p>
            <w:pPr>
              <w:spacing w:after="0" w:line="247" w:lineRule="auto"/>
            </w:pPr>
            <w:r>
              <w:rPr>
                <w:b w:val="0"/>
                <w:color w:val="18374B"/>
                <w:sz w:val="20"/>
              </w:rPr>
              <w:t>Named product owner and intended outcome</w:t>
            </w:r>
          </w:p>
        </w:tc>
        <w:tc>
          <w:tcPr>
            <w:tcW w:type="dxa" w:w="5904"/>
            <w:vAlign w:val="top"/>
            <w:shd w:fill="F3F7F9"/>
          </w:tcPr>
          <w:p>
            <w:pPr>
              <w:spacing w:after="0" w:line="247" w:lineRule="auto"/>
            </w:pPr>
          </w:p>
        </w:tc>
      </w:tr>
      <w:tr>
        <w:trPr>
          <w:trHeight w:val="504" w:hRule="atLeast"/>
          <w:cantSplit/>
        </w:trPr>
        <w:tc>
          <w:tcPr>
            <w:tcW w:type="dxa" w:w="4522"/>
            <w:vAlign w:val="top"/>
          </w:tcPr>
          <w:p>
            <w:pPr>
              <w:spacing w:after="0" w:line="247" w:lineRule="auto"/>
            </w:pPr>
            <w:r>
              <w:rPr>
                <w:b w:val="0"/>
                <w:color w:val="18374B"/>
                <w:sz w:val="20"/>
              </w:rPr>
              <w:t>Environment, users and tenant / site boundary</w:t>
            </w:r>
          </w:p>
        </w:tc>
        <w:tc>
          <w:tcPr>
            <w:tcW w:type="dxa" w:w="5904"/>
            <w:vAlign w:val="top"/>
            <w:shd w:fill="F3F7F9"/>
          </w:tcPr>
          <w:p>
            <w:pPr>
              <w:spacing w:after="0" w:line="247" w:lineRule="auto"/>
            </w:pPr>
          </w:p>
        </w:tc>
      </w:tr>
    </w:tbl>
    <w:p>
      <w:pPr>
        <w:spacing w:after="0" w:before="0" w:line="40" w:lineRule="exact"/>
      </w:pPr>
      <w:r>
        <w:rPr>
          <w:sz w:val="4"/>
        </w:rPr>
      </w:r>
    </w:p>
    <w:p>
      <w:pPr>
        <w:pStyle w:val="Heading1"/>
      </w:pPr>
      <w:r>
        <w:rPr>
          <w:b w:val="0"/>
        </w:rPr>
        <w:t>Allowed operations and approval</w:t>
      </w:r>
    </w:p>
    <w:p>
      <w:pPr>
        <w:spacing w:after="80"/>
      </w:pPr>
      <w:r>
        <w:rPr>
          <w:b w:val="0"/>
          <w:color w:val="566775"/>
          <w:sz w:val="18"/>
        </w:rPr>
        <w:t>Name the actual effect target, not just the subject. Example: draft email → vendor address on file; not “invoice.” Use explicit limits and say when approval is required.</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2117"/>
        <w:gridCol w:w="4637"/>
        <w:gridCol w:w="3672"/>
      </w:tblGrid>
      <w:tr>
        <w:trPr>
          <w:tblHeader/>
        </w:trPr>
        <w:tc>
          <w:tcPr>
            <w:tcW w:type="dxa" w:w="2117"/>
            <w:shd w:fill="18374B"/>
          </w:tcPr>
          <w:p>
            <w:pPr>
              <w:spacing w:after="0" w:line="245" w:lineRule="auto"/>
            </w:pPr>
            <w:r>
              <w:rPr>
                <w:b/>
                <w:color w:val="FFFFFF"/>
                <w:sz w:val="20"/>
              </w:rPr>
              <w:t>Operation</w:t>
            </w:r>
          </w:p>
        </w:tc>
        <w:tc>
          <w:tcPr>
            <w:tcW w:type="dxa" w:w="4637"/>
            <w:shd w:fill="18374B"/>
          </w:tcPr>
          <w:p>
            <w:pPr>
              <w:spacing w:after="0" w:line="245" w:lineRule="auto"/>
            </w:pPr>
            <w:r>
              <w:rPr>
                <w:b/>
                <w:color w:val="FFFFFF"/>
                <w:sz w:val="20"/>
              </w:rPr>
              <w:t>Allowed target + parameter / impact limits</w:t>
            </w:r>
          </w:p>
        </w:tc>
        <w:tc>
          <w:tcPr>
            <w:tcW w:type="dxa" w:w="3672"/>
            <w:shd w:fill="18374B"/>
          </w:tcPr>
          <w:p>
            <w:pPr>
              <w:spacing w:after="0" w:line="245" w:lineRule="auto"/>
            </w:pPr>
            <w:r>
              <w:rPr>
                <w:b/>
                <w:color w:val="FFFFFF"/>
                <w:sz w:val="20"/>
              </w:rPr>
              <w:t>May run without approval? / who approves?</w:t>
            </w:r>
          </w:p>
        </w:tc>
      </w:tr>
      <w:tr>
        <w:trPr>
          <w:trHeight w:val="792" w:hRule="atLeast"/>
          <w:cantSplit/>
        </w:trPr>
        <w:tc>
          <w:tcPr>
            <w:tcW w:type="dxa" w:w="2117"/>
            <w:vAlign w:val="top"/>
            <w:shd w:fill="F3F7F9"/>
          </w:tcPr>
          <w:p>
            <w:pPr>
              <w:spacing w:after="0" w:line="247" w:lineRule="auto"/>
            </w:pPr>
            <w:r>
              <w:rPr>
                <w:b w:val="0"/>
                <w:color w:val="566775"/>
                <w:sz w:val="20"/>
              </w:rPr>
              <w:t>1.</w:t>
            </w:r>
          </w:p>
        </w:tc>
        <w:tc>
          <w:tcPr>
            <w:tcW w:type="dxa" w:w="4637"/>
            <w:vAlign w:val="top"/>
            <w:shd w:fill="F3F7F9"/>
          </w:tcPr>
          <w:p>
            <w:pPr>
              <w:spacing w:after="0" w:line="247" w:lineRule="auto"/>
            </w:pPr>
          </w:p>
        </w:tc>
        <w:tc>
          <w:tcPr>
            <w:tcW w:type="dxa" w:w="3672"/>
            <w:vAlign w:val="top"/>
            <w:shd w:fill="F3F7F9"/>
          </w:tcPr>
          <w:p>
            <w:pPr>
              <w:spacing w:after="0" w:line="247" w:lineRule="auto"/>
            </w:pPr>
          </w:p>
        </w:tc>
      </w:tr>
      <w:tr>
        <w:trPr>
          <w:trHeight w:val="792" w:hRule="atLeast"/>
          <w:cantSplit/>
        </w:trPr>
        <w:tc>
          <w:tcPr>
            <w:tcW w:type="dxa" w:w="2117"/>
            <w:vAlign w:val="top"/>
            <w:shd w:fill="F3F7F9"/>
          </w:tcPr>
          <w:p>
            <w:pPr>
              <w:spacing w:after="0" w:line="247" w:lineRule="auto"/>
            </w:pPr>
            <w:r>
              <w:rPr>
                <w:b w:val="0"/>
                <w:color w:val="566775"/>
                <w:sz w:val="20"/>
              </w:rPr>
              <w:t>2.</w:t>
            </w:r>
          </w:p>
        </w:tc>
        <w:tc>
          <w:tcPr>
            <w:tcW w:type="dxa" w:w="4637"/>
            <w:vAlign w:val="top"/>
            <w:shd w:fill="F3F7F9"/>
          </w:tcPr>
          <w:p>
            <w:pPr>
              <w:spacing w:after="0" w:line="247" w:lineRule="auto"/>
            </w:pPr>
          </w:p>
        </w:tc>
        <w:tc>
          <w:tcPr>
            <w:tcW w:type="dxa" w:w="3672"/>
            <w:vAlign w:val="top"/>
            <w:shd w:fill="F3F7F9"/>
          </w:tcPr>
          <w:p>
            <w:pPr>
              <w:spacing w:after="0" w:line="247" w:lineRule="auto"/>
            </w:pPr>
          </w:p>
        </w:tc>
      </w:tr>
      <w:tr>
        <w:trPr>
          <w:trHeight w:val="792" w:hRule="atLeast"/>
          <w:cantSplit/>
        </w:trPr>
        <w:tc>
          <w:tcPr>
            <w:tcW w:type="dxa" w:w="2117"/>
            <w:vAlign w:val="top"/>
            <w:shd w:fill="F3F7F9"/>
          </w:tcPr>
          <w:p>
            <w:pPr>
              <w:spacing w:after="0" w:line="247" w:lineRule="auto"/>
            </w:pPr>
            <w:r>
              <w:rPr>
                <w:b w:val="0"/>
                <w:color w:val="566775"/>
                <w:sz w:val="20"/>
              </w:rPr>
              <w:t>3.</w:t>
            </w:r>
          </w:p>
        </w:tc>
        <w:tc>
          <w:tcPr>
            <w:tcW w:type="dxa" w:w="4637"/>
            <w:vAlign w:val="top"/>
            <w:shd w:fill="F3F7F9"/>
          </w:tcPr>
          <w:p>
            <w:pPr>
              <w:spacing w:after="0" w:line="247" w:lineRule="auto"/>
            </w:pPr>
          </w:p>
        </w:tc>
        <w:tc>
          <w:tcPr>
            <w:tcW w:type="dxa" w:w="3672"/>
            <w:vAlign w:val="top"/>
            <w:shd w:fill="F3F7F9"/>
          </w:tcPr>
          <w:p>
            <w:pPr>
              <w:spacing w:after="0" w:line="247" w:lineRule="auto"/>
            </w:pPr>
          </w:p>
        </w:tc>
      </w:tr>
    </w:tbl>
    <w:p>
      <w:pPr>
        <w:spacing w:after="0" w:before="0" w:line="40" w:lineRule="exact"/>
      </w:pPr>
      <w:r>
        <w:rPr>
          <w:sz w:val="4"/>
        </w:rPr>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4522"/>
        <w:gridCol w:w="5904"/>
      </w:tblGrid>
      <w:tr>
        <w:trPr>
          <w:tblHeader/>
        </w:trPr>
        <w:tc>
          <w:tcPr>
            <w:tcW w:type="dxa" w:w="4522"/>
            <w:shd w:fill="18374B"/>
          </w:tcPr>
          <w:p>
            <w:pPr>
              <w:spacing w:after="0" w:line="245" w:lineRule="auto"/>
            </w:pPr>
            <w:r>
              <w:rPr>
                <w:b/>
                <w:color w:val="FFFFFF"/>
                <w:sz w:val="20"/>
              </w:rPr>
              <w:t>Decision to make</w:t>
            </w:r>
          </w:p>
        </w:tc>
        <w:tc>
          <w:tcPr>
            <w:tcW w:type="dxa" w:w="5904"/>
            <w:shd w:fill="18374B"/>
          </w:tcPr>
          <w:p>
            <w:pPr>
              <w:spacing w:after="0" w:line="245" w:lineRule="auto"/>
            </w:pPr>
            <w:r>
              <w:rPr>
                <w:b/>
                <w:color w:val="FFFFFF"/>
                <w:sz w:val="20"/>
              </w:rPr>
              <w:t>Your answer</w:t>
            </w:r>
          </w:p>
        </w:tc>
      </w:tr>
      <w:tr>
        <w:trPr>
          <w:trHeight w:val="864" w:hRule="atLeast"/>
          <w:cantSplit/>
        </w:trPr>
        <w:tc>
          <w:tcPr>
            <w:tcW w:type="dxa" w:w="4522"/>
            <w:vAlign w:val="top"/>
          </w:tcPr>
          <w:p>
            <w:pPr>
              <w:spacing w:after="0" w:line="247" w:lineRule="auto"/>
            </w:pPr>
            <w:r>
              <w:rPr>
                <w:b/>
                <w:color w:val="18374B"/>
                <w:sz w:val="20"/>
              </w:rPr>
              <w:t>Read scope and untrusted inputs</w:t>
            </w:r>
            <w:r>
              <w:rPr>
                <w:b w:val="0"/>
                <w:color w:val="18374B"/>
                <w:sz w:val="20"/>
              </w:rPr>
              <w:br/>
              <w:t>Systems, record selectors and inputs that may contain instructions.</w:t>
            </w:r>
          </w:p>
        </w:tc>
        <w:tc>
          <w:tcPr>
            <w:tcW w:type="dxa" w:w="5904"/>
            <w:vAlign w:val="top"/>
            <w:shd w:fill="F3F7F9"/>
          </w:tcPr>
          <w:p>
            <w:pPr>
              <w:spacing w:after="0" w:line="247" w:lineRule="auto"/>
            </w:pPr>
          </w:p>
        </w:tc>
      </w:tr>
      <w:tr>
        <w:trPr>
          <w:trHeight w:val="864" w:hRule="atLeast"/>
          <w:cantSplit/>
        </w:trPr>
        <w:tc>
          <w:tcPr>
            <w:tcW w:type="dxa" w:w="4522"/>
            <w:vAlign w:val="top"/>
            <w:shd w:fill="FAFCFD"/>
          </w:tcPr>
          <w:p>
            <w:pPr>
              <w:spacing w:after="0" w:line="247" w:lineRule="auto"/>
            </w:pPr>
            <w:r>
              <w:rPr>
                <w:b/>
                <w:color w:val="18374B"/>
                <w:sz w:val="20"/>
              </w:rPr>
              <w:t>Never-list</w:t>
            </w:r>
            <w:r>
              <w:rPr>
                <w:b w:val="0"/>
                <w:color w:val="18374B"/>
                <w:sz w:val="20"/>
              </w:rPr>
              <w:br/>
              <w:t>Prohibited effects, even through a permitted tool; no self-approval.</w:t>
            </w:r>
          </w:p>
        </w:tc>
        <w:tc>
          <w:tcPr>
            <w:tcW w:type="dxa" w:w="5904"/>
            <w:vAlign w:val="top"/>
            <w:shd w:fill="F3F7F9"/>
          </w:tcPr>
          <w:p>
            <w:pPr>
              <w:spacing w:after="0" w:line="247" w:lineRule="auto"/>
            </w:pPr>
          </w:p>
        </w:tc>
      </w:tr>
      <w:tr>
        <w:trPr>
          <w:trHeight w:val="864" w:hRule="atLeast"/>
          <w:cantSplit/>
        </w:trPr>
        <w:tc>
          <w:tcPr>
            <w:tcW w:type="dxa" w:w="4522"/>
            <w:vAlign w:val="top"/>
          </w:tcPr>
          <w:p>
            <w:pPr>
              <w:spacing w:after="0" w:line="247" w:lineRule="auto"/>
            </w:pPr>
            <w:r>
              <w:rPr>
                <w:b/>
                <w:color w:val="18374B"/>
                <w:sz w:val="20"/>
              </w:rPr>
              <w:t>Consequence and cumulative exposure</w:t>
              <w:br/>
            </w:r>
            <w:r>
              <w:rPr>
                <w:b w:val="0"/>
                <w:color w:val="18374B"/>
                <w:sz w:val="20"/>
              </w:rPr>
              <w:t>Worst credible effect per action and across time windows; grouping keys, concurrency, distinct targets, object count, egress limits and any allowed irreversible step.</w:t>
            </w:r>
          </w:p>
        </w:tc>
        <w:tc>
          <w:tcPr>
            <w:tcW w:type="dxa" w:w="5904"/>
            <w:vAlign w:val="top"/>
            <w:shd w:fill="F3F7F9"/>
          </w:tcPr>
          <w:p>
            <w:pPr>
              <w:spacing w:after="0" w:line="247" w:lineRule="auto"/>
            </w:pPr>
          </w:p>
        </w:tc>
      </w:tr>
      <w:tr>
        <w:trPr>
          <w:trHeight w:val="864" w:hRule="atLeast"/>
          <w:cantSplit/>
        </w:trPr>
        <w:tc>
          <w:tcPr>
            <w:tcW w:type="dxa" w:w="4522"/>
            <w:vAlign w:val="top"/>
            <w:shd w:fill="FAFCFD"/>
          </w:tcPr>
          <w:p>
            <w:pPr>
              <w:spacing w:after="0" w:line="247" w:lineRule="auto"/>
            </w:pPr>
            <w:r>
              <w:rPr>
                <w:b/>
                <w:color w:val="18374B"/>
                <w:sz w:val="20"/>
              </w:rPr>
              <w:t>Review, purpose and data boundary</w:t>
              <w:br/>
            </w:r>
            <w:r>
              <w:rPr>
                <w:b w:val="0"/>
                <w:color w:val="18374B"/>
                <w:sz w:val="20"/>
              </w:rPr>
              <w:t>Accountable organization and declared use; what the Card must show; any dual approval; review expiry; inference location, egress and sensitive data.</w:t>
            </w:r>
          </w:p>
        </w:tc>
        <w:tc>
          <w:tcPr>
            <w:tcW w:type="dxa" w:w="5904"/>
            <w:vAlign w:val="top"/>
            <w:shd w:fill="F3F7F9"/>
          </w:tcPr>
          <w:p>
            <w:pPr>
              <w:spacing w:after="0" w:line="247" w:lineRule="auto"/>
            </w:pPr>
          </w:p>
        </w:tc>
      </w:tr>
    </w:tbl>
    <w:p>
      <w:pPr>
        <w:spacing w:after="0" w:before="0" w:line="40" w:lineRule="exact"/>
      </w:pPr>
      <w:r>
        <w:rPr>
          <w:sz w:val="4"/>
        </w:rPr>
      </w:r>
    </w:p>
    <w:p>
      <w:pPr>
        <w:spacing w:after="80"/>
      </w:pPr>
      <w:r>
        <w:rPr>
          <w:b w:val="0"/>
          <w:color w:val="566775"/>
          <w:sz w:val="18"/>
        </w:rPr>
        <w:t>This worksheet records standing decisions, not approval of an individual action.</w:t>
      </w:r>
    </w:p>
    <w:p>
      <w:r/>
    </w:p>
    <w:p>
      <w:pPr>
        <w:pStyle w:val="Heading1"/>
      </w:pPr>
      <w:r>
        <w:rPr>
          <w:b w:val="0"/>
        </w:rPr>
        <w:t>B. Engineering bindings and outcome checks</w:t>
      </w:r>
    </w:p>
    <w:p>
      <w:r>
        <w:rPr>
          <w:b w:val="0"/>
        </w:rPr>
        <w:t>Tie every decision to a deployed control. Bind cumulative limits and all behaviorally material execution context. A rule written in prose is not enforced until its implementation is identified and tested. Mark anything documentation-only explicitly; it cannot justify autonomous execution.</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4838"/>
        <w:gridCol w:w="5587"/>
      </w:tblGrid>
      <w:tr>
        <w:trPr>
          <w:tblHeader/>
        </w:trPr>
        <w:tc>
          <w:tcPr>
            <w:tcW w:type="dxa" w:w="4838"/>
            <w:shd w:fill="18374B"/>
          </w:tcPr>
          <w:p>
            <w:pPr>
              <w:spacing w:after="0" w:line="245" w:lineRule="auto"/>
            </w:pPr>
            <w:r>
              <w:rPr>
                <w:b/>
                <w:color w:val="FFFFFF"/>
                <w:sz w:val="20"/>
              </w:rPr>
              <w:t>Binding to specify</w:t>
            </w:r>
          </w:p>
        </w:tc>
        <w:tc>
          <w:tcPr>
            <w:tcW w:type="dxa" w:w="5587"/>
            <w:shd w:fill="18374B"/>
          </w:tcPr>
          <w:p>
            <w:pPr>
              <w:spacing w:after="0" w:line="245" w:lineRule="auto"/>
            </w:pPr>
            <w:r>
              <w:rPr>
                <w:b/>
                <w:color w:val="FFFFFF"/>
                <w:sz w:val="20"/>
              </w:rPr>
              <w:t>Your answer / evidence reference</w:t>
            </w:r>
          </w:p>
        </w:tc>
      </w:tr>
      <w:tr>
        <w:trPr>
          <w:trHeight w:val="1238" w:hRule="atLeast"/>
          <w:cantSplit/>
        </w:trPr>
        <w:tc>
          <w:tcPr>
            <w:tcW w:type="dxa" w:w="4838"/>
            <w:vAlign w:val="top"/>
          </w:tcPr>
          <w:p>
            <w:pPr>
              <w:spacing w:after="0" w:line="247" w:lineRule="auto"/>
            </w:pPr>
            <w:r>
              <w:rPr>
                <w:b/>
                <w:color w:val="18374B"/>
                <w:sz w:val="20"/>
              </w:rPr>
              <w:t>Pinned execution context</w:t>
              <w:br/>
            </w:r>
            <w:r>
              <w:rPr>
                <w:b w:val="0"/>
                <w:color w:val="18374B"/>
                <w:sz w:val="20"/>
              </w:rPr>
              <w:t>Profile id/version/digest; program id/owner; provider/model route and fallbacks; system instructions, skills, persistent memory, orchestration/subagent and adapter versions; Aggregate Execution and Feedback Policy ids/versions/digests; release scope.</w:t>
            </w:r>
          </w:p>
        </w:tc>
        <w:tc>
          <w:tcPr>
            <w:tcW w:type="dxa" w:w="5587"/>
            <w:vAlign w:val="top"/>
            <w:shd w:fill="F3F7F9"/>
          </w:tcPr>
          <w:p>
            <w:pPr>
              <w:spacing w:after="0" w:line="247" w:lineRule="auto"/>
            </w:pPr>
          </w:p>
        </w:tc>
      </w:tr>
      <w:tr>
        <w:trPr>
          <w:trHeight w:val="1238" w:hRule="atLeast"/>
          <w:cantSplit/>
        </w:trPr>
        <w:tc>
          <w:tcPr>
            <w:tcW w:type="dxa" w:w="4838"/>
            <w:vAlign w:val="top"/>
            <w:shd w:fill="FAFCFD"/>
          </w:tcPr>
          <w:p>
            <w:pPr>
              <w:spacing w:after="0" w:line="247" w:lineRule="auto"/>
            </w:pPr>
            <w:r>
              <w:rPr>
                <w:b/>
                <w:color w:val="18374B"/>
                <w:sz w:val="20"/>
              </w:rPr>
              <w:t>Operation and aggregate controls</w:t>
              <w:br/>
            </w:r>
            <w:r>
              <w:rPr>
                <w:b w:val="0"/>
                <w:color w:val="18374B"/>
                <w:sz w:val="20"/>
              </w:rPr>
              <w:t>Typed operation/adapter versions, selectors, parameters, thresholds and never-list enforcement; transactional rate, concurrency, target, object and egress counters; unresolved-check handling.</w:t>
            </w:r>
          </w:p>
        </w:tc>
        <w:tc>
          <w:tcPr>
            <w:tcW w:type="dxa" w:w="5587"/>
            <w:vAlign w:val="top"/>
            <w:shd w:fill="F3F7F9"/>
          </w:tcPr>
          <w:p>
            <w:pPr>
              <w:spacing w:after="0" w:line="247" w:lineRule="auto"/>
            </w:pPr>
          </w:p>
        </w:tc>
      </w:tr>
      <w:tr>
        <w:trPr>
          <w:trHeight w:val="1238" w:hRule="atLeast"/>
          <w:cantSplit/>
        </w:trPr>
        <w:tc>
          <w:tcPr>
            <w:tcW w:type="dxa" w:w="4838"/>
            <w:vAlign w:val="top"/>
          </w:tcPr>
          <w:p>
            <w:pPr>
              <w:spacing w:after="0" w:line="247" w:lineRule="auto"/>
            </w:pPr>
            <w:r>
              <w:rPr>
                <w:b/>
                <w:color w:val="18374B"/>
                <w:sz w:val="20"/>
              </w:rPr>
              <w:t>Identity, orchestration and containment</w:t>
              <w:br/>
            </w:r>
            <w:r>
              <w:rPr>
                <w:b w:val="0"/>
                <w:color w:val="18374B"/>
                <w:sz w:val="20"/>
              </w:rPr>
              <w:t>Requester/tenant authentication; accountable-actor linkage across keys/accounts; parent/child identities, exact-action delegation attestations and attenuated shared limits—or forbidden delegation; gate-owned credentials, least privilege, rotation and proof of no bypass.</w:t>
            </w:r>
          </w:p>
        </w:tc>
        <w:tc>
          <w:tcPr>
            <w:tcW w:type="dxa" w:w="5587"/>
            <w:vAlign w:val="top"/>
            <w:shd w:fill="F3F7F9"/>
          </w:tcPr>
          <w:p>
            <w:pPr>
              <w:spacing w:after="0" w:line="247" w:lineRule="auto"/>
            </w:pPr>
          </w:p>
        </w:tc>
      </w:tr>
      <w:tr>
        <w:trPr>
          <w:trHeight w:val="1238" w:hRule="atLeast"/>
          <w:cantSplit/>
        </w:trPr>
        <w:tc>
          <w:tcPr>
            <w:tcW w:type="dxa" w:w="4838"/>
            <w:vAlign w:val="top"/>
            <w:shd w:fill="FAFCFD"/>
          </w:tcPr>
          <w:p>
            <w:pPr>
              <w:spacing w:after="0" w:line="247" w:lineRule="auto"/>
            </w:pPr>
            <w:r>
              <w:rPr>
                <w:b/>
                <w:color w:val="18374B"/>
                <w:sz w:val="20"/>
              </w:rPr>
              <w:t>Review and execution validity</w:t>
            </w:r>
            <w:r>
              <w:rPr>
                <w:b w:val="0"/>
                <w:color w:val="18374B"/>
                <w:sz w:val="20"/>
              </w:rPr>
              <w:br/>
              <w:t>Trusted approver-role mapping, distinct reviewers where required, Card/request binding, review window, single use and short execution-authority lifetime.</w:t>
            </w:r>
          </w:p>
        </w:tc>
        <w:tc>
          <w:tcPr>
            <w:tcW w:type="dxa" w:w="5587"/>
            <w:vAlign w:val="top"/>
            <w:shd w:fill="F3F7F9"/>
          </w:tcPr>
          <w:p>
            <w:pPr>
              <w:spacing w:after="0" w:line="247" w:lineRule="auto"/>
            </w:pPr>
          </w:p>
        </w:tc>
      </w:tr>
      <w:tr>
        <w:trPr>
          <w:trHeight w:val="1238" w:hRule="atLeast"/>
          <w:cantSplit/>
        </w:trPr>
        <w:tc>
          <w:tcPr>
            <w:tcW w:type="dxa" w:w="4838"/>
            <w:vAlign w:val="top"/>
          </w:tcPr>
          <w:p>
            <w:pPr>
              <w:spacing w:after="0" w:line="247" w:lineRule="auto"/>
            </w:pPr>
            <w:r>
              <w:rPr>
                <w:b/>
                <w:color w:val="18374B"/>
                <w:sz w:val="20"/>
              </w:rPr>
              <w:t>Verification plan</w:t>
            </w:r>
            <w:r>
              <w:rPr>
                <w:b w:val="0"/>
                <w:color w:val="18374B"/>
                <w:sz w:val="20"/>
              </w:rPr>
              <w:br/>
              <w:t>Required postconditions and independent test ids; all-mode coverage or explicit designated tests; source, target binding, freshness, deadline and conflict behavior.</w:t>
            </w:r>
          </w:p>
        </w:tc>
        <w:tc>
          <w:tcPr>
            <w:tcW w:type="dxa" w:w="5587"/>
            <w:vAlign w:val="top"/>
            <w:shd w:fill="F3F7F9"/>
          </w:tcPr>
          <w:p>
            <w:pPr>
              <w:spacing w:after="0" w:line="247" w:lineRule="auto"/>
            </w:pPr>
          </w:p>
        </w:tc>
      </w:tr>
      <w:tr>
        <w:trPr>
          <w:trHeight w:val="1238" w:hRule="atLeast"/>
          <w:cantSplit/>
        </w:trPr>
        <w:tc>
          <w:tcPr>
            <w:tcW w:type="dxa" w:w="4838"/>
            <w:vAlign w:val="top"/>
            <w:shd w:fill="FAFCFD"/>
          </w:tcPr>
          <w:p>
            <w:pPr>
              <w:spacing w:after="0" w:line="247" w:lineRule="auto"/>
            </w:pPr>
            <w:r>
              <w:rPr>
                <w:b/>
                <w:color w:val="18374B"/>
                <w:sz w:val="20"/>
              </w:rPr>
              <w:t>Transaction and recovery</w:t>
            </w:r>
            <w:r>
              <w:rPr>
                <w:b w:val="0"/>
                <w:color w:val="18374B"/>
                <w:sz w:val="20"/>
              </w:rPr>
              <w:br/>
              <w:t>Logical-action identity and downstream idempotency; terminal reconciliation source; unknown/no-attempt/no-commit distinctions; recovery owner and tested evidence per operation.</w:t>
            </w:r>
          </w:p>
        </w:tc>
        <w:tc>
          <w:tcPr>
            <w:tcW w:type="dxa" w:w="5587"/>
            <w:vAlign w:val="top"/>
            <w:shd w:fill="F3F7F9"/>
          </w:tcPr>
          <w:p>
            <w:pPr>
              <w:spacing w:after="0" w:line="247" w:lineRule="auto"/>
            </w:pPr>
          </w:p>
        </w:tc>
      </w:tr>
      <w:tr>
        <w:trPr>
          <w:trHeight w:val="1238" w:hRule="atLeast"/>
          <w:cantSplit/>
        </w:trPr>
        <w:tc>
          <w:tcPr>
            <w:tcW w:type="dxa" w:w="4838"/>
            <w:vAlign w:val="top"/>
          </w:tcPr>
          <w:p>
            <w:pPr>
              <w:spacing w:after="0" w:line="247" w:lineRule="auto"/>
            </w:pPr>
            <w:r>
              <w:rPr>
                <w:b/>
                <w:color w:val="18374B"/>
                <w:sz w:val="20"/>
              </w:rPr>
              <w:t>Audit and storage</w:t>
              <w:br/>
            </w:r>
            <w:r>
              <w:rPr>
                <w:b w:val="0"/>
                <w:color w:val="18374B"/>
                <w:sz w:val="20"/>
              </w:rPr>
              <w:t>Required retained records and linked artifacts; transactional reservation and aggregate admission counters before dispatch; cross-session linkage; restart behavior; readers, encryption, retention and reservation-tombstone policy.</w:t>
            </w:r>
          </w:p>
        </w:tc>
        <w:tc>
          <w:tcPr>
            <w:tcW w:type="dxa" w:w="5587"/>
            <w:vAlign w:val="top"/>
            <w:shd w:fill="F3F7F9"/>
          </w:tcPr>
          <w:p>
            <w:pPr>
              <w:spacing w:after="0" w:line="247" w:lineRule="auto"/>
            </w:pPr>
          </w:p>
        </w:tc>
      </w:tr>
      <w:tr>
        <w:trPr>
          <w:trHeight w:val="1238" w:hRule="atLeast"/>
          <w:cantSplit/>
        </w:trPr>
        <w:tc>
          <w:tcPr>
            <w:tcW w:type="dxa" w:w="4838"/>
            <w:vAlign w:val="top"/>
            <w:shd w:fill="FAFCFD"/>
          </w:tcPr>
          <w:p>
            <w:pPr>
              <w:spacing w:after="0" w:line="247" w:lineRule="auto"/>
            </w:pPr>
            <w:r>
              <w:rPr>
                <w:b/>
                <w:color w:val="18374B"/>
                <w:sz w:val="20"/>
              </w:rPr>
              <w:t>Publishing and integrity</w:t>
            </w:r>
            <w:r>
              <w:rPr>
                <w:b w:val="0"/>
                <w:color w:val="18374B"/>
                <w:sz w:val="20"/>
              </w:rPr>
              <w:br/>
              <w:t>Trusted Profile/reviewer keys; review binding and enforcement configuration. The reference uses Ed25519 for L2/L3 Profiles; signatures do not prove source truth.</w:t>
            </w:r>
          </w:p>
        </w:tc>
        <w:tc>
          <w:tcPr>
            <w:tcW w:type="dxa" w:w="5587"/>
            <w:vAlign w:val="top"/>
            <w:shd w:fill="F3F7F9"/>
          </w:tcPr>
          <w:p>
            <w:pPr>
              <w:spacing w:after="0" w:line="247" w:lineRule="auto"/>
            </w:pPr>
          </w:p>
        </w:tc>
      </w:tr>
    </w:tbl>
    <w:p>
      <w:pPr>
        <w:spacing w:after="0" w:before="0" w:line="40" w:lineRule="exact"/>
      </w:pPr>
      <w:r>
        <w:rPr>
          <w:sz w:val="4"/>
        </w:rPr>
      </w:r>
    </w:p>
    <w:p>
      <w:pPr>
        <w:spacing w:after="80"/>
      </w:pPr>
      <w:r>
        <w:rPr>
          <w:b w:val="0"/>
          <w:color w:val="566775"/>
          <w:sz w:val="18"/>
        </w:rPr>
        <w:t>Recovery is a separately governed action where needed—not a promise that every effect can be reversed. Do not accept an adapter receipt as outcome verification.</w:t>
      </w:r>
    </w:p>
    <w:p>
      <w:r/>
    </w:p>
    <w:p>
      <w:pPr>
        <w:pStyle w:val="Heading1"/>
      </w:pPr>
      <w:r>
        <w:rPr>
          <w:b w:val="0"/>
        </w:rPr>
        <w:t>C. Aggregate budgets, protective feedback, stop and restoration</w:t>
      </w:r>
    </w:p>
    <w:p>
      <w:r>
        <w:rPr>
          <w:b w:val="0"/>
        </w:rPr>
        <w:t>Product selects aggregate budgets and permitted protective responses; engineering binds trusted actor/program dimensions, observation sources and exact rules. Automatic behavior may only restrict. NORMAL retains baseline checks; REQUIRE_APPROVAL adds review; SUSPENDED blocks matching new admissions. Multiple holds remain independent.</w:t>
      </w:r>
    </w:p>
    <w:p>
      <w:pPr>
        <w:spacing w:after="80"/>
      </w:pPr>
      <w:r>
        <w:rPr>
          <w:b w:val="0"/>
          <w:color w:val="566775"/>
          <w:sz w:val="18"/>
        </w:rPr>
        <w:t>Examples—not defaults: two admissions per accountable actor per hour; one in-flight execution per delegation root; two distinct verification failures within one hour → require approval. Replaying the same incident or rotating a principal must not reset the applicable control.</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3643"/>
        <w:gridCol w:w="3398"/>
        <w:gridCol w:w="3384"/>
      </w:tblGrid>
      <w:tr>
        <w:trPr>
          <w:tblHeader/>
        </w:trPr>
        <w:tc>
          <w:tcPr>
            <w:tcW w:type="dxa" w:w="3643"/>
            <w:shd w:fill="18374B"/>
          </w:tcPr>
          <w:p>
            <w:pPr>
              <w:spacing w:after="0" w:line="245" w:lineRule="auto"/>
            </w:pPr>
            <w:r>
              <w:rPr>
                <w:b/>
                <w:color w:val="FFFFFF"/>
                <w:sz w:val="20"/>
              </w:rPr>
              <w:t>Budget measure or signal + trusted source / version</w:t>
            </w:r>
          </w:p>
        </w:tc>
        <w:tc>
          <w:tcPr>
            <w:tcW w:type="dxa" w:w="3398"/>
            <w:shd w:fill="18374B"/>
          </w:tcPr>
          <w:p>
            <w:pPr>
              <w:spacing w:after="0" w:line="245" w:lineRule="auto"/>
            </w:pPr>
            <w:r>
              <w:rPr>
                <w:b/>
                <w:color w:val="FFFFFF"/>
                <w:sz w:val="20"/>
              </w:rPr>
              <w:t>Threshold + window + affected scope</w:t>
            </w:r>
          </w:p>
        </w:tc>
        <w:tc>
          <w:tcPr>
            <w:tcW w:type="dxa" w:w="3384"/>
            <w:shd w:fill="18374B"/>
          </w:tcPr>
          <w:p>
            <w:pPr>
              <w:spacing w:after="0" w:line="245" w:lineRule="auto"/>
            </w:pPr>
            <w:r>
              <w:rPr>
                <w:b/>
                <w:color w:val="FFFFFF"/>
                <w:sz w:val="20"/>
              </w:rPr>
              <w:t>Permitted response + rule id / version</w:t>
            </w:r>
          </w:p>
        </w:tc>
      </w:tr>
      <w:tr>
        <w:trPr>
          <w:trHeight w:val="1152" w:hRule="atLeast"/>
          <w:cantSplit/>
        </w:trPr>
        <w:tc>
          <w:tcPr>
            <w:tcW w:type="dxa" w:w="3643"/>
            <w:vAlign w:val="top"/>
            <w:shd w:fill="F3F7F9"/>
          </w:tcPr>
          <w:p>
            <w:pPr>
              <w:spacing w:after="0" w:line="247" w:lineRule="auto"/>
            </w:pPr>
          </w:p>
        </w:tc>
        <w:tc>
          <w:tcPr>
            <w:tcW w:type="dxa" w:w="3398"/>
            <w:vAlign w:val="top"/>
            <w:shd w:fill="F3F7F9"/>
          </w:tcPr>
          <w:p>
            <w:pPr>
              <w:spacing w:after="0" w:line="247" w:lineRule="auto"/>
            </w:pPr>
          </w:p>
        </w:tc>
        <w:tc>
          <w:tcPr>
            <w:tcW w:type="dxa" w:w="3384"/>
            <w:vAlign w:val="top"/>
            <w:shd w:fill="F3F7F9"/>
          </w:tcPr>
          <w:p>
            <w:pPr>
              <w:spacing w:after="0" w:line="247" w:lineRule="auto"/>
            </w:pPr>
          </w:p>
        </w:tc>
      </w:tr>
      <w:tr>
        <w:trPr>
          <w:trHeight w:val="1152" w:hRule="atLeast"/>
          <w:cantSplit/>
        </w:trPr>
        <w:tc>
          <w:tcPr>
            <w:tcW w:type="dxa" w:w="3643"/>
            <w:vAlign w:val="top"/>
            <w:shd w:fill="F3F7F9"/>
          </w:tcPr>
          <w:p>
            <w:pPr>
              <w:spacing w:after="0" w:line="247" w:lineRule="auto"/>
            </w:pPr>
          </w:p>
        </w:tc>
        <w:tc>
          <w:tcPr>
            <w:tcW w:type="dxa" w:w="3398"/>
            <w:vAlign w:val="top"/>
            <w:shd w:fill="F3F7F9"/>
          </w:tcPr>
          <w:p>
            <w:pPr>
              <w:spacing w:after="0" w:line="247" w:lineRule="auto"/>
            </w:pPr>
          </w:p>
        </w:tc>
        <w:tc>
          <w:tcPr>
            <w:tcW w:type="dxa" w:w="3384"/>
            <w:vAlign w:val="top"/>
            <w:shd w:fill="F3F7F9"/>
          </w:tcPr>
          <w:p>
            <w:pPr>
              <w:spacing w:after="0" w:line="247" w:lineRule="auto"/>
            </w:pPr>
          </w:p>
        </w:tc>
      </w:tr>
      <w:tr>
        <w:trPr>
          <w:trHeight w:val="1152" w:hRule="atLeast"/>
          <w:cantSplit/>
        </w:trPr>
        <w:tc>
          <w:tcPr>
            <w:tcW w:type="dxa" w:w="3643"/>
            <w:vAlign w:val="top"/>
            <w:shd w:fill="F3F7F9"/>
          </w:tcPr>
          <w:p>
            <w:pPr>
              <w:spacing w:after="0" w:line="247" w:lineRule="auto"/>
            </w:pPr>
          </w:p>
        </w:tc>
        <w:tc>
          <w:tcPr>
            <w:tcW w:type="dxa" w:w="3398"/>
            <w:vAlign w:val="top"/>
            <w:shd w:fill="F3F7F9"/>
          </w:tcPr>
          <w:p>
            <w:pPr>
              <w:spacing w:after="0" w:line="247" w:lineRule="auto"/>
            </w:pPr>
          </w:p>
        </w:tc>
        <w:tc>
          <w:tcPr>
            <w:tcW w:type="dxa" w:w="3384"/>
            <w:vAlign w:val="top"/>
            <w:shd w:fill="F3F7F9"/>
          </w:tcPr>
          <w:p>
            <w:pPr>
              <w:spacing w:after="0" w:line="247" w:lineRule="auto"/>
            </w:pPr>
          </w:p>
        </w:tc>
      </w:tr>
    </w:tbl>
    <w:p>
      <w:pPr>
        <w:spacing w:after="0" w:before="0" w:line="40" w:lineRule="exact"/>
      </w:pPr>
      <w:r>
        <w:rPr>
          <w:sz w:val="4"/>
        </w:rPr>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4838"/>
        <w:gridCol w:w="5587"/>
      </w:tblGrid>
      <w:tr>
        <w:trPr>
          <w:tblHeader/>
        </w:trPr>
        <w:tc>
          <w:tcPr>
            <w:tcW w:type="dxa" w:w="4838"/>
            <w:shd w:fill="18374B"/>
          </w:tcPr>
          <w:p>
            <w:pPr>
              <w:spacing w:after="0" w:line="245" w:lineRule="auto"/>
            </w:pPr>
            <w:r>
              <w:rPr>
                <w:b/>
                <w:color w:val="FFFFFF"/>
                <w:sz w:val="20"/>
              </w:rPr>
              <w:t>Operating decision</w:t>
            </w:r>
          </w:p>
        </w:tc>
        <w:tc>
          <w:tcPr>
            <w:tcW w:type="dxa" w:w="5587"/>
            <w:shd w:fill="18374B"/>
          </w:tcPr>
          <w:p>
            <w:pPr>
              <w:spacing w:after="0" w:line="245" w:lineRule="auto"/>
            </w:pPr>
            <w:r>
              <w:rPr>
                <w:b/>
                <w:color w:val="FFFFFF"/>
                <w:sz w:val="20"/>
              </w:rPr>
              <w:t>Your answer / evidence reference</w:t>
            </w:r>
          </w:p>
        </w:tc>
      </w:tr>
      <w:tr>
        <w:trPr>
          <w:trHeight w:val="1094" w:hRule="atLeast"/>
          <w:cantSplit/>
        </w:trPr>
        <w:tc>
          <w:tcPr>
            <w:tcW w:type="dxa" w:w="4838"/>
            <w:vAlign w:val="top"/>
          </w:tcPr>
          <w:p>
            <w:pPr>
              <w:spacing w:after="0" w:line="247" w:lineRule="auto"/>
            </w:pPr>
            <w:r>
              <w:rPr>
                <w:b/>
                <w:color w:val="18374B"/>
                <w:sz w:val="20"/>
              </w:rPr>
              <w:t>Emergency stop</w:t>
            </w:r>
            <w:r>
              <w:rPr>
                <w:b w:val="0"/>
                <w:color w:val="18374B"/>
                <w:sz w:val="20"/>
              </w:rPr>
              <w:br/>
              <w:t>Mechanism, authorized people, and handling of queued work; distinguish admission blocking from effects already attempted.</w:t>
            </w:r>
          </w:p>
        </w:tc>
        <w:tc>
          <w:tcPr>
            <w:tcW w:type="dxa" w:w="5587"/>
            <w:vAlign w:val="top"/>
            <w:shd w:fill="F3F7F9"/>
          </w:tcPr>
          <w:p>
            <w:pPr>
              <w:spacing w:after="0" w:line="247" w:lineRule="auto"/>
            </w:pPr>
          </w:p>
        </w:tc>
      </w:tr>
      <w:tr>
        <w:trPr>
          <w:trHeight w:val="1094" w:hRule="atLeast"/>
          <w:cantSplit/>
        </w:trPr>
        <w:tc>
          <w:tcPr>
            <w:tcW w:type="dxa" w:w="4838"/>
            <w:vAlign w:val="top"/>
            <w:shd w:fill="FAFCFD"/>
          </w:tcPr>
          <w:p>
            <w:pPr>
              <w:spacing w:after="0" w:line="247" w:lineRule="auto"/>
            </w:pPr>
            <w:r>
              <w:rPr>
                <w:b/>
                <w:color w:val="18374B"/>
                <w:sz w:val="20"/>
              </w:rPr>
              <w:t>Restoration authority and proof</w:t>
            </w:r>
            <w:r>
              <w:rPr>
                <w:b w:val="0"/>
                <w:color w:val="18374B"/>
                <w:sz w:val="20"/>
              </w:rPr>
              <w:br/>
              <w:t>Named roles/principals, exact hold revision, required evidence and unresolved-execution check. Who reviews whether the repair is adequate?</w:t>
            </w:r>
          </w:p>
        </w:tc>
        <w:tc>
          <w:tcPr>
            <w:tcW w:type="dxa" w:w="5587"/>
            <w:vAlign w:val="top"/>
            <w:shd w:fill="F3F7F9"/>
          </w:tcPr>
          <w:p>
            <w:pPr>
              <w:spacing w:after="0" w:line="247" w:lineRule="auto"/>
            </w:pPr>
          </w:p>
        </w:tc>
      </w:tr>
      <w:tr>
        <w:trPr>
          <w:trHeight w:val="1094" w:hRule="atLeast"/>
          <w:cantSplit/>
        </w:trPr>
        <w:tc>
          <w:tcPr>
            <w:tcW w:type="dxa" w:w="4838"/>
            <w:vAlign w:val="top"/>
          </w:tcPr>
          <w:p>
            <w:pPr>
              <w:spacing w:after="0" w:line="247" w:lineRule="auto"/>
            </w:pPr>
            <w:r>
              <w:rPr>
                <w:b/>
                <w:color w:val="18374B"/>
                <w:sz w:val="20"/>
              </w:rPr>
              <w:t>Recording, export and monitoring failures</w:t>
            </w:r>
            <w:r>
              <w:rPr>
                <w:b w:val="0"/>
                <w:color w:val="18374B"/>
                <w:sz w:val="20"/>
              </w:rPr>
              <w:br/>
              <w:t>No new admission without required recording; bounded export backlog; behavior if mandatory state is unavailable. Name responsible operators.</w:t>
            </w:r>
          </w:p>
        </w:tc>
        <w:tc>
          <w:tcPr>
            <w:tcW w:type="dxa" w:w="5587"/>
            <w:vAlign w:val="top"/>
            <w:shd w:fill="F3F7F9"/>
          </w:tcPr>
          <w:p>
            <w:pPr>
              <w:spacing w:after="0" w:line="247" w:lineRule="auto"/>
            </w:pPr>
          </w:p>
        </w:tc>
      </w:tr>
      <w:tr>
        <w:trPr>
          <w:trHeight w:val="1094" w:hRule="atLeast"/>
          <w:cantSplit/>
        </w:trPr>
        <w:tc>
          <w:tcPr>
            <w:tcW w:type="dxa" w:w="4838"/>
            <w:vAlign w:val="top"/>
            <w:shd w:fill="FAFCFD"/>
          </w:tcPr>
          <w:p>
            <w:pPr>
              <w:spacing w:after="0" w:line="247" w:lineRule="auto"/>
            </w:pPr>
            <w:r>
              <w:rPr>
                <w:b/>
                <w:color w:val="18374B"/>
                <w:sz w:val="20"/>
              </w:rPr>
              <w:t>Scheduling, aggregate monitoring and health</w:t>
              <w:br/>
            </w:r>
            <w:r>
              <w:rPr>
                <w:b w:val="0"/>
                <w:color w:val="18374B"/>
                <w:sz w:val="20"/>
              </w:rPr>
              <w:t>Who runs verification, reconciliation, the watchdog and export? Monitor unresolved age, conflicts, restriction duration, usage velocity, target expansion, identity or route drift, storage failures and pipeline health.</w:t>
            </w:r>
          </w:p>
        </w:tc>
        <w:tc>
          <w:tcPr>
            <w:tcW w:type="dxa" w:w="5587"/>
            <w:vAlign w:val="top"/>
            <w:shd w:fill="F3F7F9"/>
          </w:tcPr>
          <w:p>
            <w:pPr>
              <w:spacing w:after="0" w:line="247" w:lineRule="auto"/>
            </w:pPr>
          </w:p>
        </w:tc>
      </w:tr>
      <w:tr>
        <w:trPr>
          <w:trHeight w:val="1094" w:hRule="atLeast"/>
          <w:cantSplit/>
        </w:trPr>
        <w:tc>
          <w:tcPr>
            <w:tcW w:type="dxa" w:w="4838"/>
            <w:vAlign w:val="top"/>
          </w:tcPr>
          <w:p>
            <w:pPr>
              <w:spacing w:after="0" w:line="247" w:lineRule="auto"/>
            </w:pPr>
            <w:r>
              <w:rPr>
                <w:b/>
                <w:color w:val="18374B"/>
                <w:sz w:val="20"/>
              </w:rPr>
              <w:t>Reviewed improvement</w:t>
              <w:br/>
            </w:r>
            <w:r>
              <w:rPr>
                <w:b w:val="0"/>
                <w:color w:val="18374B"/>
                <w:sz w:val="20"/>
              </w:rPr>
              <w:t>Incident-review owner, regression evidence, approval and versioned release process; re-review triggers for model routes/fallbacks, instructions, skills, memory, orchestration, jobs, tools, authority and feedback changes.</w:t>
            </w:r>
          </w:p>
        </w:tc>
        <w:tc>
          <w:tcPr>
            <w:tcW w:type="dxa" w:w="5587"/>
            <w:vAlign w:val="top"/>
            <w:shd w:fill="F3F7F9"/>
          </w:tcPr>
          <w:p>
            <w:pPr>
              <w:spacing w:after="0" w:line="247" w:lineRule="auto"/>
            </w:pPr>
          </w:p>
        </w:tc>
      </w:tr>
    </w:tbl>
    <w:p>
      <w:pPr>
        <w:spacing w:after="0" w:before="0" w:line="40" w:lineRule="exact"/>
      </w:pPr>
      <w:r>
        <w:rPr>
          <w:sz w:val="4"/>
        </w:rPr>
      </w:r>
    </w:p>
    <w:p>
      <w:pPr>
        <w:spacing w:after="80"/>
      </w:pPr>
      <w:r>
        <w:rPr>
          <w:b w:val="0"/>
          <w:color w:val="566775"/>
          <w:sz w:val="18"/>
        </w:rPr>
        <w:t>No automatic restoration or retry is supplied by the reference. Restoration must not clear other holds, reuse approvals or reset duplicate protection. Suspending agent dispatches is not an industrial stop command.</w:t>
      </w:r>
    </w:p>
    <w:p>
      <w:r/>
    </w:p>
    <w:p>
      <w:pPr>
        <w:pStyle w:val="Heading1"/>
      </w:pPr>
      <w:r>
        <w:rPr>
          <w:b w:val="0"/>
        </w:rPr>
        <w:t>D. Readiness evidence and sign-off</w:t>
      </w:r>
    </w:p>
    <w:p>
      <w:r>
        <w:rPr>
          <w:b w:val="0"/>
        </w:rPr>
        <w:t>Record evidence for each checkpoint; do not infer readiness from a checked box. Claim only the highest level fully demonstrated together with its lower levels. Authentication proves who reviewed, not that the objective is legitimate. These are maturity checkpoints, not safety certification or permission to deploy into a high-risk setting.</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1325"/>
        <w:gridCol w:w="6566"/>
        <w:gridCol w:w="2534"/>
      </w:tblGrid>
      <w:tr>
        <w:trPr>
          <w:tblHeader/>
        </w:trPr>
        <w:tc>
          <w:tcPr>
            <w:tcW w:type="dxa" w:w="1325"/>
            <w:shd w:fill="18374B"/>
          </w:tcPr>
          <w:p>
            <w:pPr>
              <w:spacing w:after="0" w:line="245" w:lineRule="auto"/>
            </w:pPr>
            <w:r>
              <w:rPr>
                <w:b/>
                <w:color w:val="FFFFFF"/>
                <w:sz w:val="18"/>
              </w:rPr>
              <w:t>Level</w:t>
            </w:r>
          </w:p>
        </w:tc>
        <w:tc>
          <w:tcPr>
            <w:tcW w:type="dxa" w:w="6566"/>
            <w:shd w:fill="18374B"/>
          </w:tcPr>
          <w:p>
            <w:pPr>
              <w:spacing w:after="0" w:line="245" w:lineRule="auto"/>
            </w:pPr>
            <w:r>
              <w:rPr>
                <w:b/>
                <w:color w:val="FFFFFF"/>
                <w:sz w:val="18"/>
              </w:rPr>
              <w:t>Checkpoint</w:t>
            </w:r>
          </w:p>
        </w:tc>
        <w:tc>
          <w:tcPr>
            <w:tcW w:type="dxa" w:w="2534"/>
            <w:shd w:fill="18374B"/>
          </w:tcPr>
          <w:p>
            <w:pPr>
              <w:spacing w:after="0" w:line="245" w:lineRule="auto"/>
            </w:pPr>
            <w:r>
              <w:rPr>
                <w:b/>
                <w:color w:val="FFFFFF"/>
                <w:sz w:val="18"/>
              </w:rPr>
              <w:t>Result / evidence</w:t>
            </w:r>
          </w:p>
        </w:tc>
      </w:tr>
      <w:tr>
        <w:trPr>
          <w:trHeight w:val="576" w:hRule="atLeast"/>
          <w:cantSplit/>
        </w:trPr>
        <w:tc>
          <w:tcPr>
            <w:tcW w:type="dxa" w:w="1325"/>
            <w:vAlign w:val="top"/>
          </w:tcPr>
          <w:p>
            <w:pPr>
              <w:spacing w:after="0" w:line="247" w:lineRule="auto"/>
            </w:pPr>
            <w:r>
              <w:rPr>
                <w:b/>
                <w:color w:val="18374B"/>
                <w:sz w:val="18"/>
              </w:rPr>
              <w:t>L0 · Declare</w:t>
            </w:r>
          </w:p>
        </w:tc>
        <w:tc>
          <w:tcPr>
            <w:tcW w:type="dxa" w:w="6566"/>
            <w:vAlign w:val="top"/>
          </w:tcPr>
          <w:p>
            <w:pPr>
              <w:spacing w:after="0" w:line="247" w:lineRule="auto"/>
            </w:pPr>
            <w:r>
              <w:rPr>
                <w:b w:val="0"/>
                <w:color w:val="18374B"/>
                <w:sz w:val="18"/>
              </w:rPr>
              <w:t>Reviewed accountable program, scope, versions, allowed reads/actions, never-list, per-action consequence and cumulative exposure; N/A answers justified.</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val="0"/>
                <w:color w:val="18374B"/>
                <w:sz w:val="18"/>
              </w:rPr>
              <w:t>L0</w:t>
            </w:r>
          </w:p>
        </w:tc>
        <w:tc>
          <w:tcPr>
            <w:tcW w:type="dxa" w:w="6566"/>
            <w:vAlign w:val="top"/>
            <w:shd w:fill="FAFCFD"/>
          </w:tcPr>
          <w:p>
            <w:pPr>
              <w:spacing w:after="0" w:line="247" w:lineRule="auto"/>
            </w:pPr>
            <w:r>
              <w:rPr>
                <w:b w:val="0"/>
                <w:color w:val="18374B"/>
                <w:sz w:val="18"/>
              </w:rPr>
              <w:t>Approvers, stop/recovery owners, required outcomes, data/audit boundaries, feedback rules and restoration authority named.</w:t>
            </w:r>
          </w:p>
        </w:tc>
        <w:tc>
          <w:tcPr>
            <w:tcW w:type="dxa" w:w="2534"/>
            <w:vAlign w:val="top"/>
            <w:shd w:fill="F3F7F9"/>
          </w:tcPr>
          <w:p>
            <w:pPr>
              <w:spacing w:after="0" w:line="247" w:lineRule="auto"/>
            </w:pPr>
          </w:p>
        </w:tc>
      </w:tr>
      <w:tr>
        <w:trPr>
          <w:trHeight w:val="576" w:hRule="atLeast"/>
          <w:cantSplit/>
        </w:trPr>
        <w:tc>
          <w:tcPr>
            <w:tcW w:type="dxa" w:w="1325"/>
            <w:vAlign w:val="top"/>
          </w:tcPr>
          <w:p>
            <w:pPr>
              <w:spacing w:after="0" w:line="247" w:lineRule="auto"/>
            </w:pPr>
            <w:r>
              <w:rPr>
                <w:b w:val="0"/>
                <w:color w:val="18374B"/>
                <w:sz w:val="18"/>
              </w:rPr>
              <w:t>L0</w:t>
            </w:r>
          </w:p>
        </w:tc>
        <w:tc>
          <w:tcPr>
            <w:tcW w:type="dxa" w:w="6566"/>
            <w:vAlign w:val="top"/>
          </w:tcPr>
          <w:p>
            <w:pPr>
              <w:spacing w:after="0" w:line="247" w:lineRule="auto"/>
            </w:pPr>
            <w:r>
              <w:rPr>
                <w:b w:val="0"/>
                <w:color w:val="18374B"/>
                <w:sz w:val="18"/>
              </w:rPr>
              <w:t>Product and engineering approvals bind their exact read-backs and Profile. Record any open questions before release.</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color w:val="18374B"/>
                <w:sz w:val="18"/>
              </w:rPr>
              <w:t>L1 · Enforce</w:t>
            </w:r>
          </w:p>
        </w:tc>
        <w:tc>
          <w:tcPr>
            <w:tcW w:type="dxa" w:w="6566"/>
            <w:vAlign w:val="top"/>
            <w:shd w:fill="FAFCFD"/>
          </w:tcPr>
          <w:p>
            <w:pPr>
              <w:spacing w:after="0" w:line="247" w:lineRule="auto"/>
            </w:pPr>
            <w:r>
              <w:rPr>
                <w:b w:val="0"/>
                <w:color w:val="18374B"/>
                <w:sz w:val="18"/>
              </w:rPr>
              <w:t>Every in-scope effect uses the non-bypassable gate; it builds Manifests, checks target/parameters and controls execution.</w:t>
            </w:r>
          </w:p>
        </w:tc>
        <w:tc>
          <w:tcPr>
            <w:tcW w:type="dxa" w:w="2534"/>
            <w:vAlign w:val="top"/>
            <w:shd w:fill="F3F7F9"/>
          </w:tcPr>
          <w:p>
            <w:pPr>
              <w:spacing w:after="0" w:line="247" w:lineRule="auto"/>
            </w:pPr>
          </w:p>
        </w:tc>
      </w:tr>
      <w:tr>
        <w:trPr>
          <w:trHeight w:val="576" w:hRule="atLeast"/>
          <w:cantSplit/>
        </w:trPr>
        <w:tc>
          <w:tcPr>
            <w:tcW w:type="dxa" w:w="1325"/>
            <w:vAlign w:val="top"/>
          </w:tcPr>
          <w:p>
            <w:pPr>
              <w:spacing w:after="0" w:line="247" w:lineRule="auto"/>
            </w:pPr>
            <w:r>
              <w:rPr>
                <w:b w:val="0"/>
                <w:color w:val="18374B"/>
                <w:sz w:val="18"/>
              </w:rPr>
              <w:t>L1</w:t>
            </w:r>
          </w:p>
        </w:tc>
        <w:tc>
          <w:tcPr>
            <w:tcW w:type="dxa" w:w="6566"/>
            <w:vAlign w:val="top"/>
          </w:tcPr>
          <w:p>
            <w:pPr>
              <w:spacing w:after="0" w:line="247" w:lineRule="auto"/>
            </w:pPr>
            <w:r>
              <w:rPr>
                <w:b w:val="0"/>
                <w:color w:val="18374B"/>
                <w:sz w:val="18"/>
              </w:rPr>
              <w:t>Default-deny and unresolved-check refusal tested. Current credentials, authority, stop, restrictions and transactional aggregate limits are checked before admission.</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val="0"/>
                <w:color w:val="18374B"/>
                <w:sz w:val="18"/>
              </w:rPr>
              <w:t>L1</w:t>
            </w:r>
          </w:p>
        </w:tc>
        <w:tc>
          <w:tcPr>
            <w:tcW w:type="dxa" w:w="6566"/>
            <w:vAlign w:val="top"/>
            <w:shd w:fill="FAFCFD"/>
          </w:tcPr>
          <w:p>
            <w:pPr>
              <w:spacing w:after="0" w:line="247" w:lineRule="auto"/>
            </w:pPr>
            <w:r>
              <w:rPr>
                <w:b w:val="0"/>
                <w:color w:val="18374B"/>
                <w:sz w:val="18"/>
              </w:rPr>
              <w:t>Prose rules are implemented as typed controls or disclosed as unenforced. Feedback cannot broaden authority or weaken review.</w:t>
            </w:r>
          </w:p>
        </w:tc>
        <w:tc>
          <w:tcPr>
            <w:tcW w:type="dxa" w:w="2534"/>
            <w:vAlign w:val="top"/>
            <w:shd w:fill="F3F7F9"/>
          </w:tcPr>
          <w:p>
            <w:pPr>
              <w:spacing w:after="0" w:line="247" w:lineRule="auto"/>
            </w:pPr>
          </w:p>
        </w:tc>
      </w:tr>
      <w:tr>
        <w:trPr>
          <w:trHeight w:val="576" w:hRule="atLeast"/>
          <w:cantSplit/>
        </w:trPr>
        <w:tc>
          <w:tcPr>
            <w:tcW w:type="dxa" w:w="1325"/>
            <w:vAlign w:val="top"/>
          </w:tcPr>
          <w:p>
            <w:pPr>
              <w:spacing w:after="0" w:line="247" w:lineRule="auto"/>
            </w:pPr>
            <w:r>
              <w:rPr>
                <w:b/>
                <w:color w:val="18374B"/>
                <w:sz w:val="18"/>
              </w:rPr>
              <w:t>L2 · Assure</w:t>
            </w:r>
          </w:p>
        </w:tc>
        <w:tc>
          <w:tcPr>
            <w:tcW w:type="dxa" w:w="6566"/>
            <w:vAlign w:val="top"/>
          </w:tcPr>
          <w:p>
            <w:pPr>
              <w:spacing w:after="0" w:line="247" w:lineRule="auto"/>
            </w:pPr>
            <w:r>
              <w:rPr>
                <w:b w:val="0"/>
                <w:color w:val="18374B"/>
                <w:sz w:val="18"/>
              </w:rPr>
              <w:t>Authenticated, exact-action approvals expire and are single-use; required distinct reviewers, execution lifetime and L2/L3 Profile signatures checked.</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val="0"/>
                <w:color w:val="18374B"/>
                <w:sz w:val="18"/>
              </w:rPr>
              <w:t>L2</w:t>
            </w:r>
          </w:p>
        </w:tc>
        <w:tc>
          <w:tcPr>
            <w:tcW w:type="dxa" w:w="6566"/>
            <w:vAlign w:val="top"/>
            <w:shd w:fill="FAFCFD"/>
          </w:tcPr>
          <w:p>
            <w:pPr>
              <w:spacing w:after="0" w:line="247" w:lineRule="auto"/>
            </w:pPr>
            <w:r>
              <w:rPr>
                <w:b w:val="0"/>
                <w:color w:val="18374B"/>
                <w:sz w:val="18"/>
              </w:rPr>
              <w:t>Approval consumption, reservations and audit persist before invocation. Restart and recording failures preserve uncertainty; no automatic retry.</w:t>
            </w:r>
          </w:p>
        </w:tc>
        <w:tc>
          <w:tcPr>
            <w:tcW w:type="dxa" w:w="2534"/>
            <w:vAlign w:val="top"/>
            <w:shd w:fill="F3F7F9"/>
          </w:tcPr>
          <w:p>
            <w:pPr>
              <w:spacing w:after="0" w:line="247" w:lineRule="auto"/>
            </w:pPr>
          </w:p>
        </w:tc>
      </w:tr>
      <w:tr>
        <w:trPr>
          <w:trHeight w:val="576" w:hRule="atLeast"/>
          <w:cantSplit/>
        </w:trPr>
        <w:tc>
          <w:tcPr>
            <w:tcW w:type="dxa" w:w="1325"/>
            <w:vAlign w:val="top"/>
          </w:tcPr>
          <w:p>
            <w:pPr>
              <w:spacing w:after="0" w:line="247" w:lineRule="auto"/>
            </w:pPr>
            <w:r>
              <w:rPr>
                <w:b w:val="0"/>
                <w:color w:val="18374B"/>
                <w:sz w:val="18"/>
              </w:rPr>
              <w:t>L2</w:t>
            </w:r>
          </w:p>
        </w:tc>
        <w:tc>
          <w:tcPr>
            <w:tcW w:type="dxa" w:w="6566"/>
            <w:vAlign w:val="top"/>
          </w:tcPr>
          <w:p>
            <w:pPr>
              <w:spacing w:after="0" w:line="247" w:lineRule="auto"/>
            </w:pPr>
            <w:r>
              <w:rPr>
                <w:b w:val="0"/>
                <w:color w:val="18374B"/>
                <w:sz w:val="18"/>
              </w:rPr>
              <w:t>Required independent evidence binds execution/target/test and respects freshness/deadlines; conflicts stay unresolved. Execution-context changes invalidate proposals. Recovery and data boundaries tested.</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color w:val="18374B"/>
                <w:sz w:val="18"/>
              </w:rPr>
              <w:t>L3 · Evaluate</w:t>
            </w:r>
          </w:p>
        </w:tc>
        <w:tc>
          <w:tcPr>
            <w:tcW w:type="dxa" w:w="6566"/>
            <w:vAlign w:val="top"/>
            <w:shd w:fill="FAFCFD"/>
          </w:tcPr>
          <w:p>
            <w:pPr>
              <w:spacing w:after="0" w:line="247" w:lineRule="auto"/>
            </w:pPr>
            <w:r>
              <w:rPr>
                <w:b w:val="0"/>
                <w:color w:val="18374B"/>
                <w:sz w:val="18"/>
              </w:rPr>
              <w:t>Test injection in each untrusted input, forbidden effects through permitted tools, scope escalation, splitting across action IDs/sessions, parallel workers and credential rotation; retain results for deployed versions.</w:t>
            </w:r>
          </w:p>
        </w:tc>
        <w:tc>
          <w:tcPr>
            <w:tcW w:type="dxa" w:w="2534"/>
            <w:vAlign w:val="top"/>
            <w:shd w:fill="F3F7F9"/>
          </w:tcPr>
          <w:p>
            <w:pPr>
              <w:spacing w:after="0" w:line="247" w:lineRule="auto"/>
            </w:pPr>
          </w:p>
        </w:tc>
      </w:tr>
      <w:tr>
        <w:trPr>
          <w:trHeight w:val="576" w:hRule="atLeast"/>
          <w:cantSplit/>
        </w:trPr>
        <w:tc>
          <w:tcPr>
            <w:tcW w:type="dxa" w:w="1325"/>
            <w:vAlign w:val="top"/>
          </w:tcPr>
          <w:p>
            <w:pPr>
              <w:spacing w:after="0" w:line="247" w:lineRule="auto"/>
            </w:pPr>
            <w:r>
              <w:rPr>
                <w:b w:val="0"/>
                <w:color w:val="18374B"/>
                <w:sz w:val="18"/>
              </w:rPr>
              <w:t>L3</w:t>
            </w:r>
          </w:p>
        </w:tc>
        <w:tc>
          <w:tcPr>
            <w:tcW w:type="dxa" w:w="6566"/>
            <w:vAlign w:val="top"/>
          </w:tcPr>
          <w:p>
            <w:pPr>
              <w:spacing w:after="0" w:line="247" w:lineRule="auto"/>
            </w:pPr>
            <w:r>
              <w:rPr>
                <w:b w:val="0"/>
                <w:color w:val="18374B"/>
                <w:sz w:val="18"/>
              </w:rPr>
              <w:t>Test approval/evidence replay, stale proposals, model-route/fallback or memory/orchestration drift, admission/reconciliation races, multiple holds, signal authenticity and export replay without execution.</w:t>
            </w:r>
          </w:p>
        </w:tc>
        <w:tc>
          <w:tcPr>
            <w:tcW w:type="dxa" w:w="2534"/>
            <w:vAlign w:val="top"/>
            <w:shd w:fill="F3F7F9"/>
          </w:tcPr>
          <w:p>
            <w:pPr>
              <w:spacing w:after="0" w:line="247" w:lineRule="auto"/>
            </w:pPr>
          </w:p>
        </w:tc>
      </w:tr>
      <w:tr>
        <w:trPr>
          <w:trHeight w:val="576" w:hRule="atLeast"/>
          <w:cantSplit/>
        </w:trPr>
        <w:tc>
          <w:tcPr>
            <w:tcW w:type="dxa" w:w="1325"/>
            <w:vAlign w:val="top"/>
            <w:shd w:fill="FAFCFD"/>
          </w:tcPr>
          <w:p>
            <w:pPr>
              <w:spacing w:after="0" w:line="247" w:lineRule="auto"/>
            </w:pPr>
            <w:r>
              <w:rPr>
                <w:b w:val="0"/>
                <w:color w:val="18374B"/>
                <w:sz w:val="18"/>
              </w:rPr>
              <w:t>L3</w:t>
            </w:r>
          </w:p>
        </w:tc>
        <w:tc>
          <w:tcPr>
            <w:tcW w:type="dxa" w:w="6566"/>
            <w:vAlign w:val="top"/>
            <w:shd w:fill="FAFCFD"/>
          </w:tcPr>
          <w:p>
            <w:pPr>
              <w:spacing w:after="0" w:line="247" w:lineRule="auto"/>
            </w:pPr>
            <w:r>
              <w:rPr>
                <w:b w:val="0"/>
                <w:color w:val="18374B"/>
                <w:sz w:val="18"/>
              </w:rPr>
              <w:t>Exercise watchdog/monitoring failure, scoped restriction/restoration and periodic recovery. Corrections require regressions and reviewed versioned release.</w:t>
            </w:r>
          </w:p>
        </w:tc>
        <w:tc>
          <w:tcPr>
            <w:tcW w:type="dxa" w:w="2534"/>
            <w:vAlign w:val="top"/>
            <w:shd w:fill="F3F7F9"/>
          </w:tcPr>
          <w:p>
            <w:pPr>
              <w:spacing w:after="0" w:line="247" w:lineRule="auto"/>
            </w:pPr>
          </w:p>
        </w:tc>
      </w:tr>
    </w:tbl>
    <w:p>
      <w:pPr>
        <w:spacing w:after="0" w:before="0" w:line="40" w:lineRule="exact"/>
      </w:pPr>
      <w:r>
        <w:rPr>
          <w:sz w:val="4"/>
        </w:rPr>
      </w:r>
    </w:p>
    <w:p>
      <w:pPr>
        <w:pStyle w:val="Heading1"/>
      </w:pPr>
      <w:r>
        <w:rPr>
          <w:b w:val="0"/>
        </w:rPr>
        <w:t>Bind the review to what will run</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4320"/>
        <w:gridCol w:w="6106"/>
      </w:tblGrid>
      <w:tr>
        <w:trPr>
          <w:tblHeader/>
        </w:trPr>
        <w:tc>
          <w:tcPr>
            <w:tcW w:type="dxa" w:w="4320"/>
            <w:shd w:fill="18374B"/>
          </w:tcPr>
          <w:p>
            <w:pPr>
              <w:spacing w:after="0" w:line="245" w:lineRule="auto"/>
            </w:pPr>
            <w:r>
              <w:rPr>
                <w:b/>
                <w:color w:val="FFFFFF"/>
                <w:sz w:val="20"/>
              </w:rPr>
              <w:t>Reviewer / decision</w:t>
            </w:r>
          </w:p>
        </w:tc>
        <w:tc>
          <w:tcPr>
            <w:tcW w:type="dxa" w:w="6106"/>
            <w:shd w:fill="18374B"/>
          </w:tcPr>
          <w:p>
            <w:pPr>
              <w:spacing w:after="0" w:line="245" w:lineRule="auto"/>
            </w:pPr>
            <w:r>
              <w:rPr>
                <w:b/>
                <w:color w:val="FFFFFF"/>
                <w:sz w:val="20"/>
              </w:rPr>
              <w:t>Exact artifact or digest + date / evidence</w:t>
            </w:r>
          </w:p>
        </w:tc>
      </w:tr>
      <w:tr>
        <w:trPr>
          <w:trHeight w:val="821" w:hRule="atLeast"/>
          <w:cantSplit/>
        </w:trPr>
        <w:tc>
          <w:tcPr>
            <w:tcW w:type="dxa" w:w="4320"/>
            <w:vAlign w:val="top"/>
          </w:tcPr>
          <w:p>
            <w:pPr>
              <w:spacing w:after="0" w:line="247" w:lineRule="auto"/>
            </w:pPr>
            <w:r>
              <w:rPr>
                <w:b w:val="0"/>
                <w:color w:val="18374B"/>
                <w:sz w:val="20"/>
              </w:rPr>
              <w:t>Product owner / Part A</w:t>
              <w:br/>
              <w:t>Name and approve / reject / open:</w:t>
            </w:r>
          </w:p>
        </w:tc>
        <w:tc>
          <w:tcPr>
            <w:tcW w:type="dxa" w:w="6106"/>
            <w:vAlign w:val="top"/>
            <w:shd w:fill="F3F7F9"/>
          </w:tcPr>
          <w:p>
            <w:pPr>
              <w:spacing w:after="0" w:line="247" w:lineRule="auto"/>
            </w:pPr>
          </w:p>
        </w:tc>
      </w:tr>
      <w:tr>
        <w:trPr>
          <w:trHeight w:val="821" w:hRule="atLeast"/>
          <w:cantSplit/>
        </w:trPr>
        <w:tc>
          <w:tcPr>
            <w:tcW w:type="dxa" w:w="4320"/>
            <w:vAlign w:val="top"/>
            <w:shd w:fill="FAFCFD"/>
          </w:tcPr>
          <w:p>
            <w:pPr>
              <w:spacing w:after="0" w:line="247" w:lineRule="auto"/>
            </w:pPr>
            <w:r>
              <w:rPr>
                <w:b w:val="0"/>
                <w:color w:val="18374B"/>
                <w:sz w:val="20"/>
              </w:rPr>
              <w:t>Engineering owner / Part B</w:t>
              <w:br/>
              <w:t>Name and approve / reject / open:</w:t>
            </w:r>
          </w:p>
        </w:tc>
        <w:tc>
          <w:tcPr>
            <w:tcW w:type="dxa" w:w="6106"/>
            <w:vAlign w:val="top"/>
            <w:shd w:fill="F3F7F9"/>
          </w:tcPr>
          <w:p>
            <w:pPr>
              <w:spacing w:after="0" w:line="247" w:lineRule="auto"/>
            </w:pPr>
          </w:p>
        </w:tc>
      </w:tr>
      <w:tr>
        <w:trPr>
          <w:trHeight w:val="821" w:hRule="atLeast"/>
          <w:cantSplit/>
        </w:trPr>
        <w:tc>
          <w:tcPr>
            <w:tcW w:type="dxa" w:w="4320"/>
            <w:vAlign w:val="top"/>
          </w:tcPr>
          <w:p>
            <w:pPr>
              <w:spacing w:after="0" w:line="247" w:lineRule="auto"/>
            </w:pPr>
            <w:r>
              <w:rPr>
                <w:b w:val="0"/>
                <w:color w:val="18374B"/>
                <w:sz w:val="20"/>
              </w:rPr>
              <w:t>Release owner</w:t>
              <w:br/>
              <w:t>Declared level and open items / owners:</w:t>
            </w:r>
          </w:p>
        </w:tc>
        <w:tc>
          <w:tcPr>
            <w:tcW w:type="dxa" w:w="6106"/>
            <w:vAlign w:val="top"/>
            <w:shd w:fill="F3F7F9"/>
          </w:tcPr>
          <w:p>
            <w:pPr>
              <w:spacing w:after="0" w:line="247" w:lineRule="auto"/>
            </w:pPr>
          </w:p>
        </w:tc>
      </w:tr>
    </w:tbl>
    <w:p>
      <w:pPr>
        <w:spacing w:after="0" w:before="0" w:line="40" w:lineRule="exact"/>
      </w:pPr>
      <w:r>
        <w:rPr>
          <w:sz w:val="4"/>
        </w:rPr>
      </w:r>
    </w:p>
    <w:p>
      <w:pPr>
        <w:spacing w:after="80"/>
      </w:pPr>
      <w:r>
        <w:rPr>
          <w:b w:val="0"/>
          <w:color w:val="566775"/>
          <w:sz w:val="18"/>
        </w:rPr>
        <w:t>Sign-off in this document is a workflow record. Cryptographic identity binding requires verification against trusted reviewer keys and the exact approved artifacts; typing a name does not supply it. Filling the worksheet is L0 only; higher levels require deployment evidence.</w:t>
      </w:r>
    </w:p>
    <w:p>
      <w:pPr>
        <w:spacing w:after="80"/>
      </w:pPr>
      <w:r>
        <w:rPr>
          <w:b w:val="0"/>
          <w:color w:val="566775"/>
          <w:sz w:val="18"/>
        </w:rPr>
        <w:t>Basis: the current AAM reference, including the retained L0–L3 checks. No standalone checklist or engineering appendix is needed to complete this form; implementation evidence remains with the code and deployment.</w:t>
      </w:r>
    </w:p>
    <w:sectPr w:rsidR="00FC693F" w:rsidRPr="0006063C" w:rsidSect="00034616">
      <w:headerReference w:type="default" r:id="rId9"/>
      <w:footerReference w:type="default" r:id="rId10"/>
      <w:pgSz w:w="12240" w:h="15840"/>
      <w:pgMar w:top="806" w:right="907" w:bottom="763" w:left="907"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color w:val="566775"/>
        <w:sz w:val="16"/>
      </w:rPr>
      <w:t xml:space="preserve">Authority worksheet  |  condensed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val="0"/>
        <w:color w:val="566775"/>
        <w:sz w:val="16"/>
      </w:rPr>
      <w:t>AGENT ACTION MANIFEST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837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47D8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837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837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Calibri" w:hAnsi="Calibri"/>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dc:title>Agent Action Manifest — Authority and Readiness Worksheet</dc:title>
  <dc:subject>Domain-neutral Agent Action Manifest reader document</dc:subject>
  <dc:creator>Agent Action Manifest contributors</dc:creator>
  <ns0:keywords/>
  <dc:description>Public reference documentation for AAM</dc:description>
  <ns0:lastModifiedBy>Agent Action Manifest contributors</ns0:lastModifiedBy>
  <ns0:revision>1</ns0:revision>
  <ns0:category/>
</ns0:coreProperties>
</file>