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2A4A"/>
          <w:sz w:val="40"/>
        </w:rPr>
        <w:t>Extracted Order Details</w:t>
      </w:r>
    </w:p>
    <w:p/>
    <w:p>
      <w:r>
        <w:rPr>
          <w:b/>
          <w:color w:val="1B2A4A"/>
          <w:sz w:val="32"/>
        </w:rPr>
        <w:t>S.H. ENTERPRISE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Dimension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Spec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Quantity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Unit</w:t>
            </w:r>
          </w:p>
        </w:tc>
        <w:tc>
          <w:tcPr>
            <w:tcW w:type="dxa" w:w="1728"/>
            <w:shd w:val="clear" w:fill="2E6F7E"/>
          </w:tcPr>
          <w:p>
            <w:r/>
            <w:r>
              <w:rPr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5X8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16 গেজ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pc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4X8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16 গেজ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pc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4X8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18 গেজ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30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pc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3X8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18 গেজ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pc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3X6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18 গেজ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pc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3X6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20 গেজ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pc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19 FT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18 গেজ প্রোফাইল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300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kg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20 FT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18 গেজ প্রোফাইল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300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kg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21 FT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18 গেজ প্রোফাইল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300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kg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19 FT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20 গেজ প্রোফাইল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300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kg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17 FT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20 গেজ প্রোফাইল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300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kg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16 FT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20 গেজ প্রোফাইল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300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kg</w:t>
            </w:r>
          </w:p>
        </w:tc>
        <w:tc>
          <w:tcPr>
            <w:tcW w:type="dxa" w:w="1728"/>
            <w:shd w:val="clear" w:fill="FFFFFF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  <w:tr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15 FT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20 গেজ প্রোফাইল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300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kg</w:t>
            </w:r>
          </w:p>
        </w:tc>
        <w:tc>
          <w:tcPr>
            <w:tcW w:type="dxa" w:w="1728"/>
            <w:shd w:val="clear" w:fill="F4F6F8"/>
          </w:tcPr>
          <w:p>
            <w:r/>
            <w:r>
              <w:rPr>
                <w:b w:val="0"/>
                <w:color w:val="1A1A1A"/>
                <w:sz w:val="21"/>
              </w:rP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