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E17"/>
          <w:sz w:val="48"/>
        </w:rPr>
        <w:br/>
        <w:br/>
        <w:br/>
        <w:br/>
        <w:t>CYBERDEEP SYSTEM SPECIFICATIONS &amp; FORENSIC INTELLIGENCE PLATFORM</w:t>
      </w:r>
    </w:p>
    <w:p>
      <w:pPr>
        <w:jc w:val="center"/>
      </w:pPr>
      <w:r>
        <w:rPr>
          <w:i/>
          <w:color w:val="646464"/>
          <w:sz w:val="24"/>
        </w:rPr>
        <w:t>Comprehensive Technical Specifications, Architectural Breakdown, Tool-by-Tool Forensics, and Bug Post-Mortems</w:t>
      </w:r>
    </w:p>
    <w:p>
      <w:pPr>
        <w:jc w:val="center"/>
      </w:pPr>
      <w:r>
        <w:rPr>
          <w:color w:val="787878"/>
          <w:sz w:val="20"/>
        </w:rPr>
        <w:br/>
        <w:br/>
        <w:br/>
        <w:br/>
        <w:br/>
        <w:br/>
        <w:br/>
        <w:br/>
        <w:t>Prepared for: Law Enforcement &amp; Digital Forensics Unit</w:t>
        <w:br/>
        <w:t>System Version: 1.1.0 (Enterprise)</w:t>
        <w:br/>
        <w:t>Generated: July 2026</w:t>
      </w:r>
    </w:p>
    <w:p>
      <w:r>
        <w:br w:type="page"/>
      </w:r>
    </w:p>
    <w:p>
      <w:pPr>
        <w:pStyle w:val="Heading1"/>
        <w:spacing w:before="360" w:after="120"/>
      </w:pPr>
      <w:r>
        <w:rPr>
          <w:rFonts w:ascii="Inter" w:hAnsi="Inter"/>
          <w:color w:val="0A0E17"/>
          <w:sz w:val="36"/>
        </w:rPr>
        <w:t>1. Executive Summary</w:t>
      </w:r>
    </w:p>
    <w:p>
      <w:r>
        <w:t>CyberDeep is a highly optimized, single-page application (SPA) dashboard designed to serve as an operational tool for digital forensic investigators, network intelligence officers, and cybercrime analysts. The application integrates multiple modular sub-systems spanning OSINT domain scans, Indian financial data validators, mobile telecom classifications, active packet capture engines, and deep-dive WebRTC/VoIP peer correlation. By packaging the frontend into a responsive dark-themed dashboard styled with Tailwind CSS, custom glassmorphism panels, and custom fonts, the application delivers visual clarity. The backend is a modular Python FastAPI architecture backed by 11 isolated SQLite database files, ensuring high throughput and disk write safety during intense multi-gigabit captures.</w:t>
      </w:r>
    </w:p>
    <w:p>
      <w:pPr>
        <w:pStyle w:val="Heading1"/>
        <w:spacing w:before="360" w:after="120"/>
      </w:pPr>
      <w:r>
        <w:rPr>
          <w:rFonts w:ascii="Inter" w:hAnsi="Inter"/>
          <w:color w:val="0A0E17"/>
          <w:sz w:val="36"/>
        </w:rPr>
        <w:t>2. System Architecture &amp; Directory Map</w:t>
      </w:r>
    </w:p>
    <w:p>
      <w:r>
        <w:t>The project follows a split structure where the core web dashboard runs in the browser, powered by global controllers, local storage persistence, and CDN-linked resources, while the network analysis and active OSINT tools communicate via REST APIs and WebSockets to a FastAPI backend server. The file hierarchy is mapped below:</w:t>
      </w:r>
    </w:p>
    <w:tbl>
      <w:tblPr>
        <w:tblW w:type="auto" w:w="0"/>
        <w:jc w:val="center"/>
        <w:tblLook w:firstColumn="1" w:firstRow="1" w:lastColumn="0" w:lastRow="0" w:noHBand="0" w:noVBand="1" w:val="04A0"/>
      </w:tblPr>
      <w:tblGrid>
        <w:gridCol w:w="4680"/>
        <w:gridCol w:w="4680"/>
      </w:tblGrid>
      <w:tr>
        <w:tc>
          <w:tcPr>
            <w:tcW w:type="dxa" w:w="4680"/>
            <w:shd w:fill="0A0E17"/>
            <w:tcMar>
              <w:top w:w="100" w:type="dxa"/>
              <w:bottom w:w="100" w:type="dxa"/>
              <w:left w:w="150" w:type="dxa"/>
              <w:right w:w="150" w:type="dxa"/>
            </w:tcMar>
          </w:tcPr>
          <w:p>
            <w:r>
              <w:rPr>
                <w:b/>
                <w:color w:val="FFFFFF"/>
              </w:rPr>
              <w:t>Path / Directory</w:t>
            </w:r>
          </w:p>
        </w:tc>
        <w:tc>
          <w:tcPr>
            <w:tcW w:type="dxa" w:w="4680"/>
            <w:shd w:fill="0A0E17"/>
            <w:tcMar>
              <w:top w:w="100" w:type="dxa"/>
              <w:bottom w:w="100" w:type="dxa"/>
              <w:left w:w="150" w:type="dxa"/>
              <w:right w:w="150" w:type="dxa"/>
            </w:tcMar>
          </w:tcPr>
          <w:p>
            <w:r>
              <w:rPr>
                <w:b/>
                <w:color w:val="FFFFFF"/>
              </w:rPr>
              <w:t>Architectural Purpose</w:t>
            </w:r>
          </w:p>
        </w:tc>
      </w:tr>
      <w:tr>
        <w:tc>
          <w:tcPr>
            <w:tcW w:type="dxa" w:w="4680"/>
            <w:tcMar>
              <w:top w:w="100" w:type="dxa"/>
              <w:bottom w:w="100" w:type="dxa"/>
              <w:left w:w="150" w:type="dxa"/>
              <w:right w:w="150" w:type="dxa"/>
            </w:tcMar>
          </w:tcPr>
          <w:p>
            <w:r>
              <w:t>index.html / style.css</w:t>
            </w:r>
          </w:p>
        </w:tc>
        <w:tc>
          <w:tcPr>
            <w:tcW w:type="dxa" w:w="4680"/>
            <w:tcMar>
              <w:top w:w="100" w:type="dxa"/>
              <w:bottom w:w="100" w:type="dxa"/>
              <w:left w:w="150" w:type="dxa"/>
              <w:right w:w="150" w:type="dxa"/>
            </w:tcMar>
          </w:tcPr>
          <w:p>
            <w:r>
              <w:t>Main dashboard SPA layout and custom dark-theme/glassmorphism design system styles.</w:t>
            </w:r>
          </w:p>
        </w:tc>
      </w:tr>
      <w:tr>
        <w:tc>
          <w:tcPr>
            <w:tcW w:type="dxa" w:w="4680"/>
            <w:tcMar>
              <w:top w:w="100" w:type="dxa"/>
              <w:bottom w:w="100" w:type="dxa"/>
              <w:left w:w="150" w:type="dxa"/>
              <w:right w:w="150" w:type="dxa"/>
            </w:tcMar>
          </w:tcPr>
          <w:p>
            <w:r>
              <w:t>app.js / static/js/app.js</w:t>
            </w:r>
          </w:p>
        </w:tc>
        <w:tc>
          <w:tcPr>
            <w:tcW w:type="dxa" w:w="4680"/>
            <w:tcMar>
              <w:top w:w="100" w:type="dxa"/>
              <w:bottom w:w="100" w:type="dxa"/>
              <w:left w:w="150" w:type="dxa"/>
              <w:right w:w="150" w:type="dxa"/>
            </w:tcMar>
          </w:tcPr>
          <w:p>
            <w:r>
              <w:t>Main browser controller, registry of the 8 tools, templates, and standalone workspace JavaScript.</w:t>
            </w:r>
          </w:p>
        </w:tc>
      </w:tr>
      <w:tr>
        <w:tc>
          <w:tcPr>
            <w:tcW w:type="dxa" w:w="4680"/>
            <w:tcMar>
              <w:top w:w="100" w:type="dxa"/>
              <w:bottom w:w="100" w:type="dxa"/>
              <w:left w:w="150" w:type="dxa"/>
              <w:right w:w="150" w:type="dxa"/>
            </w:tcMar>
          </w:tcPr>
          <w:p>
            <w:r>
              <w:t>app/main.py</w:t>
            </w:r>
          </w:p>
        </w:tc>
        <w:tc>
          <w:tcPr>
            <w:tcW w:type="dxa" w:w="4680"/>
            <w:tcMar>
              <w:top w:w="100" w:type="dxa"/>
              <w:bottom w:w="100" w:type="dxa"/>
              <w:left w:w="150" w:type="dxa"/>
              <w:right w:w="150" w:type="dxa"/>
            </w:tcMar>
          </w:tcPr>
          <w:p>
            <w:r>
              <w:t>FastAPI entry point, defining all REST routes, WebSocket connections, server lifecycle, and file system mounts.</w:t>
            </w:r>
          </w:p>
        </w:tc>
      </w:tr>
      <w:tr>
        <w:tc>
          <w:tcPr>
            <w:tcW w:type="dxa" w:w="4680"/>
            <w:tcMar>
              <w:top w:w="100" w:type="dxa"/>
              <w:bottom w:w="100" w:type="dxa"/>
              <w:left w:w="150" w:type="dxa"/>
              <w:right w:w="150" w:type="dxa"/>
            </w:tcMar>
          </w:tcPr>
          <w:p>
            <w:r>
              <w:t>app/core/capture_manager.py</w:t>
            </w:r>
          </w:p>
        </w:tc>
        <w:tc>
          <w:tcPr>
            <w:tcW w:type="dxa" w:w="4680"/>
            <w:tcMar>
              <w:top w:w="100" w:type="dxa"/>
              <w:bottom w:w="100" w:type="dxa"/>
              <w:left w:w="150" w:type="dxa"/>
              <w:right w:w="150" w:type="dxa"/>
            </w:tcMar>
          </w:tcPr>
          <w:p>
            <w:r>
              <w:t>Active wiretap/sniffing manager using Scapy AsyncSniffer, enforcing memory caps and prioritize filters.</w:t>
            </w:r>
          </w:p>
        </w:tc>
      </w:tr>
      <w:tr>
        <w:tc>
          <w:tcPr>
            <w:tcW w:type="dxa" w:w="4680"/>
            <w:tcMar>
              <w:top w:w="100" w:type="dxa"/>
              <w:bottom w:w="100" w:type="dxa"/>
              <w:left w:w="150" w:type="dxa"/>
              <w:right w:w="150" w:type="dxa"/>
            </w:tcMar>
          </w:tcPr>
          <w:p>
            <w:r>
              <w:t>app/protocols/</w:t>
            </w:r>
          </w:p>
        </w:tc>
        <w:tc>
          <w:tcPr>
            <w:tcW w:type="dxa" w:w="4680"/>
            <w:tcMar>
              <w:top w:w="100" w:type="dxa"/>
              <w:bottom w:w="100" w:type="dxa"/>
              <w:left w:w="150" w:type="dxa"/>
              <w:right w:w="150" w:type="dxa"/>
            </w:tcMar>
          </w:tcPr>
          <w:p>
            <w:r>
              <w:t>Decoders for network and VoIP streams: STUN (stun.py), TURN (turn.py), SIP (sip.py), RTP (rtp.py), and ICE (ice.py).</w:t>
            </w:r>
          </w:p>
        </w:tc>
      </w:tr>
      <w:tr>
        <w:tc>
          <w:tcPr>
            <w:tcW w:type="dxa" w:w="4680"/>
            <w:tcMar>
              <w:top w:w="100" w:type="dxa"/>
              <w:bottom w:w="100" w:type="dxa"/>
              <w:left w:w="150" w:type="dxa"/>
              <w:right w:w="150" w:type="dxa"/>
            </w:tcMar>
          </w:tcPr>
          <w:p>
            <w:r>
              <w:t>app/subdomain_scanner.py</w:t>
            </w:r>
          </w:p>
        </w:tc>
        <w:tc>
          <w:tcPr>
            <w:tcW w:type="dxa" w:w="4680"/>
            <w:tcMar>
              <w:top w:w="100" w:type="dxa"/>
              <w:bottom w:w="100" w:type="dxa"/>
              <w:left w:w="150" w:type="dxa"/>
              <w:right w:w="150" w:type="dxa"/>
            </w:tcMar>
          </w:tcPr>
          <w:p>
            <w:r>
              <w:t>Async OSINT subdomain discovery engine running Sublist3r and doing multi-threaded DNS resolution.</w:t>
            </w:r>
          </w:p>
        </w:tc>
      </w:tr>
      <w:tr>
        <w:tc>
          <w:tcPr>
            <w:tcW w:type="dxa" w:w="4680"/>
            <w:tcMar>
              <w:top w:w="100" w:type="dxa"/>
              <w:bottom w:w="100" w:type="dxa"/>
              <w:left w:w="150" w:type="dxa"/>
              <w:right w:w="150" w:type="dxa"/>
            </w:tcMar>
          </w:tcPr>
          <w:p>
            <w:r>
              <w:t>app/enrichment/</w:t>
            </w:r>
          </w:p>
        </w:tc>
        <w:tc>
          <w:tcPr>
            <w:tcW w:type="dxa" w:w="4680"/>
            <w:tcMar>
              <w:top w:w="100" w:type="dxa"/>
              <w:bottom w:w="100" w:type="dxa"/>
              <w:left w:w="150" w:type="dxa"/>
              <w:right w:w="150" w:type="dxa"/>
            </w:tcMar>
          </w:tcPr>
          <w:p>
            <w:r>
              <w:t>Pipeline orchestrating GeoIP concurrently across 5 APIs in parallel (online.py) and telecom subnet mapping.</w:t>
            </w:r>
          </w:p>
        </w:tc>
      </w:tr>
      <w:tr>
        <w:tc>
          <w:tcPr>
            <w:tcW w:type="dxa" w:w="4680"/>
            <w:tcMar>
              <w:top w:w="100" w:type="dxa"/>
              <w:bottom w:w="100" w:type="dxa"/>
              <w:left w:w="150" w:type="dxa"/>
              <w:right w:w="150" w:type="dxa"/>
            </w:tcMar>
          </w:tcPr>
          <w:p>
            <w:r>
              <w:t>app/analysis/</w:t>
            </w:r>
          </w:p>
        </w:tc>
        <w:tc>
          <w:tcPr>
            <w:tcW w:type="dxa" w:w="4680"/>
            <w:tcMar>
              <w:top w:w="100" w:type="dxa"/>
              <w:bottom w:w="100" w:type="dxa"/>
              <w:left w:w="150" w:type="dxa"/>
              <w:right w:w="150" w:type="dxa"/>
            </w:tcMar>
          </w:tcPr>
          <w:p>
            <w:r>
              <w:t>Forensic analyzers: traffic.py (summary statistics, anomalies) and attribution.py (IP session builders).</w:t>
            </w:r>
          </w:p>
        </w:tc>
      </w:tr>
      <w:tr>
        <w:tc>
          <w:tcPr>
            <w:tcW w:type="dxa" w:w="4680"/>
            <w:tcMar>
              <w:top w:w="100" w:type="dxa"/>
              <w:bottom w:w="100" w:type="dxa"/>
              <w:left w:w="150" w:type="dxa"/>
              <w:right w:w="150" w:type="dxa"/>
            </w:tcMar>
          </w:tcPr>
          <w:p>
            <w:r>
              <w:t>app/storage/database.py</w:t>
            </w:r>
          </w:p>
        </w:tc>
        <w:tc>
          <w:tcPr>
            <w:tcW w:type="dxa" w:w="4680"/>
            <w:tcMar>
              <w:top w:w="100" w:type="dxa"/>
              <w:bottom w:w="100" w:type="dxa"/>
              <w:left w:w="150" w:type="dxa"/>
              <w:right w:w="150" w:type="dxa"/>
            </w:tcMar>
          </w:tcPr>
          <w:p>
            <w:r>
              <w:t>Database router mapping tables to 11 independent SQLite databases to prevent locking and overhead.</w:t>
            </w:r>
          </w:p>
        </w:tc>
      </w:tr>
      <w:tr>
        <w:tc>
          <w:tcPr>
            <w:tcW w:type="dxa" w:w="4680"/>
            <w:tcMar>
              <w:top w:w="100" w:type="dxa"/>
              <w:bottom w:w="100" w:type="dxa"/>
              <w:left w:w="150" w:type="dxa"/>
              <w:right w:w="150" w:type="dxa"/>
            </w:tcMar>
          </w:tcPr>
          <w:p>
            <w:r>
              <w:t>police_station_finder/</w:t>
            </w:r>
          </w:p>
        </w:tc>
        <w:tc>
          <w:tcPr>
            <w:tcW w:type="dxa" w:w="4680"/>
            <w:tcMar>
              <w:top w:w="100" w:type="dxa"/>
              <w:bottom w:w="100" w:type="dxa"/>
              <w:left w:w="150" w:type="dxa"/>
              <w:right w:w="150" w:type="dxa"/>
            </w:tcMar>
          </w:tcPr>
          <w:p>
            <w:r>
              <w:t>Offline search tool containing custom canvas graphics, Google Maps marker overlays, and Haversine algorithms.</w:t>
            </w:r>
          </w:p>
        </w:tc>
      </w:tr>
    </w:tbl>
    <w:p>
      <w:r>
        <w:br w:type="page"/>
      </w:r>
    </w:p>
    <w:p>
      <w:pPr>
        <w:pStyle w:val="Heading1"/>
        <w:spacing w:before="360" w:after="120"/>
      </w:pPr>
      <w:r>
        <w:rPr>
          <w:rFonts w:ascii="Inter" w:hAnsi="Inter"/>
          <w:color w:val="0A0E17"/>
          <w:sz w:val="36"/>
        </w:rPr>
        <w:t>3. Forensic WireStream Live Capture Tool</w:t>
      </w:r>
    </w:p>
    <w:p>
      <w:r>
        <w:t>The Live Capture Tool is a core infrastructure module defined in app/core/capture_manager.py. Unlike conventional static analyzers that only read pre-recorded trace files, the Live Capture Tool connects directly to the server's network interfaces to collect, filter, analyze, and broadcast active IP traffic in real-time.</w:t>
      </w:r>
    </w:p>
    <w:p>
      <w:pPr>
        <w:pStyle w:val="Heading2"/>
        <w:spacing w:before="280" w:after="80"/>
      </w:pPr>
      <w:r>
        <w:rPr>
          <w:rFonts w:ascii="Inter" w:hAnsi="Inter"/>
          <w:color w:val="00B4DC"/>
          <w:sz w:val="26"/>
        </w:rPr>
        <w:t>Capture Mechanism &amp; Sniffing Core</w:t>
      </w:r>
    </w:p>
    <w:p>
      <w:r>
        <w:t>The tool queries available network cards via Scapy's native configuration engine (conf.ifaces). It maps interface names, descriptions, MAC addresses, and active IP addresses, sorting active cards to the top of the interface selection list so the investigator doesn't pick an idle loopback. The active sniffer utilizes Scapy's AsyncSniffer running in a dedicated background thread. This allows the FastAPI server to remain fully responsive to API requests and WebSocket connections while packets are being processed in real-time.</w:t>
      </w:r>
    </w:p>
    <w:p>
      <w:r>
        <w:t>To ensure high packet capture rates, the AsyncSniffer runs with a default Berkeley Packet Filter (BPF) tailored for forensics: 'udp or (tcp and (port 5060 or port 5061 or port 443 or port 53 or port 5353 or port 3478))'. This limits the traffic captured to DNS queries, secure HTTPS headers, SIP signaling, STUN/TURN bindings, and RTP stream payloads. BPF expressions are checked and compiled before execution using Scapy's compile_filter to verify syntax safety.</w:t>
      </w:r>
    </w:p>
    <w:p>
      <w:pPr>
        <w:pStyle w:val="Heading2"/>
        <w:spacing w:before="280" w:after="80"/>
      </w:pPr>
      <w:r>
        <w:rPr>
          <w:rFonts w:ascii="Inter" w:hAnsi="Inter"/>
          <w:color w:val="00B4DC"/>
          <w:sz w:val="26"/>
        </w:rPr>
        <w:t>Backpressure &amp; VoIP Prioritization</w:t>
      </w:r>
    </w:p>
    <w:p>
      <w:r>
        <w:t>During periods of extreme traffic spikes, the main processing thread might block, causing buffer overflows in the kernel. To solve this, a custom backpressure mechanism is built into packet_callback. The sniffer evaluates the bridge queue depth (backpressure ratio). If the queue depth ratio exceeds 90% (representing potential memory exhaustion), the sniffer dynamically discards non-VoIP packets. It checks ports for SIP (5060, 5061), STUN/TURN (3478, 3479, 5349), or RTP payload ranges (10000 to 20000). VoIP packets are prioritized and the sniffer thread sleeps for 10ms to absorb bursts, while general HTTPS and DNS traffic is dropped. This guarantees zero packet loss for active suspect communication.</w:t>
      </w:r>
    </w:p>
    <w:p>
      <w:pPr>
        <w:pStyle w:val="Heading2"/>
        <w:spacing w:before="280" w:after="80"/>
      </w:pPr>
      <w:r>
        <w:rPr>
          <w:rFonts w:ascii="Inter" w:hAnsi="Inter"/>
          <w:color w:val="00B4DC"/>
          <w:sz w:val="26"/>
        </w:rPr>
        <w:t>Memory Cap &amp; Rolling Ring Buffer</w:t>
      </w:r>
    </w:p>
    <w:p>
      <w:r>
        <w:t>To protect the server's RAM from leaking over long capture periods, the manager stores captured packets in an in-memory collections.deque ring buffer capped at 256 megabytes (268,435,456 bytes). Every packet parsed has its estimated memory footprint computed (packet length + 500 bytes overhead). When the aggregate byte size of the deque exceeds the cap, old packets are popped from the left, freeing memory while the active write stream continues writing to the persistent disk writer (PcapWriter).</w:t>
      </w:r>
    </w:p>
    <w:p>
      <w:pPr>
        <w:pStyle w:val="Heading2"/>
        <w:spacing w:before="280" w:after="80"/>
      </w:pPr>
      <w:r>
        <w:rPr>
          <w:rFonts w:ascii="Inter" w:hAnsi="Inter"/>
          <w:color w:val="00B4DC"/>
          <w:sz w:val="26"/>
        </w:rPr>
        <w:t>Simulated Traffic Generation Mode</w:t>
      </w:r>
    </w:p>
    <w:p>
      <w:r>
        <w:t>For testing and deployment environments where active traffic isn't present, a run_simulation task executes in an async loop. It simulates realistic network traffic, including:</w:t>
        <w:br/>
        <w:t>1. DNS Queries: Queries to 8.8.8.8 for popular domains like google.com, github.com, or malicious-c2-beacon.net.</w:t>
        <w:br/>
        <w:t>2. PII Data Leaks: Raw HTTP POST requests on port 80 exposing plaintext credentials (username=admin&amp;password=SuperSecretPassword123!).</w:t>
        <w:br/>
        <w:t>3. C2 Beaconing: Regular TCP handshakes (flags='S') to C2 IPs on port 443.</w:t>
        <w:br/>
        <w:t>4. VoIP Loop Simulation: A state-machine loop that goes INVITE -&gt; 180 Ringing -&gt; 200 OK -&gt; ACK -&gt; 30 sequential RTP packets -&gt; BYE.</w:t>
        <w:br/>
        <w:t>5. TLS Handshakes: Standard Client Hello packet formats.</w:t>
      </w:r>
    </w:p>
    <w:p>
      <w:r>
        <w:br w:type="page"/>
      </w:r>
    </w:p>
    <w:p>
      <w:pPr>
        <w:pStyle w:val="Heading1"/>
        <w:spacing w:before="360" w:after="120"/>
      </w:pPr>
      <w:r>
        <w:rPr>
          <w:rFonts w:ascii="Inter" w:hAnsi="Inter"/>
          <w:color w:val="0A0E17"/>
          <w:sz w:val="36"/>
        </w:rPr>
        <w:t>4. Technical Specifications of the 8 Tools</w:t>
      </w:r>
    </w:p>
    <w:p>
      <w:pPr>
        <w:pStyle w:val="Heading2"/>
        <w:spacing w:before="280" w:after="80"/>
      </w:pPr>
      <w:r>
        <w:rPr>
          <w:rFonts w:ascii="Inter" w:hAnsi="Inter"/>
          <w:color w:val="00B4DC"/>
          <w:sz w:val="26"/>
        </w:rPr>
        <w:t>Tool 1: IFSC Code Finder (Financial)</w:t>
      </w:r>
    </w:p>
    <w:p>
      <w:r>
        <w:t>The IFSC Lookup tool validates Indian Financial System Codes (11-character alphanumeric strings assigned by the RBI). The user inputs an IFSC code, which is capitalized and validated for length. The script makes a fetch request to the public API https://ifsc.razorpay.com/{ifsc_code}. If the lookup succeeds, it displays detailed branch metadata, specifically:</w:t>
        <w:br/>
        <w:t>• BANK: Legal bank name.</w:t>
        <w:br/>
        <w:t>• BRANCH &amp; ADDRESS: physical location and contact detail.</w:t>
        <w:br/>
        <w:t>• DISTRICT, CITY, &amp; STATE: Geographical location.</w:t>
        <w:br/>
        <w:t>• NEFT / RTGS: Flags indicating support for electronic payment systems.</w:t>
        <w:br/>
        <w:t>• SWIFT &amp; MICR Codes: Standard routing parameters.</w:t>
        <w:br/>
        <w:t>Results are displayed in a clean, scrollable key-value table on the dashboard.</w:t>
      </w:r>
    </w:p>
    <w:p>
      <w:pPr>
        <w:pStyle w:val="Heading2"/>
        <w:spacing w:before="280" w:after="80"/>
      </w:pPr>
      <w:r>
        <w:rPr>
          <w:rFonts w:ascii="Inter" w:hAnsi="Inter"/>
          <w:color w:val="00B4DC"/>
          <w:sz w:val="26"/>
        </w:rPr>
        <w:t>Tool 2: Police Station Finder (Law Enforcement)</w:t>
      </w:r>
    </w:p>
    <w:p>
      <w:r>
        <w:t>Designed to assist field officers in locating their closest tactical support. It reads a locally cached police station directory CSV. The app supports two maps: a standard Leaflet.js map utilizing open-source OpenStreetMap layers, and a Google Maps API map utilizing custom API keys. When coordinates are obtained via the browser's Geolocation API or manually input, the tool executes a client-side Haversine formula: d = 2 * r * arcsin(sqrt(sin^2(dLat/2) + cos(lat1)*cos(lat2)*sin^2(dLon/2))). It calculates distances to all police stations in the dataset and sorts them in ascending order. The map displays marker pins showing station detail dialogs, driving direction links, and emergency phone numbers.</w:t>
      </w:r>
    </w:p>
    <w:p>
      <w:pPr>
        <w:pStyle w:val="Heading2"/>
        <w:spacing w:before="280" w:after="80"/>
      </w:pPr>
      <w:r>
        <w:rPr>
          <w:rFonts w:ascii="Inter" w:hAnsi="Inter"/>
          <w:color w:val="00B4DC"/>
          <w:sz w:val="26"/>
        </w:rPr>
        <w:t>Tool 3: NCRP Intelligence Graph Analyzer (Law Enforcement)</w:t>
      </w:r>
    </w:p>
    <w:p>
      <w:r>
        <w:t>A client-side graph analytics platform designed to uncover fraud syndicates. Users upload CSV reports exported from the National Cyber Crime Reporting Portal containing fields: complaint_id, phone, bank_account, ip_address, email, upi_id, and imei.</w:t>
      </w:r>
    </w:p>
    <w:p>
      <w:r>
        <w:t>• Graph Construction: Nodes are created for each unique complaint and shared identifier. Edges are created when an identifier is associated with a complaint.</w:t>
        <w:br/>
        <w:t>• Connected Components: The tool runs a Breadth-First Search (BFS) to group connected complaints. A component with &gt;=3 nodes is classified as a Fraud Ring.</w:t>
        <w:br/>
        <w:t>• Degree Centrality: Computes degree centrality as C_D(v) = deg(v) / (N-1), highlighting hub identifiers (e.g. a bank account shared by 20 cases).</w:t>
        <w:br/>
        <w:t>• Shortest Path Trace: A BFS trace identifies links between suspects (e.g. suspect A -&gt; phone B -&gt; case C -&gt; account D -&gt; suspect E).</w:t>
        <w:br/>
        <w:t>• Canvas Force-Directed Layout: Nodes are mapped using an active spring-embedder simulation, applying Coulomb's repulsion forces and Hooke's spring attraction forces to position nodes dynamically.</w:t>
      </w:r>
    </w:p>
    <w:p>
      <w:pPr>
        <w:pStyle w:val="Heading2"/>
        <w:spacing w:before="280" w:after="80"/>
      </w:pPr>
      <w:r>
        <w:rPr>
          <w:rFonts w:ascii="Inter" w:hAnsi="Inter"/>
          <w:color w:val="00B4DC"/>
          <w:sz w:val="26"/>
        </w:rPr>
        <w:t>Tool 4: MCC/MBS Telecom Operator Lookup (Telecom)</w:t>
      </w:r>
    </w:p>
    <w:p>
      <w:r>
        <w:t>Matches MCC (Mobile Country Code) and MNC (Mobile Network Code) to identify telecom operators and service areas. The tool parses the database mapping from mcc_data.js. It operates in four modes: searching by 4-digit code, searching by company keyword, category browsing, and risk-tier grouping. It extracts information like the operator's brand, regulatory license details, and risk categories.</w:t>
      </w:r>
    </w:p>
    <w:p>
      <w:pPr>
        <w:pStyle w:val="Heading2"/>
        <w:spacing w:before="280" w:after="80"/>
      </w:pPr>
      <w:r>
        <w:rPr>
          <w:rFonts w:ascii="Inter" w:hAnsi="Inter"/>
          <w:color w:val="00B4DC"/>
          <w:sz w:val="26"/>
        </w:rPr>
        <w:t>Tool 5: IP Sentinel (Threat Intelligence)</w:t>
      </w:r>
    </w:p>
    <w:p>
      <w:r>
        <w:t>A reputational scanner for IPs, domains, URLs, and file hashes (MD5, SHA-256). It queries 23 YAML-defined threat intelligence feeds in parallel (including Spamhaus, PhishTank, SSL Blacklist, and Tor Exit Nodes). The system aggregates results to calculate a normalized risk score from 0 (Safe) to 100 (Critical) using a weighted scoring model. A local SQLite table (threat_indicators) acts as a high-speed cache, using a CIDR index class (cidr_index.py) to resolve subnet overlaps instantly.</w:t>
      </w:r>
    </w:p>
    <w:p>
      <w:pPr>
        <w:pStyle w:val="Heading2"/>
        <w:spacing w:before="280" w:after="80"/>
      </w:pPr>
      <w:r>
        <w:rPr>
          <w:rFonts w:ascii="Inter" w:hAnsi="Inter"/>
          <w:color w:val="00B4DC"/>
          <w:sz w:val="26"/>
        </w:rPr>
        <w:t>Tool 6: SMS Header Analyzer (Telecom / Forensic)</w:t>
      </w:r>
    </w:p>
    <w:p>
      <w:r>
        <w:t>Decodes SMS sender headers to identify the originating entity, industry, and routing circle. The tool implements a 6-stage fallback matching algorithm:</w:t>
        <w:br/>
        <w:t>1. Exact Match: Matches the uppercase header against 200+ verified entity IDs (e.g., AD-HDFCBK).</w:t>
        <w:br/>
        <w:t>2. DLT Body Extraction: Strips telecom prefixes (e.g. AD- to isolate KOTAKB) to query against registered DLT templates.</w:t>
        <w:br/>
        <w:t>3. Shortcode Lookup: Matches numerical shortcodes against commercial shortcode mappings.</w:t>
        <w:br/>
        <w:t>4. Substring Matching: Scans sender strings for partial keyword overlaps with registered company records.</w:t>
        <w:br/>
        <w:t>5. Levenshtein Distance Fuzzy Match: Computes edit distance. If distance &lt;= 2, it flags closely named brands to identify potential typosquatting or brand spoofing.</w:t>
        <w:br/>
        <w:t>6. Brand Token Detection: Scans headers for common brand acronyms (e.g. 'PAYTM', 'GROWW').</w:t>
        <w:br/>
        <w:t>Telecom circles are resolved from the prefix (e.g., AD -&gt; A = Bharti Airtel, D = Delhi Circle).</w:t>
      </w:r>
    </w:p>
    <w:p>
      <w:pPr>
        <w:pStyle w:val="Heading2"/>
        <w:spacing w:before="280" w:after="80"/>
      </w:pPr>
      <w:r>
        <w:rPr>
          <w:rFonts w:ascii="Inter" w:hAnsi="Inter"/>
          <w:color w:val="00B4DC"/>
          <w:sz w:val="26"/>
        </w:rPr>
        <w:t>Tool 7: IP Intelligence Analyzer (Forensic)</w:t>
      </w:r>
    </w:p>
    <w:p>
      <w:r>
        <w:t>The system's core forensic engine. It processes uploads of PCAP, PCAPNG, Zeek, or JSON logs, parsing packet details via scapy and pyshark. An enrichment pipeline queries GeoIP details from 5 concurrent API endpoints (ipwho.is, freeipapi, ipapi.com, ipapi.co, and ip-api.com) using thread pools with 4-second timeouts. A built-in Nominatim OSM geocoding engine refines city coordinates. The system runs Deep Packet Inspection rules to identify plain-text credentials, credit card numbers, and malware signatures. Results are displayed in a React SPA dashboard, allowing users to drill into network flows, view maps, and download PDF reports.</w:t>
      </w:r>
    </w:p>
    <w:p>
      <w:pPr>
        <w:pStyle w:val="Heading2"/>
        <w:spacing w:before="280" w:after="80"/>
      </w:pPr>
      <w:r>
        <w:rPr>
          <w:rFonts w:ascii="Inter" w:hAnsi="Inter"/>
          <w:color w:val="00B4DC"/>
          <w:sz w:val="26"/>
        </w:rPr>
        <w:t>Tool 8: Subdomain OSINT Scanner (Reconnaissance)</w:t>
      </w:r>
    </w:p>
    <w:p>
      <w:r>
        <w:t>Discovers subdomains of target domains to maps an organization's external attack surface. It wraps the Sublist3r library and executes scans across 10 OSINT search engines:</w:t>
        <w:br/>
        <w:t>• Google &amp; Yahoo: Scrapes search engine query pages using regex parsing.</w:t>
        <w:br/>
        <w:t>• Bing &amp; Ask: Parses search engine query responses.</w:t>
        <w:br/>
        <w:t>• Netcraft: Queries Netcraft's domain index.</w:t>
        <w:br/>
        <w:t>• DNSdumpster: Queries DNSdumpster's search page.</w:t>
        <w:br/>
        <w:t>• VirusTotal &amp; ThreatCrowd: Queries public DNS threat APIs.</w:t>
        <w:br/>
        <w:t>• crt.sh (SSL): Queries public certificate transparency databases for certificate records.</w:t>
        <w:br/>
        <w:t>• PassiveDNS: Queries historic passive DNS registries.</w:t>
      </w:r>
    </w:p>
    <w:p>
      <w:r>
        <w:t>• Concurrent Execution: Engines run concurrently in a ThreadPoolExecutor. Discovered subdomains are added to a thread-safe set to prevent duplicates.</w:t>
        <w:br/>
        <w:t>• Concurrent DNS Resolution: Dispatched to a ThreadPoolExecutor with 20 workers using dnspython. It queries A records (IP addresses) and CNAME records, falling back to socket.getaddrinfo if dnspython is unavailable.</w:t>
        <w:br/>
        <w:t>• Subdomain Classification: Subdomains are categorized based on their prefix (e.g. 'vpn' -&gt; VPN/Remote, 'mail' -&gt; Email, 'dev' -&gt; Development, 'db' -&gt; Database, 'auth' -&gt; Authentication).</w:t>
        <w:br/>
        <w:t>All results are stored in JSON format in the dns.sqlite3 database.</w:t>
      </w:r>
    </w:p>
    <w:p>
      <w:r>
        <w:br w:type="page"/>
      </w:r>
    </w:p>
    <w:p>
      <w:pPr>
        <w:pStyle w:val="Heading1"/>
        <w:spacing w:before="360" w:after="120"/>
      </w:pPr>
      <w:r>
        <w:rPr>
          <w:rFonts w:ascii="Inter" w:hAnsi="Inter"/>
          <w:color w:val="0A0E17"/>
          <w:sz w:val="36"/>
        </w:rPr>
        <w:t>5. Bug Reports &amp; Engineering Resolutions</w:t>
      </w:r>
    </w:p>
    <w:tbl>
      <w:tblPr>
        <w:tblW w:type="auto" w:w="0"/>
        <w:jc w:val="center"/>
        <w:tblLook w:firstColumn="1" w:firstRow="1" w:lastColumn="0" w:lastRow="0" w:noHBand="0" w:noVBand="1" w:val="04A0"/>
      </w:tblPr>
      <w:tblGrid>
        <w:gridCol w:w="3120"/>
        <w:gridCol w:w="3120"/>
        <w:gridCol w:w="3120"/>
      </w:tblGrid>
      <w:tr>
        <w:tc>
          <w:tcPr>
            <w:tcW w:type="dxa" w:w="3120"/>
            <w:shd w:fill="0A0E17"/>
            <w:tcMar>
              <w:top w:w="100" w:type="dxa"/>
              <w:bottom w:w="100" w:type="dxa"/>
              <w:left w:w="150" w:type="dxa"/>
              <w:right w:w="150" w:type="dxa"/>
            </w:tcMar>
          </w:tcPr>
          <w:p>
            <w:r>
              <w:rPr>
                <w:b/>
                <w:color w:val="FFFFFF"/>
              </w:rPr>
              <w:t>Bug Identified</w:t>
            </w:r>
          </w:p>
        </w:tc>
        <w:tc>
          <w:tcPr>
            <w:tcW w:type="dxa" w:w="3120"/>
            <w:shd w:fill="0A0E17"/>
            <w:tcMar>
              <w:top w:w="100" w:type="dxa"/>
              <w:bottom w:w="100" w:type="dxa"/>
              <w:left w:w="150" w:type="dxa"/>
              <w:right w:w="150" w:type="dxa"/>
            </w:tcMar>
          </w:tcPr>
          <w:p>
            <w:r>
              <w:rPr>
                <w:b/>
                <w:color w:val="FFFFFF"/>
              </w:rPr>
              <w:t>Root Cause / Impact</w:t>
            </w:r>
          </w:p>
        </w:tc>
        <w:tc>
          <w:tcPr>
            <w:tcW w:type="dxa" w:w="3120"/>
            <w:shd w:fill="0A0E17"/>
            <w:tcMar>
              <w:top w:w="100" w:type="dxa"/>
              <w:bottom w:w="100" w:type="dxa"/>
              <w:left w:w="150" w:type="dxa"/>
              <w:right w:w="150" w:type="dxa"/>
            </w:tcMar>
          </w:tcPr>
          <w:p>
            <w:r>
              <w:rPr>
                <w:b/>
                <w:color w:val="FFFFFF"/>
              </w:rPr>
              <w:t>Resolution Implemented</w:t>
            </w:r>
          </w:p>
        </w:tc>
      </w:tr>
      <w:tr>
        <w:tc>
          <w:tcPr>
            <w:tcW w:type="dxa" w:w="3120"/>
            <w:tcMar>
              <w:top w:w="100" w:type="dxa"/>
              <w:bottom w:w="100" w:type="dxa"/>
              <w:left w:w="150" w:type="dxa"/>
              <w:right w:w="150" w:type="dxa"/>
            </w:tcMar>
          </w:tcPr>
          <w:p>
            <w:r>
              <w:t>VoIP Jitter Mismatch</w:t>
            </w:r>
          </w:p>
        </w:tc>
        <w:tc>
          <w:tcPr>
            <w:tcW w:type="dxa" w:w="3120"/>
            <w:tcMar>
              <w:top w:w="100" w:type="dxa"/>
              <w:bottom w:w="100" w:type="dxa"/>
              <w:left w:w="150" w:type="dxa"/>
              <w:right w:w="150" w:type="dxa"/>
            </w:tcMar>
          </w:tcPr>
          <w:p>
            <w:r>
              <w:t>Scapy packet timestamps on Windows lacked high-precision float accuracy, causing calculated jitter values to show massive spikes.</w:t>
            </w:r>
          </w:p>
        </w:tc>
        <w:tc>
          <w:tcPr>
            <w:tcW w:type="dxa" w:w="3120"/>
            <w:tcMar>
              <w:top w:w="100" w:type="dxa"/>
              <w:bottom w:w="100" w:type="dxa"/>
              <w:left w:w="150" w:type="dxa"/>
              <w:right w:w="150" w:type="dxa"/>
            </w:tcMar>
          </w:tcPr>
          <w:p>
            <w:r>
              <w:t>Implemented Python's math.modf to separate fractional seconds, normalizing timestamps into microsecond integer offsets, and recalculated jitter relative to the codec clock rate (e.g., 8000 Hz for G.711).</w:t>
            </w:r>
          </w:p>
        </w:tc>
      </w:tr>
      <w:tr>
        <w:tc>
          <w:tcPr>
            <w:tcW w:type="dxa" w:w="3120"/>
            <w:tcMar>
              <w:top w:w="100" w:type="dxa"/>
              <w:bottom w:w="100" w:type="dxa"/>
              <w:left w:w="150" w:type="dxa"/>
              <w:right w:w="150" w:type="dxa"/>
            </w:tcMar>
          </w:tcPr>
          <w:p>
            <w:r>
              <w:t>GeoIP Lookup Pool Deadlocks</w:t>
            </w:r>
          </w:p>
        </w:tc>
        <w:tc>
          <w:tcPr>
            <w:tcW w:type="dxa" w:w="3120"/>
            <w:tcMar>
              <w:top w:w="100" w:type="dxa"/>
              <w:bottom w:w="100" w:type="dxa"/>
              <w:left w:w="150" w:type="dxa"/>
              <w:right w:w="150" w:type="dxa"/>
            </w:tcMar>
          </w:tcPr>
          <w:p>
            <w:r>
              <w:t>Hitting 5 concurrent HTTP GeoIP API endpoints using async HTTPX sessions would occasionally block due to TCP connection pool limits.</w:t>
            </w:r>
          </w:p>
        </w:tc>
        <w:tc>
          <w:tcPr>
            <w:tcW w:type="dxa" w:w="3120"/>
            <w:tcMar>
              <w:top w:w="100" w:type="dxa"/>
              <w:bottom w:w="100" w:type="dxa"/>
              <w:left w:w="150" w:type="dxa"/>
              <w:right w:w="150" w:type="dxa"/>
            </w:tcMar>
          </w:tcPr>
          <w:p>
            <w:r>
              <w:t>Replaced the async sessions with a synchronous ThreadPoolExecutor. Each worker uses a distinct request session and has its connection timeout capped at 4.0 seconds.</w:t>
            </w:r>
          </w:p>
        </w:tc>
      </w:tr>
      <w:tr>
        <w:tc>
          <w:tcPr>
            <w:tcW w:type="dxa" w:w="3120"/>
            <w:tcMar>
              <w:top w:w="100" w:type="dxa"/>
              <w:bottom w:w="100" w:type="dxa"/>
              <w:left w:w="150" w:type="dxa"/>
              <w:right w:w="150" w:type="dxa"/>
            </w:tcMar>
          </w:tcPr>
          <w:p>
            <w:r>
              <w:t>Sublist3r DNS Timeout</w:t>
            </w:r>
          </w:p>
        </w:tc>
        <w:tc>
          <w:tcPr>
            <w:tcW w:type="dxa" w:w="3120"/>
            <w:tcMar>
              <w:top w:w="100" w:type="dxa"/>
              <w:bottom w:w="100" w:type="dxa"/>
              <w:left w:w="150" w:type="dxa"/>
              <w:right w:w="150" w:type="dxa"/>
            </w:tcMar>
          </w:tcPr>
          <w:p>
            <w:r>
              <w:t>During large domain scans, Sublist3r's default DNS resolver would block the entire background scanning thread when encountering slow DNS servers.</w:t>
            </w:r>
          </w:p>
        </w:tc>
        <w:tc>
          <w:tcPr>
            <w:tcW w:type="dxa" w:w="3120"/>
            <w:tcMar>
              <w:top w:w="100" w:type="dxa"/>
              <w:bottom w:w="100" w:type="dxa"/>
              <w:left w:w="150" w:type="dxa"/>
              <w:right w:w="150" w:type="dxa"/>
            </w:tcMar>
          </w:tcPr>
          <w:p>
            <w:r>
              <w:t>Implemented a custom asynchronous DNS resolver using dnspython. Set a 5-second lifetime limit per query and capped concurrent resolutions to 20 workers via ThreadPoolExecutor.</w:t>
            </w:r>
          </w:p>
        </w:tc>
      </w:tr>
      <w:tr>
        <w:tc>
          <w:tcPr>
            <w:tcW w:type="dxa" w:w="3120"/>
            <w:tcMar>
              <w:top w:w="100" w:type="dxa"/>
              <w:bottom w:w="100" w:type="dxa"/>
              <w:left w:w="150" w:type="dxa"/>
              <w:right w:w="150" w:type="dxa"/>
            </w:tcMar>
          </w:tcPr>
          <w:p>
            <w:r>
              <w:t>CSV Parser Column Misalignment</w:t>
            </w:r>
          </w:p>
        </w:tc>
        <w:tc>
          <w:tcPr>
            <w:tcW w:type="dxa" w:w="3120"/>
            <w:tcMar>
              <w:top w:w="100" w:type="dxa"/>
              <w:bottom w:w="100" w:type="dxa"/>
              <w:left w:w="150" w:type="dxa"/>
              <w:right w:w="150" w:type="dxa"/>
            </w:tcMar>
          </w:tcPr>
          <w:p>
            <w:r>
              <w:t>In the MCC-MBS Lookup, descriptions containing commas (e.g., 'Airlines, Air Carriers') broke standard string split parses, throwing columns out of alignment.</w:t>
            </w:r>
          </w:p>
        </w:tc>
        <w:tc>
          <w:tcPr>
            <w:tcW w:type="dxa" w:w="3120"/>
            <w:tcMar>
              <w:top w:w="100" w:type="dxa"/>
              <w:bottom w:w="100" w:type="dxa"/>
              <w:left w:w="150" w:type="dxa"/>
              <w:right w:w="150" w:type="dxa"/>
            </w:tcMar>
          </w:tcPr>
          <w:p>
            <w:r>
              <w:t>Implemented a character-by-character CSV state machine in JavaScript that tracks quoting states, ensuring commas inside quotation marks do not split columns.</w:t>
            </w:r>
          </w:p>
        </w:tc>
      </w:tr>
      <w:tr>
        <w:tc>
          <w:tcPr>
            <w:tcW w:type="dxa" w:w="3120"/>
            <w:tcMar>
              <w:top w:w="100" w:type="dxa"/>
              <w:bottom w:w="100" w:type="dxa"/>
              <w:left w:w="150" w:type="dxa"/>
              <w:right w:w="150" w:type="dxa"/>
            </w:tcMar>
          </w:tcPr>
          <w:p>
            <w:r>
              <w:t>Live Capture Promiscuous Mode Failure</w:t>
            </w:r>
          </w:p>
        </w:tc>
        <w:tc>
          <w:tcPr>
            <w:tcW w:type="dxa" w:w="3120"/>
            <w:tcMar>
              <w:top w:w="100" w:type="dxa"/>
              <w:bottom w:w="100" w:type="dxa"/>
              <w:left w:w="150" w:type="dxa"/>
              <w:right w:w="150" w:type="dxa"/>
            </w:tcMar>
          </w:tcPr>
          <w:p>
            <w:r>
              <w:t>On Windows devices running active capture sessions over Wi-Fi, Scapy's AsyncSniffer failed silently during initialization because promiscuous mode is unsupported on standard Windows Wi-Fi drivers.</w:t>
            </w:r>
          </w:p>
        </w:tc>
        <w:tc>
          <w:tcPr>
            <w:tcW w:type="dxa" w:w="3120"/>
            <w:tcMar>
              <w:top w:w="100" w:type="dxa"/>
              <w:bottom w:w="100" w:type="dxa"/>
              <w:left w:w="150" w:type="dxa"/>
              <w:right w:w="150" w:type="dxa"/>
            </w:tcMar>
          </w:tcPr>
          <w:p>
            <w:r>
              <w:t>Modified capture_manager.py to explicitly set promisc=False when running on Windows platforms, preventing silent initialization failures.</w:t>
            </w:r>
          </w:p>
        </w:tc>
      </w:tr>
      <w:tr>
        <w:tc>
          <w:tcPr>
            <w:tcW w:type="dxa" w:w="3120"/>
            <w:tcMar>
              <w:top w:w="100" w:type="dxa"/>
              <w:bottom w:w="100" w:type="dxa"/>
              <w:left w:w="150" w:type="dxa"/>
              <w:right w:w="150" w:type="dxa"/>
            </w:tcMar>
          </w:tcPr>
          <w:p>
            <w:r>
              <w:t>Canvas Font Mismatch &amp; Redraws</w:t>
            </w:r>
          </w:p>
        </w:tc>
        <w:tc>
          <w:tcPr>
            <w:tcW w:type="dxa" w:w="3120"/>
            <w:tcMar>
              <w:top w:w="100" w:type="dxa"/>
              <w:bottom w:w="100" w:type="dxa"/>
              <w:left w:w="150" w:type="dxa"/>
              <w:right w:w="150" w:type="dxa"/>
            </w:tcMar>
          </w:tcPr>
          <w:p>
            <w:r>
              <w:t>The Canvas map in the Police Station Finder was rendering blurry label text and defaulting to system fonts, breaking alignment with the Inter font-family.</w:t>
            </w:r>
          </w:p>
        </w:tc>
        <w:tc>
          <w:tcPr>
            <w:tcW w:type="dxa" w:w="3120"/>
            <w:tcMar>
              <w:top w:w="100" w:type="dxa"/>
              <w:bottom w:w="100" w:type="dxa"/>
              <w:left w:w="150" w:type="dxa"/>
              <w:right w:w="150" w:type="dxa"/>
            </w:tcMar>
          </w:tcPr>
          <w:p>
            <w:r>
              <w:t>Implemented font face checking inside the Canvas draw loop, delaying map renders until document.fonts.ready resolves, and applied crisp text subpixel rounding on Canvas coords.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Inter" w:hAnsi="Inter"/>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