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was appointed as Secretary of the Ministry of New and Renewable Energy (MNRE) in April 2025?</w:t>
      </w:r>
    </w:p>
    <w:p>
      <w:pPr>
        <w:spacing w:before="0"/>
      </w:pPr>
      <w:r>
        <w:rPr>
          <w:b w:val="0"/>
        </w:rPr>
      </w:r>
    </w:p>
    <w:p>
      <w:pPr>
        <w:spacing w:after="100" w:before="0"/>
      </w:pPr>
      <w:r>
        <w:rPr>
          <w:b w:val="0"/>
        </w:rPr>
        <w:t>A. Abhishek Singh</w:t>
      </w:r>
    </w:p>
    <w:p>
      <w:pPr>
        <w:spacing w:after="100" w:before="0"/>
      </w:pPr>
      <w:r>
        <w:rPr>
          <w:b w:val="0"/>
        </w:rPr>
        <w:t>B. Rajesh Kumar Sinha</w:t>
      </w:r>
    </w:p>
    <w:p>
      <w:pPr>
        <w:spacing w:after="100" w:before="0"/>
      </w:pPr>
      <w:r>
        <w:rPr>
          <w:b w:val="0"/>
        </w:rPr>
        <w:t>C. Santosh Kumar Sarangi</w:t>
      </w:r>
    </w:p>
    <w:p>
      <w:pPr>
        <w:spacing w:after="100" w:before="0"/>
      </w:pPr>
      <w:r>
        <w:rPr>
          <w:b w:val="0"/>
        </w:rPr>
        <w:t>D. KK Pathak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Santosh Kumar Sarangi. Key Points Additional Information</w:t>
      </w:r>
    </w:p>
    <w:p>
      <w:pPr>
        <w:spacing w:before="0"/>
      </w:pPr>
      <w:r>
        <w:rPr>
          <w:b w:val="0"/>
        </w:rPr>
        <w:t>• Santosh Kumar Sarangi, a senior IAS officer, was appointed as the Secretary of the Ministry of New and Renewable Energy (MNRE) in April 2025.</w:t>
      </w:r>
    </w:p>
    <w:p>
      <w:pPr>
        <w:spacing w:before="0"/>
      </w:pPr>
      <w:r>
        <w:rPr>
          <w:b w:val="0"/>
        </w:rPr>
        <w:t>• He is an IAS officer of the Odisha cadre and has served in various capacities in both state and central government.</w:t>
      </w:r>
    </w:p>
    <w:p>
      <w:pPr>
        <w:spacing w:before="0"/>
      </w:pPr>
      <w:r>
        <w:rPr>
          <w:b w:val="0"/>
        </w:rPr>
        <w:t>• The Ministry of New and Renewable Energy (MNRE) is the nodal ministry for formulating policies and programs related to renewable energy such as solar, wind, biomass, and small hydro resources.</w:t>
      </w:r>
    </w:p>
    <w:p>
      <w:pPr>
        <w:spacing w:before="0"/>
      </w:pPr>
      <w:r>
        <w:rPr>
          <w:b w:val="0"/>
        </w:rPr>
        <w:t>• The appointment comes at a time when India is pushing aggressively towards achieving its renewable energy targets, including its commitment to achieving 500 GW of non-fossil fuel capacity by 2030.</w:t>
      </w:r>
    </w:p>
    <w:p>
      <w:pPr>
        <w:spacing w:before="0"/>
      </w:pPr>
      <w:r>
        <w:rPr>
          <w:b w:val="0"/>
        </w:rPr>
        <w:t>• Santosh Kumar Sarangi's leadership is expected to guide the ministry in scaling up renewable energy projects and ensuring India’s energy transition aligns with its environmental goals.</w:t>
      </w:r>
    </w:p>
    <w:p>
      <w:pPr>
        <w:spacing w:before="0"/>
      </w:pPr>
      <w:r>
        <w:rPr>
          <w:b w:val="0"/>
        </w:rPr>
        <w:t>• Abhishek Singh Abhishek Singh is an IAS officer who has served in various administrative roles but has not been appointed as the Secretary of MNRE.</w:t>
      </w:r>
    </w:p>
    <w:p>
      <w:pPr>
        <w:spacing w:before="0"/>
      </w:pPr>
      <w:r>
        <w:rPr>
          <w:b w:val="0"/>
        </w:rPr>
        <w:t>• He is known for his involvement in technology-driven governance and public service initiatives.</w:t>
      </w:r>
    </w:p>
    <w:p>
      <w:pPr>
        <w:spacing w:before="0"/>
      </w:pPr>
      <w:r>
        <w:rPr>
          <w:b w:val="0"/>
        </w:rPr>
        <w:t>• His expertise lies in digital transformation and e-governance projects in India.</w:t>
      </w:r>
    </w:p>
    <w:p>
      <w:pPr>
        <w:spacing w:before="0"/>
      </w:pPr>
      <w:r>
        <w:rPr>
          <w:b w:val="0"/>
        </w:rPr>
        <w:t>• Rajesh Kumar Sinha Rajesh Kumar Sinha is an IAS officer who has held important administrative positions but is not associated with the MNRE in this context.</w:t>
      </w:r>
    </w:p>
    <w:p>
      <w:pPr>
        <w:spacing w:before="0"/>
      </w:pPr>
      <w:r>
        <w:rPr>
          <w:b w:val="0"/>
        </w:rPr>
        <w:t>• He has served in other capacities related to governance and policy-making at the state or central level.</w:t>
      </w:r>
    </w:p>
    <w:p>
      <w:pPr>
        <w:spacing w:before="0"/>
      </w:pPr>
      <w:r>
        <w:rPr>
          <w:b w:val="0"/>
        </w:rPr>
        <w:t>• KK Pathak KK Pathak, another senior IAS officer, has been involved in administrative services but does not hold the position of Secretary of MNRE.</w:t>
      </w:r>
    </w:p>
    <w:p>
      <w:pPr>
        <w:spacing w:before="0"/>
      </w:pPr>
      <w:r>
        <w:rPr>
          <w:b w:val="0"/>
        </w:rPr>
        <w:t>• His contributions are significant in other areas of governance and public administration.</w:t>
      </w:r>
    </w:p>
    <w:p>
      <w:pPr>
        <w:spacing w:before="0"/>
      </w:pPr>
      <w:r>
        <w:rPr>
          <w:b w:val="0"/>
        </w:rPr>
        <w:t>• About the Ministry of New and Renewable Energy (MNRE) The MNRE is responsible for planning and implementing India’s renewable energy programs and policies.</w:t>
      </w:r>
    </w:p>
    <w:p>
      <w:pPr>
        <w:spacing w:before="0"/>
      </w:pPr>
      <w:r>
        <w:rPr>
          <w:b w:val="0"/>
        </w:rPr>
        <w:t>• It focuses on achieving energy security, reducing carbon emissions, and promoting sustainable development.</w:t>
      </w:r>
    </w:p>
    <w:p>
      <w:pPr>
        <w:spacing w:before="0"/>
      </w:pPr>
      <w:r>
        <w:rPr>
          <w:b w:val="0"/>
        </w:rPr>
        <w:t>• The ministry is instrumental in the deployment of renewable energy technologies such as solar power, wind energy, biomass, and small hydroelectric power projects.</w:t>
      </w:r>
    </w:p>
    <w:p>
      <w:pPr>
        <w:spacing w:before="0"/>
      </w:pPr>
      <w:r>
        <w:rPr>
          <w:b w:val="0"/>
        </w:rPr>
        <w:t>• India’s renewable energy target includes achieving 500 GW of non-fossil fuel capacity by 2030, with significant contributions from MNRE initiatives.</w:t>
      </w:r>
    </w:p>
    <w:p>
      <w:pPr>
        <w:spacing w:before="0"/>
      </w:pPr>
      <w:r>
        <w:rPr>
          <w:b w:val="0"/>
        </w:rPr>
      </w:r>
    </w:p>
    <w:p>
      <w:pPr>
        <w:spacing w:after="100" w:line="360" w:lineRule="auto" w:before="0"/>
      </w:pPr>
      <w:r>
        <w:rPr>
          <w:b w:val="0"/>
        </w:rPr>
        <w:t>2. In Draviḍa temple architecture, what is the central tower above the sanctum called?</w:t>
      </w:r>
    </w:p>
    <w:p>
      <w:pPr>
        <w:spacing w:before="0"/>
      </w:pPr>
      <w:r>
        <w:rPr>
          <w:b w:val="0"/>
        </w:rPr>
      </w:r>
    </w:p>
    <w:p>
      <w:pPr>
        <w:spacing w:after="100" w:before="0"/>
      </w:pPr>
      <w:r>
        <w:rPr>
          <w:b w:val="0"/>
        </w:rPr>
        <w:t>A. Gopuram</w:t>
      </w:r>
    </w:p>
    <w:p>
      <w:pPr>
        <w:spacing w:after="100" w:before="0"/>
      </w:pPr>
      <w:r>
        <w:rPr>
          <w:b w:val="0"/>
        </w:rPr>
        <w:t>B. Shikhara</w:t>
      </w:r>
    </w:p>
    <w:p>
      <w:pPr>
        <w:spacing w:after="100" w:before="0"/>
      </w:pPr>
      <w:r>
        <w:rPr>
          <w:b w:val="0"/>
        </w:rPr>
        <w:t>C. Vimāna</w:t>
      </w:r>
    </w:p>
    <w:p>
      <w:pPr>
        <w:spacing w:after="100" w:before="0"/>
      </w:pPr>
      <w:r>
        <w:rPr>
          <w:b w:val="0"/>
        </w:rPr>
        <w:t>D. Mandapa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Vimāna. Key Points Additional Information</w:t>
      </w:r>
    </w:p>
    <w:p>
      <w:pPr>
        <w:spacing w:before="0"/>
      </w:pPr>
      <w:r>
        <w:rPr>
          <w:b w:val="0"/>
        </w:rPr>
        <w:t>• In Draviḍa temple architecture, the Vimāna refers to the central tower or spire located directly above the sanctum (garbhagriha).</w:t>
      </w:r>
    </w:p>
    <w:p>
      <w:pPr>
        <w:spacing w:before="0"/>
      </w:pPr>
      <w:r>
        <w:rPr>
          <w:b w:val="0"/>
        </w:rPr>
        <w:t>• The term "Vimāna" is derived from Sanskrit, meaning "a structure or a vehicle," symbolizing the heavenly chariot of the deity.</w:t>
      </w:r>
    </w:p>
    <w:p>
      <w:pPr>
        <w:spacing w:before="0"/>
      </w:pPr>
      <w:r>
        <w:rPr>
          <w:b w:val="0"/>
        </w:rPr>
        <w:t>• The Vimāna is pyramidal in shape and consists of multiple tiers, often highly ornate with sculptural details representing mythological themes and deities.</w:t>
      </w:r>
    </w:p>
    <w:p>
      <w:pPr>
        <w:spacing w:before="0"/>
      </w:pPr>
      <w:r>
        <w:rPr>
          <w:b w:val="0"/>
        </w:rPr>
        <w:t>• It is distinct from the Gopuram (gateway tower), which is located at the temple's entrance, and serves as the primary architectural feature emphasizing the sanctity of the shrine.</w:t>
      </w:r>
    </w:p>
    <w:p>
      <w:pPr>
        <w:spacing w:before="0"/>
      </w:pPr>
      <w:r>
        <w:rPr>
          <w:b w:val="0"/>
        </w:rPr>
        <w:t>• Famous examples of Vimānas include the ones at the Brihadeeswarar Temple in Thanjavur and the Gangaikonda Cholapuram Temple, both UNESCO World Heritage Sites.</w:t>
      </w:r>
    </w:p>
    <w:p>
      <w:pPr>
        <w:spacing w:before="0"/>
      </w:pPr>
      <w:r>
        <w:rPr>
          <w:b w:val="0"/>
        </w:rPr>
        <w:t>• Gopuram: The Gopuram is a monumental tower located at the entrance of a Dravidian-style temple.</w:t>
      </w:r>
    </w:p>
    <w:p>
      <w:pPr>
        <w:spacing w:before="0"/>
      </w:pPr>
      <w:r>
        <w:rPr>
          <w:b w:val="0"/>
        </w:rPr>
        <w:t>• It serves as a gateway and is often adorned with intricate carvings, sculptures, and vibrant colors, depicting scenes from Hindu mythology.</w:t>
      </w:r>
    </w:p>
    <w:p>
      <w:pPr>
        <w:spacing w:before="0"/>
      </w:pPr>
      <w:r>
        <w:rPr>
          <w:b w:val="0"/>
        </w:rPr>
        <w:t>• The Gopuram is typically taller and more visually striking than the Vimāna, symbolizing the grandeur of the temple complex.</w:t>
      </w:r>
    </w:p>
    <w:p>
      <w:pPr>
        <w:spacing w:before="0"/>
      </w:pPr>
      <w:r>
        <w:rPr>
          <w:b w:val="0"/>
        </w:rPr>
        <w:t>• Examples include the Meenakshi Amman Temple's Gopuram in Madurai and the Sri Ranganathaswamy Temple's Gopuram in Srirangam.</w:t>
      </w:r>
    </w:p>
    <w:p>
      <w:pPr>
        <w:spacing w:before="0"/>
      </w:pPr>
      <w:r>
        <w:rPr>
          <w:b w:val="0"/>
        </w:rPr>
        <w:t>• Shikhara: Shikhara is a term used in Nāgara (North Indian) temple architecture for the spire or tower above the sanctum.</w:t>
      </w:r>
    </w:p>
    <w:p>
      <w:pPr>
        <w:spacing w:before="0"/>
      </w:pPr>
      <w:r>
        <w:rPr>
          <w:b w:val="0"/>
        </w:rPr>
        <w:t>• Unlike the pyramidal Vimāna in Draviḍa style, the Shikhara in Nāgara style is curvilinear and tapering.</w:t>
      </w:r>
    </w:p>
    <w:p>
      <w:pPr>
        <w:spacing w:before="0"/>
      </w:pPr>
      <w:r>
        <w:rPr>
          <w:b w:val="0"/>
        </w:rPr>
        <w:t>• It symbolizes Mount Meru, the sacred cosmic mountain in Hindu cosmology.</w:t>
      </w:r>
    </w:p>
    <w:p>
      <w:pPr>
        <w:spacing w:before="0"/>
      </w:pPr>
      <w:r>
        <w:rPr>
          <w:b w:val="0"/>
        </w:rPr>
        <w:t>• An example of Shikhara can be seen in the Kandariya Mahadeva Temple in Khajuraho.</w:t>
      </w:r>
    </w:p>
    <w:p>
      <w:pPr>
        <w:spacing w:before="0"/>
      </w:pPr>
      <w:r>
        <w:rPr>
          <w:b w:val="0"/>
        </w:rPr>
        <w:t>• Mandapa: The Mandapa is a pillared hall or pavilion in a temple, used for rituals, ceremonies, and gatherings.</w:t>
      </w:r>
    </w:p>
    <w:p>
      <w:pPr>
        <w:spacing w:before="0"/>
      </w:pPr>
      <w:r>
        <w:rPr>
          <w:b w:val="0"/>
        </w:rPr>
        <w:t>• It is located in front of the sanctum (garbhagriha) and serves as a space for devotees to assemble and perform prayers.</w:t>
      </w:r>
    </w:p>
    <w:p>
      <w:pPr>
        <w:spacing w:before="0"/>
      </w:pPr>
      <w:r>
        <w:rPr>
          <w:b w:val="0"/>
        </w:rPr>
        <w:t>• Mandapas can be ornate and are often constructed in different forms, such as open or closed halls.</w:t>
      </w:r>
    </w:p>
    <w:p>
      <w:pPr>
        <w:spacing w:before="0"/>
      </w:pPr>
      <w:r>
        <w:rPr>
          <w:b w:val="0"/>
        </w:rPr>
        <w:t>• Examples include the 100-pillared Mandapa in the Meenakshi Amman Temple.</w:t>
      </w:r>
    </w:p>
    <w:p>
      <w:pPr>
        <w:spacing w:before="0"/>
      </w:pPr>
      <w:r>
        <w:rPr>
          <w:b w:val="0"/>
        </w:rPr>
        <w:t>• Overview of Draviḍa Temple Architecture: Draviḍa architecture is one of the three main temple architectural styles in India, predominantly found in Tamil Nadu.</w:t>
      </w:r>
    </w:p>
    <w:p>
      <w:pPr>
        <w:spacing w:before="0"/>
      </w:pPr>
      <w:r>
        <w:rPr>
          <w:b w:val="0"/>
        </w:rPr>
        <w:t>• It is characterized by pyramidal Vimānas, elaborate Gopurams, and intricately carved pillars.</w:t>
      </w:r>
    </w:p>
    <w:p>
      <w:pPr>
        <w:spacing w:before="0"/>
      </w:pPr>
      <w:r>
        <w:rPr>
          <w:b w:val="0"/>
        </w:rPr>
        <w:t>• Key components include the sanctum (garbhagriha), Mandapas (halls), and large temple tanks for ritualistic purposes.</w:t>
      </w:r>
    </w:p>
    <w:p>
      <w:pPr>
        <w:spacing w:before="0"/>
      </w:pPr>
      <w:r>
        <w:rPr>
          <w:b w:val="0"/>
        </w:rPr>
        <w:t>• Famous examples are the temples of the Chola, Pandya, and Vijayanagara dynasties.</w:t>
      </w:r>
    </w:p>
    <w:p>
      <w:pPr>
        <w:spacing w:before="0"/>
      </w:pPr>
      <w:r>
        <w:rPr>
          <w:b w:val="0"/>
        </w:rPr>
      </w:r>
    </w:p>
    <w:p>
      <w:pPr>
        <w:spacing w:after="100" w:line="360" w:lineRule="auto" w:before="0"/>
      </w:pPr>
      <w:r>
        <w:rPr>
          <w:b w:val="0"/>
        </w:rPr>
        <w:t>3. Which description best represents the ritual sequence and symbolism of the Nocte tribe’s Loku festival?</w:t>
      </w:r>
    </w:p>
    <w:p>
      <w:pPr>
        <w:spacing w:before="0"/>
      </w:pPr>
      <w:r>
        <w:rPr>
          <w:b w:val="0"/>
        </w:rPr>
      </w:r>
    </w:p>
    <w:p>
      <w:pPr>
        <w:spacing w:after="100" w:before="0"/>
      </w:pPr>
      <w:r>
        <w:rPr>
          <w:b w:val="0"/>
        </w:rPr>
        <w:t>A. Ritual fixed annually during harvest season by village elders</w:t>
      </w:r>
    </w:p>
    <w:p>
      <w:pPr>
        <w:spacing w:after="100" w:before="0"/>
      </w:pPr>
      <w:r>
        <w:rPr>
          <w:b w:val="0"/>
        </w:rPr>
        <w:t>B. Ceremonial dances and prayers at Chaatam followed by gunfire rituals</w:t>
      </w:r>
    </w:p>
    <w:p>
      <w:pPr>
        <w:spacing w:after="100" w:before="0"/>
      </w:pPr>
      <w:r>
        <w:rPr>
          <w:b w:val="0"/>
        </w:rPr>
        <w:t>C. Buffalo sacrifice without omen reading</w:t>
      </w:r>
    </w:p>
    <w:p>
      <w:pPr>
        <w:spacing w:after="100" w:before="0"/>
      </w:pPr>
      <w:r>
        <w:rPr>
          <w:b w:val="0"/>
        </w:rPr>
        <w:t>D. Festival derived from solar calendar worship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Ceremonial dances and prayers at Chaatam followed by gunfire rituals. Key Points Additional Information</w:t>
      </w:r>
    </w:p>
    <w:p>
      <w:pPr>
        <w:spacing w:before="0"/>
      </w:pPr>
      <w:r>
        <w:rPr>
          <w:b w:val="0"/>
        </w:rPr>
        <w:t>• The Loku festival is celebrated by the Nocte tribe of Arunachal Pradesh during the harvest season, symbolizing the end of agricultural labor and the arrival of leisure time.</w:t>
      </w:r>
    </w:p>
    <w:p>
      <w:pPr>
        <w:spacing w:before="0"/>
      </w:pPr>
      <w:r>
        <w:rPr>
          <w:b w:val="0"/>
        </w:rPr>
        <w:t>• One of the key rituals involves ceremonial dances and prayers performed at Chaatam, a sacred place where traditional rituals are conducted.</w:t>
      </w:r>
    </w:p>
    <w:p>
      <w:pPr>
        <w:spacing w:before="0"/>
      </w:pPr>
      <w:r>
        <w:rPr>
          <w:b w:val="0"/>
        </w:rPr>
        <w:t>• Gunfire rituals are an essential part of the festival, symbolizing the driving away of evil spirits and welcoming prosperity.</w:t>
      </w:r>
    </w:p>
    <w:p>
      <w:pPr>
        <w:spacing w:before="0"/>
      </w:pPr>
      <w:r>
        <w:rPr>
          <w:b w:val="0"/>
        </w:rPr>
        <w:t>• These rituals reflect the tribe's strong cultural identity and spiritual connection to nature and their surroundings.</w:t>
      </w:r>
    </w:p>
    <w:p>
      <w:pPr>
        <w:spacing w:before="0"/>
      </w:pPr>
      <w:r>
        <w:rPr>
          <w:b w:val="0"/>
        </w:rPr>
        <w:t>• As per Nocte traditions, the festival emphasizes community bonding, ensuring that all villagers partake in the celebrations, thereby fostering harmony and unity.</w:t>
      </w:r>
    </w:p>
    <w:p>
      <w:pPr>
        <w:spacing w:before="0"/>
      </w:pPr>
      <w:r>
        <w:rPr>
          <w:b w:val="0"/>
        </w:rPr>
        <w:t>• Ritual fixed annually during harvest season by village elders: While the Loku festival is celebrated during the harvest season, its timing is not solely fixed by village elders. The festival's schedule is influenced by traditional customs and agricultural cycles.</w:t>
      </w:r>
    </w:p>
    <w:p>
      <w:pPr>
        <w:spacing w:before="0"/>
      </w:pPr>
      <w:r>
        <w:rPr>
          <w:b w:val="0"/>
        </w:rPr>
        <w:t>• Village elders play a significant role in organizing and overseeing the festival rituals, ensuring that cultural traditions are preserved.</w:t>
      </w:r>
    </w:p>
    <w:p>
      <w:pPr>
        <w:spacing w:before="0"/>
      </w:pPr>
      <w:r>
        <w:rPr>
          <w:b w:val="0"/>
        </w:rPr>
        <w:t>• The description provided in this option lacks emphasis on the symbolic details of the ceremonial practices, making it incomplete.</w:t>
      </w:r>
    </w:p>
    <w:p>
      <w:pPr>
        <w:spacing w:before="0"/>
      </w:pPr>
      <w:r>
        <w:rPr>
          <w:b w:val="0"/>
        </w:rPr>
        <w:t>• Buffalo sacrifice without omen reading: Buffalo sacrifice is part of many tribal rituals, including those of the Nocte tribe. However, omen reading is often performed before sacrifices to seek divine approval or guidance.</w:t>
      </w:r>
    </w:p>
    <w:p>
      <w:pPr>
        <w:spacing w:before="0"/>
      </w:pPr>
      <w:r>
        <w:rPr>
          <w:b w:val="0"/>
        </w:rPr>
        <w:t>• The absence of omen reading in this option renders it inaccurate as per Nocte traditions, where spiritual practices are deeply intertwined with rituals.</w:t>
      </w:r>
    </w:p>
    <w:p>
      <w:pPr>
        <w:spacing w:before="0"/>
      </w:pPr>
      <w:r>
        <w:rPr>
          <w:b w:val="0"/>
        </w:rPr>
        <w:t>• Festival derived from solar calendar worship: The Nocte tribe's Loku festival is not specifically derived from solar calendar worship. Instead, it is rooted in agricultural and cultural traditions.</w:t>
      </w:r>
    </w:p>
    <w:p>
      <w:pPr>
        <w:spacing w:before="0"/>
      </w:pPr>
      <w:r>
        <w:rPr>
          <w:b w:val="0"/>
        </w:rPr>
        <w:t>• This option seems to mix unrelated concepts, as the Nocte tribe's rituals are more closely aligned with nature worship and community practices.</w:t>
      </w:r>
    </w:p>
    <w:p>
      <w:pPr>
        <w:spacing w:before="0"/>
      </w:pPr>
      <w:r>
        <w:rPr>
          <w:b w:val="0"/>
        </w:rPr>
      </w:r>
    </w:p>
    <w:p>
      <w:pPr>
        <w:spacing w:after="100" w:line="360" w:lineRule="auto" w:before="0"/>
      </w:pPr>
      <w:r>
        <w:rPr>
          <w:b w:val="0"/>
        </w:rPr>
        <w:t>4. Which Mahājanapada emerged as the most dominant political power between the 6th–4th century BCE?</w:t>
      </w:r>
    </w:p>
    <w:p>
      <w:pPr>
        <w:spacing w:before="0"/>
      </w:pPr>
      <w:r>
        <w:rPr>
          <w:b w:val="0"/>
        </w:rPr>
      </w:r>
    </w:p>
    <w:p>
      <w:pPr>
        <w:spacing w:after="100" w:before="0"/>
      </w:pPr>
      <w:r>
        <w:rPr>
          <w:b w:val="0"/>
        </w:rPr>
        <w:t>A. Gandhāra</w:t>
      </w:r>
    </w:p>
    <w:p>
      <w:pPr>
        <w:spacing w:after="100" w:before="0"/>
      </w:pPr>
      <w:r>
        <w:rPr>
          <w:b w:val="0"/>
        </w:rPr>
        <w:t>B. Avanti</w:t>
      </w:r>
    </w:p>
    <w:p>
      <w:pPr>
        <w:spacing w:after="100" w:before="0"/>
      </w:pPr>
      <w:r>
        <w:rPr>
          <w:b w:val="0"/>
        </w:rPr>
        <w:t>C. Magadha</w:t>
      </w:r>
    </w:p>
    <w:p>
      <w:pPr>
        <w:spacing w:after="100" w:before="0"/>
      </w:pPr>
      <w:r>
        <w:rPr>
          <w:b w:val="0"/>
        </w:rPr>
        <w:t>D. Kuru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Magadha. Key Points Additional Information</w:t>
      </w:r>
    </w:p>
    <w:p>
      <w:pPr>
        <w:spacing w:before="0"/>
      </w:pPr>
      <w:r>
        <w:rPr>
          <w:b w:val="0"/>
        </w:rPr>
        <w:t>• Magadha emerged as the most dominant political power between the 6th–4th century BCE due to its strategic location and fertile land, which supported agriculture and trade.</w:t>
      </w:r>
    </w:p>
    <w:p>
      <w:pPr>
        <w:spacing w:before="0"/>
      </w:pPr>
      <w:r>
        <w:rPr>
          <w:b w:val="0"/>
        </w:rPr>
        <w:t>• The rulers of Magadha, such as Bimbisara and Ajatashatru, adopted policies of expansionism and maintained strong armies equipped with advanced weaponry like war chariots and elephants.</w:t>
      </w:r>
    </w:p>
    <w:p>
      <w:pPr>
        <w:spacing w:before="0"/>
      </w:pPr>
      <w:r>
        <w:rPr>
          <w:b w:val="0"/>
        </w:rPr>
        <w:t>• Magadha’s capital cities, first at Rajagriha and later at Pataliputra, became administrative and cultural centers, contributing to its dominance.</w:t>
      </w:r>
    </w:p>
    <w:p>
      <w:pPr>
        <w:spacing w:before="0"/>
      </w:pPr>
      <w:r>
        <w:rPr>
          <w:b w:val="0"/>
        </w:rPr>
        <w:t>• The kingdom played a pivotal role in the spread of Jainism and Buddhism, with many significant events in the lives of Mahavira and Gautama Buddha occurring in Magadha.</w:t>
      </w:r>
    </w:p>
    <w:p>
      <w:pPr>
        <w:spacing w:before="0"/>
      </w:pPr>
      <w:r>
        <w:rPr>
          <w:b w:val="0"/>
        </w:rPr>
        <w:t>• Magadha later formed the base for the establishment of the Mauryan Empire, one of the largest and most powerful empires in ancient India.</w:t>
      </w:r>
    </w:p>
    <w:p>
      <w:pPr>
        <w:spacing w:before="0"/>
      </w:pPr>
      <w:r>
        <w:rPr>
          <w:b w:val="0"/>
        </w:rPr>
        <w:t>• Gandhāra: Gandhāra was located in present-day Afghanistan and northern Pakistan, with its prominent cities being Taxila and Peshawar.</w:t>
      </w:r>
    </w:p>
    <w:p>
      <w:pPr>
        <w:spacing w:before="0"/>
      </w:pPr>
      <w:r>
        <w:rPr>
          <w:b w:val="0"/>
        </w:rPr>
        <w:t>• It was known for its contribution to art and culture, particularly the Gandhāra School of Art, which blended Indian and Greco-Roman styles.</w:t>
      </w:r>
    </w:p>
    <w:p>
      <w:pPr>
        <w:spacing w:before="0"/>
      </w:pPr>
      <w:r>
        <w:rPr>
          <w:b w:val="0"/>
        </w:rPr>
        <w:t>• While it was an important center of learning and trade, it did not achieve the level of political dominance seen in Magadha.</w:t>
      </w:r>
    </w:p>
    <w:p>
      <w:pPr>
        <w:spacing w:before="0"/>
      </w:pPr>
      <w:r>
        <w:rPr>
          <w:b w:val="0"/>
        </w:rPr>
        <w:t>• Avanti: Avanti was one of the major Mahājanapadas, located in modern-day Madhya Pradesh, with its capital at Ujjain.</w:t>
      </w:r>
    </w:p>
    <w:p>
      <w:pPr>
        <w:spacing w:before="0"/>
      </w:pPr>
      <w:r>
        <w:rPr>
          <w:b w:val="0"/>
        </w:rPr>
        <w:t>• It was a significant center of trade and commerce due to its location on important trade routes.</w:t>
      </w:r>
    </w:p>
    <w:p>
      <w:pPr>
        <w:spacing w:before="0"/>
      </w:pPr>
      <w:r>
        <w:rPr>
          <w:b w:val="0"/>
        </w:rPr>
        <w:t>• Although Avanti was a powerful Mahājanapada, it eventually came under Magadha’s control during the rise of the Magadhan Empire.</w:t>
      </w:r>
    </w:p>
    <w:p>
      <w:pPr>
        <w:spacing w:before="0"/>
      </w:pPr>
      <w:r>
        <w:rPr>
          <w:b w:val="0"/>
        </w:rPr>
        <w:t>• Kuru: Kuru was a significant Mahājanapada situated in modern-day Haryana and Delhi regions.</w:t>
      </w:r>
    </w:p>
    <w:p>
      <w:pPr>
        <w:spacing w:before="0"/>
      </w:pPr>
      <w:r>
        <w:rPr>
          <w:b w:val="0"/>
        </w:rPr>
        <w:t>• It is historically important as the setting for the epic Mahabharata and was known for its contributions to Vedic culture.</w:t>
      </w:r>
    </w:p>
    <w:p>
      <w:pPr>
        <w:spacing w:before="0"/>
      </w:pPr>
      <w:r>
        <w:rPr>
          <w:b w:val="0"/>
        </w:rPr>
        <w:t>• However, by the 6th century BCE, its political significance had declined compared to other Mahājanapadas like Magadha and Avanti.</w:t>
      </w:r>
    </w:p>
    <w:p>
      <w:pPr>
        <w:spacing w:before="0"/>
      </w:pPr>
      <w:r>
        <w:rPr>
          <w:b w:val="0"/>
        </w:rPr>
      </w:r>
    </w:p>
    <w:p>
      <w:pPr>
        <w:spacing w:after="100" w:line="360" w:lineRule="auto" w:before="0"/>
      </w:pPr>
      <w:r>
        <w:rPr>
          <w:b w:val="0"/>
        </w:rPr>
        <w:t>5. Which statement regarding standard basketball equipment is correct?</w:t>
      </w:r>
    </w:p>
    <w:p>
      <w:pPr>
        <w:spacing w:before="0"/>
      </w:pPr>
      <w:r>
        <w:rPr>
          <w:b w:val="0"/>
        </w:rPr>
      </w:r>
    </w:p>
    <w:p>
      <w:pPr>
        <w:spacing w:after="100" w:before="0"/>
      </w:pPr>
      <w:r>
        <w:rPr>
          <w:b w:val="0"/>
        </w:rPr>
        <w:t>A. Ring diameter is 460 mm</w:t>
      </w:r>
    </w:p>
    <w:p>
      <w:pPr>
        <w:spacing w:after="100" w:before="0"/>
      </w:pPr>
      <w:r>
        <w:rPr>
          <w:b w:val="0"/>
        </w:rPr>
        <w:t>B. Backboard height is 2.10 m</w:t>
      </w:r>
    </w:p>
    <w:p>
      <w:pPr>
        <w:spacing w:after="100" w:before="0"/>
      </w:pPr>
      <w:r>
        <w:rPr>
          <w:b w:val="0"/>
        </w:rPr>
        <w:t>C. Ring diameter is 450 mm</w:t>
      </w:r>
    </w:p>
    <w:p>
      <w:pPr>
        <w:spacing w:after="100" w:before="0"/>
      </w:pPr>
      <w:r>
        <w:rPr>
          <w:b w:val="0"/>
        </w:rPr>
        <w:t>D. Net must be white with 12 hooks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Ring diameter is 450 mm. Key Points Additional Information</w:t>
      </w:r>
    </w:p>
    <w:p>
      <w:pPr>
        <w:spacing w:before="0"/>
      </w:pPr>
      <w:r>
        <w:rPr>
          <w:b w:val="0"/>
        </w:rPr>
        <w:t>• The diameter of a basketball hoop (ring) is 450 mm (18 inches), as per official regulations of the NBA and FIBA (International Basketball Federation).</w:t>
      </w:r>
    </w:p>
    <w:p>
      <w:pPr>
        <w:spacing w:before="0"/>
      </w:pPr>
      <w:r>
        <w:rPr>
          <w:b w:val="0"/>
        </w:rPr>
        <w:t>• The inner circumference of the ring is designed to accommodate a standard basketball with a maximum circumference of 749 mm (29.5 inches).</w:t>
      </w:r>
    </w:p>
    <w:p>
      <w:pPr>
        <w:spacing w:before="0"/>
      </w:pPr>
      <w:r>
        <w:rPr>
          <w:b w:val="0"/>
        </w:rPr>
        <w:t>• The ring is made of solid steel with an approximate thickness of 16-20 mm, ensuring durability during gameplay.</w:t>
      </w:r>
    </w:p>
    <w:p>
      <w:pPr>
        <w:spacing w:before="0"/>
      </w:pPr>
      <w:r>
        <w:rPr>
          <w:b w:val="0"/>
        </w:rPr>
        <w:t>• The hoop is mounted at a height of 3.05 meters (10 feet) from the ground, as per international basketball standards.</w:t>
      </w:r>
    </w:p>
    <w:p>
      <w:pPr>
        <w:spacing w:before="0"/>
      </w:pPr>
      <w:r>
        <w:rPr>
          <w:b w:val="0"/>
        </w:rPr>
        <w:t>• The net attached to the hoop is usually made of white nylon or polyester and is designed to provide visual confirmation of a successful basket.</w:t>
      </w:r>
    </w:p>
    <w:p>
      <w:pPr>
        <w:spacing w:before="0"/>
      </w:pPr>
      <w:r>
        <w:rPr>
          <w:b w:val="0"/>
        </w:rPr>
        <w:t>• Option 1: Ring diameter is 460 mm This is incorrect as the official ring diameter is 450 mm (18 inches), as per regulations by FIBA and NBA.</w:t>
      </w:r>
    </w:p>
    <w:p>
      <w:pPr>
        <w:spacing w:before="0"/>
      </w:pPr>
      <w:r>
        <w:rPr>
          <w:b w:val="0"/>
        </w:rPr>
        <w:t>• An oversized hoop would significantly affect the game dynamics by making scoring easier.</w:t>
      </w:r>
    </w:p>
    <w:p>
      <w:pPr>
        <w:spacing w:before="0"/>
      </w:pPr>
      <w:r>
        <w:rPr>
          <w:b w:val="0"/>
        </w:rPr>
        <w:t>• Option 2: Backboard height is 2.10 m This is incorrect as the standard height of a basketball hoop (and backboard) from the playing surface is 3.05 meters (10 feet).</w:t>
      </w:r>
    </w:p>
    <w:p>
      <w:pPr>
        <w:spacing w:before="0"/>
      </w:pPr>
      <w:r>
        <w:rPr>
          <w:b w:val="0"/>
        </w:rPr>
        <w:t>• The backboard itself measures 1.8 m (6 feet) in width and 1.05 m (3.5 feet) in height.</w:t>
      </w:r>
    </w:p>
    <w:p>
      <w:pPr>
        <w:spacing w:before="0"/>
      </w:pPr>
      <w:r>
        <w:rPr>
          <w:b w:val="0"/>
        </w:rPr>
        <w:t>• Option 4: Net must be white with 12 hooks While it is true that basketball nets are typically white, the number of hooks can vary depending on the hoop design.</w:t>
      </w:r>
    </w:p>
    <w:p>
      <w:pPr>
        <w:spacing w:before="0"/>
      </w:pPr>
      <w:r>
        <w:rPr>
          <w:b w:val="0"/>
        </w:rPr>
        <w:t>• Standard nets are usually attached to the ring with 12 hooks, but this is not a strict requirement in every league.</w:t>
      </w:r>
    </w:p>
    <w:p>
      <w:pPr>
        <w:spacing w:before="0"/>
      </w:pPr>
      <w:r>
        <w:rPr>
          <w:b w:val="0"/>
        </w:rPr>
        <w:t>• Basketball Equipment Overview: A standard basketball court is 28 meters long and 15 meters wide for international games, with a free throw line at 4.6 meters from the backboard.</w:t>
      </w:r>
    </w:p>
    <w:p>
      <w:pPr>
        <w:spacing w:before="0"/>
      </w:pPr>
      <w:r>
        <w:rPr>
          <w:b w:val="0"/>
        </w:rPr>
        <w:t>• A basketball weighs approximately 567-650 grams for men's games and 510-567 grams for women's games.</w:t>
      </w:r>
    </w:p>
    <w:p>
      <w:pPr>
        <w:spacing w:before="0"/>
      </w:pPr>
      <w:r>
        <w:rPr>
          <w:b w:val="0"/>
        </w:rPr>
        <w:t>• Official basketballs are made of leather, composite, or rubber, with a specific air pressure of 7.5-8.5 pounds per square inch.</w:t>
      </w:r>
    </w:p>
    <w:p>
      <w:pPr>
        <w:spacing w:before="0"/>
      </w:pPr>
      <w:r>
        <w:rPr>
          <w:b w:val="0"/>
        </w:rPr>
      </w:r>
    </w:p>
    <w:p>
      <w:pPr>
        <w:spacing w:after="100" w:line="360" w:lineRule="auto" w:before="0"/>
      </w:pPr>
      <w:r>
        <w:rPr>
          <w:b w:val="0"/>
        </w:rPr>
        <w:t>6. Who secured India’s latest Olympic medal in freestyle wrestling at Paris 2024?</w:t>
      </w:r>
    </w:p>
    <w:p>
      <w:pPr>
        <w:spacing w:before="0"/>
      </w:pPr>
      <w:r>
        <w:rPr>
          <w:b w:val="0"/>
        </w:rPr>
      </w:r>
    </w:p>
    <w:p>
      <w:pPr>
        <w:spacing w:after="100" w:before="0"/>
      </w:pPr>
      <w:r>
        <w:rPr>
          <w:b w:val="0"/>
        </w:rPr>
        <w:t>A. Bajrang Punia</w:t>
      </w:r>
    </w:p>
    <w:p>
      <w:pPr>
        <w:spacing w:after="100" w:before="0"/>
      </w:pPr>
      <w:r>
        <w:rPr>
          <w:b w:val="0"/>
        </w:rPr>
        <w:t>B. Ravi Kumar Dahiya</w:t>
      </w:r>
    </w:p>
    <w:p>
      <w:pPr>
        <w:spacing w:after="100" w:before="0"/>
      </w:pPr>
      <w:r>
        <w:rPr>
          <w:b w:val="0"/>
        </w:rPr>
        <w:t>C. Aman Sehrawat</w:t>
      </w:r>
    </w:p>
    <w:p>
      <w:pPr>
        <w:spacing w:after="100" w:before="0"/>
      </w:pPr>
      <w:r>
        <w:rPr>
          <w:b w:val="0"/>
        </w:rPr>
        <w:t>D. Sakshi Malik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Aman Sehrawat. Key Points Additional Information</w:t>
      </w:r>
    </w:p>
    <w:p>
      <w:pPr>
        <w:spacing w:before="0"/>
      </w:pPr>
      <w:r>
        <w:rPr>
          <w:b w:val="0"/>
        </w:rPr>
        <w:t>• Aman Sehrawat secured India’s latest Olympic medal in freestyle wrestling at the Paris 2024 Olympics, continuing the nation’s strong tradition in the sport.</w:t>
      </w:r>
    </w:p>
    <w:p>
      <w:pPr>
        <w:spacing w:before="0"/>
      </w:pPr>
      <w:r>
        <w:rPr>
          <w:b w:val="0"/>
        </w:rPr>
        <w:t>• He competed in the 57 kg freestyle wrestling category, showcasing exceptional skill and determination throughout the tournament.</w:t>
      </w:r>
    </w:p>
    <w:p>
      <w:pPr>
        <w:spacing w:before="0"/>
      </w:pPr>
      <w:r>
        <w:rPr>
          <w:b w:val="0"/>
        </w:rPr>
        <w:t>• Aman Sehrawat is known for his rapid rise in the international wrestling circuit, having previously won medals at prestigious tournaments like the Asian Wrestling Championships and Junior World Championships.</w:t>
      </w:r>
    </w:p>
    <w:p>
      <w:pPr>
        <w:spacing w:before="0"/>
      </w:pPr>
      <w:r>
        <w:rPr>
          <w:b w:val="0"/>
        </w:rPr>
        <w:t>• His victory at Paris 2024 solidified India’s reputation as a powerhouse in wrestling on the global stage.</w:t>
      </w:r>
    </w:p>
    <w:p>
      <w:pPr>
        <w:spacing w:before="0"/>
      </w:pPr>
      <w:r>
        <w:rPr>
          <w:b w:val="0"/>
        </w:rPr>
        <w:t>• He is mentored by some of India’s top wrestling coaches and trains at world-class facilities to enhance his skills and performance.</w:t>
      </w:r>
    </w:p>
    <w:p>
      <w:pPr>
        <w:spacing w:before="0"/>
      </w:pPr>
      <w:r>
        <w:rPr>
          <w:b w:val="0"/>
        </w:rPr>
        <w:t>• Bajrang Punia Bajrang Punia is one of India’s most celebrated wrestlers, specializing in the 65 kg freestyle wrestling category.</w:t>
      </w:r>
    </w:p>
    <w:p>
      <w:pPr>
        <w:spacing w:before="0"/>
      </w:pPr>
      <w:r>
        <w:rPr>
          <w:b w:val="0"/>
        </w:rPr>
        <w:t>• He won a bronze medal at the Tokyo 2020 Olympics and is a multiple-time World Wrestling Championships medalist.</w:t>
      </w:r>
    </w:p>
    <w:p>
      <w:pPr>
        <w:spacing w:before="0"/>
      </w:pPr>
      <w:r>
        <w:rPr>
          <w:b w:val="0"/>
        </w:rPr>
        <w:t>• Bajrang is known for his aggressive style and technical acumen on the mat.</w:t>
      </w:r>
    </w:p>
    <w:p>
      <w:pPr>
        <w:spacing w:before="0"/>
      </w:pPr>
      <w:r>
        <w:rPr>
          <w:b w:val="0"/>
        </w:rPr>
        <w:t>• Though a strong contender, he did not secure a medal at the Paris 2024 Olympics.</w:t>
      </w:r>
    </w:p>
    <w:p>
      <w:pPr>
        <w:spacing w:before="0"/>
      </w:pPr>
      <w:r>
        <w:rPr>
          <w:b w:val="0"/>
        </w:rPr>
        <w:t>• Ravi Kumar Dahiya Ravi Kumar Dahiya gained fame for winning a silver medal in the 57 kg freestyle category at the Tokyo 2020 Olympics.</w:t>
      </w:r>
    </w:p>
    <w:p>
      <w:pPr>
        <w:spacing w:before="0"/>
      </w:pPr>
      <w:r>
        <w:rPr>
          <w:b w:val="0"/>
        </w:rPr>
        <w:t>• He is a two-time Asian Champion and a consistent performer at the international level.</w:t>
      </w:r>
    </w:p>
    <w:p>
      <w:pPr>
        <w:spacing w:before="0"/>
      </w:pPr>
      <w:r>
        <w:rPr>
          <w:b w:val="0"/>
        </w:rPr>
        <w:t>• Despite being one of India’s top wrestlers, he did not win a medal at the Paris 2024 Olympics.</w:t>
      </w:r>
    </w:p>
    <w:p>
      <w:pPr>
        <w:spacing w:before="0"/>
      </w:pPr>
      <w:r>
        <w:rPr>
          <w:b w:val="0"/>
        </w:rPr>
        <w:t>• Sakshi Malik Sakshi Malik made history by becoming the first Indian woman wrestler to win an Olympic medal with her bronze in the 58 kg category at the Rio 2016 Olympics.</w:t>
      </w:r>
    </w:p>
    <w:p>
      <w:pPr>
        <w:spacing w:before="0"/>
      </w:pPr>
      <w:r>
        <w:rPr>
          <w:b w:val="0"/>
        </w:rPr>
        <w:t>• She has since been a prominent figure in Indian wrestling, inspiring many young athletes.</w:t>
      </w:r>
    </w:p>
    <w:p>
      <w:pPr>
        <w:spacing w:before="0"/>
      </w:pPr>
      <w:r>
        <w:rPr>
          <w:b w:val="0"/>
        </w:rPr>
        <w:t>• Sakshi did not participate in the medal-winning events for India at the Paris 2024 Olympics.</w:t>
      </w:r>
    </w:p>
    <w:p>
      <w:pPr>
        <w:spacing w:before="0"/>
      </w:pPr>
      <w:r>
        <w:rPr>
          <w:b w:val="0"/>
        </w:rPr>
        <w:t>• India’s Wrestling Success Wrestling has been one of India’s most successful sports at the Olympics, with several medals won across different editions of the Games.</w:t>
      </w:r>
    </w:p>
    <w:p>
      <w:pPr>
        <w:spacing w:before="0"/>
      </w:pPr>
      <w:r>
        <w:rPr>
          <w:b w:val="0"/>
        </w:rPr>
        <w:t>• Indian wrestlers have consistently performed well in categories like freestyle and Greco-Roman wrestling, bringing laurels to the country.</w:t>
      </w:r>
    </w:p>
    <w:p>
      <w:pPr>
        <w:spacing w:before="0"/>
      </w:pPr>
      <w:r>
        <w:rPr>
          <w:b w:val="0"/>
        </w:rPr>
        <w:t>• Focused training programs, world-class coaching, and government support have significantly contributed to the success of Indian wrestlers on the global stage.</w:t>
      </w:r>
    </w:p>
    <w:p>
      <w:pPr>
        <w:spacing w:before="0"/>
      </w:pPr>
      <w:r>
        <w:rPr>
          <w:b w:val="0"/>
        </w:rPr>
      </w:r>
    </w:p>
    <w:p>
      <w:pPr>
        <w:spacing w:after="100" w:line="360" w:lineRule="auto" w:before="0"/>
      </w:pPr>
      <w:r>
        <w:rPr>
          <w:b w:val="0"/>
        </w:rPr>
        <w:t>7. Which statement correctly reflects Vijayanagara court traditions?</w:t>
      </w:r>
    </w:p>
    <w:p>
      <w:pPr>
        <w:spacing w:before="0"/>
      </w:pPr>
      <w:r>
        <w:rPr>
          <w:b w:val="0"/>
        </w:rPr>
      </w:r>
    </w:p>
    <w:p>
      <w:pPr>
        <w:spacing w:after="100" w:before="0"/>
      </w:pPr>
      <w:r>
        <w:rPr>
          <w:b w:val="0"/>
        </w:rPr>
        <w:t>A. Rayas were known as Narapati</w:t>
      </w:r>
    </w:p>
    <w:p>
      <w:pPr>
        <w:spacing w:after="100" w:before="0"/>
      </w:pPr>
      <w:r>
        <w:rPr>
          <w:b w:val="0"/>
        </w:rPr>
        <w:t>B. Rayas were titled Gajapati</w:t>
      </w:r>
    </w:p>
    <w:p>
      <w:pPr>
        <w:spacing w:after="100" w:before="0"/>
      </w:pPr>
      <w:r>
        <w:rPr>
          <w:b w:val="0"/>
        </w:rPr>
        <w:t>C. Sultans were called Ashvapati</w:t>
      </w:r>
    </w:p>
    <w:p>
      <w:pPr>
        <w:spacing w:after="100" w:before="0"/>
      </w:pPr>
      <w:r>
        <w:rPr>
          <w:b w:val="0"/>
        </w:rPr>
        <w:t>D. Both used Rajadhiraj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Rayas were known as Narapati. Key Points Additional Information</w:t>
      </w:r>
    </w:p>
    <w:p>
      <w:pPr>
        <w:spacing w:before="0"/>
      </w:pPr>
      <w:r>
        <w:rPr>
          <w:b w:val="0"/>
        </w:rPr>
        <w:t>• In Vijayanagara court traditions, the term Narapati referred to the ruler or king, emphasizing their role as the protector of their people.</w:t>
      </w:r>
    </w:p>
    <w:p>
      <w:pPr>
        <w:spacing w:before="0"/>
      </w:pPr>
      <w:r>
        <w:rPr>
          <w:b w:val="0"/>
        </w:rPr>
        <w:t>• The title "Narapati" was used to symbolize the king's military and administrative prowess as a leader.</w:t>
      </w:r>
    </w:p>
    <w:p>
      <w:pPr>
        <w:spacing w:before="0"/>
      </w:pPr>
      <w:r>
        <w:rPr>
          <w:b w:val="0"/>
        </w:rPr>
        <w:t>• The Vijayanagara rulers, known as Rayas, were recognized for maintaining strong administrative structures and patronizing art, architecture, and religion.</w:t>
      </w:r>
    </w:p>
    <w:p>
      <w:pPr>
        <w:spacing w:before="0"/>
      </w:pPr>
      <w:r>
        <w:rPr>
          <w:b w:val="0"/>
        </w:rPr>
        <w:t>• Vijayanagara court traditions incorporated elements of Hindu dharmic governance alongside military supremacy.</w:t>
      </w:r>
    </w:p>
    <w:p>
      <w:pPr>
        <w:spacing w:before="0"/>
      </w:pPr>
      <w:r>
        <w:rPr>
          <w:b w:val="0"/>
        </w:rPr>
        <w:t>• Titles like Narapati reflected the cultural ethos and political significance of the Vijayanagara Empire in South India during its peak.</w:t>
      </w:r>
    </w:p>
    <w:p>
      <w:pPr>
        <w:spacing w:before="0"/>
      </w:pPr>
      <w:r>
        <w:rPr>
          <w:b w:val="0"/>
        </w:rPr>
        <w:t>• Option 2: Rayas were titled Gajapati Gajapati, meaning "lord of elephants," was a title used by rulers of the Odisha region, particularly the Gajapati dynasty.</w:t>
      </w:r>
    </w:p>
    <w:p>
      <w:pPr>
        <w:spacing w:before="0"/>
      </w:pPr>
      <w:r>
        <w:rPr>
          <w:b w:val="0"/>
        </w:rPr>
        <w:t>• This title was not associated with Vijayanagara rulers or Rayas; it was specific to Odisha kings.</w:t>
      </w:r>
    </w:p>
    <w:p>
      <w:pPr>
        <w:spacing w:before="0"/>
      </w:pPr>
      <w:r>
        <w:rPr>
          <w:b w:val="0"/>
        </w:rPr>
        <w:t>• The Gajapati rulers were known for their military strength and extensive use of elephants in warfare.</w:t>
      </w:r>
    </w:p>
    <w:p>
      <w:pPr>
        <w:spacing w:before="0"/>
      </w:pPr>
      <w:r>
        <w:rPr>
          <w:b w:val="0"/>
        </w:rPr>
        <w:t>• Option 3: Sultans were called Ashvapati Ashvapati, meaning "lord of horses," was not a title specifically used for Sultans.</w:t>
      </w:r>
    </w:p>
    <w:p>
      <w:pPr>
        <w:spacing w:before="0"/>
      </w:pPr>
      <w:r>
        <w:rPr>
          <w:b w:val="0"/>
        </w:rPr>
        <w:t>• It generally referred to rulers who maintained a strong cavalry force, but this term is not historically attributed to Vijayanagara court traditions or Sultans.</w:t>
      </w:r>
    </w:p>
    <w:p>
      <w:pPr>
        <w:spacing w:before="0"/>
      </w:pPr>
      <w:r>
        <w:rPr>
          <w:b w:val="0"/>
        </w:rPr>
        <w:t>• The Sultans of Deccan, who were contemporaries of Vijayanagara, used titles like "Shah" or "Sultan," reflecting Islamic traditions.</w:t>
      </w:r>
    </w:p>
    <w:p>
      <w:pPr>
        <w:spacing w:before="0"/>
      </w:pPr>
      <w:r>
        <w:rPr>
          <w:b w:val="0"/>
        </w:rPr>
        <w:t>• Option 4: Both used Rajadhiraj Rajadhiraj, meaning "king of kings," was a common title in ancient Indian traditions for powerful rulers.</w:t>
      </w:r>
    </w:p>
    <w:p>
      <w:pPr>
        <w:spacing w:before="0"/>
      </w:pPr>
      <w:r>
        <w:rPr>
          <w:b w:val="0"/>
        </w:rPr>
        <w:t>• While Vijayanagara rulers may have used similar titles to assert their supremacy, this title was not unique to Vijayanagara court traditions.</w:t>
      </w:r>
    </w:p>
    <w:p>
      <w:pPr>
        <w:spacing w:before="0"/>
      </w:pPr>
      <w:r>
        <w:rPr>
          <w:b w:val="0"/>
        </w:rPr>
        <w:t>• It was a general term used across various Indian dynasties, including the Cholas, Mauryas, and Guptas.</w:t>
      </w:r>
    </w:p>
    <w:p>
      <w:pPr>
        <w:spacing w:before="0"/>
      </w:pPr>
      <w:r>
        <w:rPr>
          <w:b w:val="0"/>
        </w:rPr>
        <w:t>• Vijayanagara Empire Overview The Vijayanagara Empire (1336–1646) was a prominent South Indian empire established by Harihara I and Bukka Raya.</w:t>
      </w:r>
    </w:p>
    <w:p>
      <w:pPr>
        <w:spacing w:before="0"/>
      </w:pPr>
      <w:r>
        <w:rPr>
          <w:b w:val="0"/>
        </w:rPr>
        <w:t>• It was known for its contributions to art, architecture, and literature, particularly in the Dravidian style.</w:t>
      </w:r>
    </w:p>
    <w:p>
      <w:pPr>
        <w:spacing w:before="0"/>
      </w:pPr>
      <w:r>
        <w:rPr>
          <w:b w:val="0"/>
        </w:rPr>
        <w:t>• It successfully resisted the invasions of the Delhi Sultanate and safeguarded Hindu traditions and culture.</w:t>
      </w:r>
    </w:p>
    <w:p>
      <w:pPr>
        <w:spacing w:before="0"/>
      </w:pPr>
      <w:r>
        <w:rPr>
          <w:b w:val="0"/>
        </w:rPr>
        <w:t>• The empire's administrative system was highly organized, with provincial governance and a strong military backbone.</w:t>
      </w:r>
    </w:p>
    <w:p>
      <w:pPr>
        <w:spacing w:before="0"/>
      </w:pPr>
      <w:r>
        <w:rPr>
          <w:b w:val="0"/>
        </w:rPr>
        <w:t>• Its capital, Hampi, is a UNESCO World Heritage Site known for its architectural splendor.</w:t>
      </w:r>
    </w:p>
    <w:p>
      <w:pPr>
        <w:spacing w:before="0"/>
      </w:pPr>
      <w:r>
        <w:rPr>
          <w:b w:val="0"/>
        </w:rPr>
      </w:r>
    </w:p>
    <w:p>
      <w:pPr>
        <w:spacing w:after="100" w:line="360" w:lineRule="auto" w:before="0"/>
      </w:pPr>
      <w:r>
        <w:rPr>
          <w:b w:val="0"/>
        </w:rPr>
        <w:t>8. The Age of Consent Act, 1891 increased the minimum marriage age for girls from:</w:t>
      </w:r>
    </w:p>
    <w:p>
      <w:pPr>
        <w:spacing w:before="0"/>
      </w:pPr>
      <w:r>
        <w:rPr>
          <w:b w:val="0"/>
        </w:rPr>
      </w:r>
    </w:p>
    <w:p>
      <w:pPr>
        <w:spacing w:after="100" w:before="0"/>
      </w:pPr>
      <w:r>
        <w:rPr>
          <w:b w:val="0"/>
        </w:rPr>
        <w:t>A. 10 to 11 years</w:t>
      </w:r>
    </w:p>
    <w:p>
      <w:pPr>
        <w:spacing w:after="100" w:before="0"/>
      </w:pPr>
      <w:r>
        <w:rPr>
          <w:b w:val="0"/>
        </w:rPr>
        <w:t>B. 10 to 12 years</w:t>
      </w:r>
    </w:p>
    <w:p>
      <w:pPr>
        <w:spacing w:after="100" w:before="0"/>
      </w:pPr>
      <w:r>
        <w:rPr>
          <w:b w:val="0"/>
        </w:rPr>
        <w:t>C. 10 to 13 years</w:t>
      </w:r>
    </w:p>
    <w:p>
      <w:pPr>
        <w:spacing w:after="100" w:before="0"/>
      </w:pPr>
      <w:r>
        <w:rPr>
          <w:b w:val="0"/>
        </w:rPr>
        <w:t>D. 10 to 14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to 12 years. Key Points Additional Information</w:t>
      </w:r>
    </w:p>
    <w:p>
      <w:pPr>
        <w:spacing w:before="0"/>
      </w:pPr>
      <w:r>
        <w:rPr>
          <w:b w:val="0"/>
        </w:rPr>
        <w:t>• The Age of Consent Act, 1891, was a landmark legislation passed during British rule in India to increase the minimum age for marriage for girls.</w:t>
      </w:r>
    </w:p>
    <w:p>
      <w:pPr>
        <w:spacing w:before="0"/>
      </w:pPr>
      <w:r>
        <w:rPr>
          <w:b w:val="0"/>
        </w:rPr>
        <w:t>• The act raised the minimum age of marriage for girls from 10 years to 12 years, aiming to address issues of child marriage and protect young girls.</w:t>
      </w:r>
    </w:p>
    <w:p>
      <w:pPr>
        <w:spacing w:before="0"/>
      </w:pPr>
      <w:r>
        <w:rPr>
          <w:b w:val="0"/>
        </w:rPr>
        <w:t>• It was enacted following widespread criticism of the practice of child marriage and sexual exploitation of young girls in society during that period.</w:t>
      </w:r>
    </w:p>
    <w:p>
      <w:pPr>
        <w:spacing w:before="0"/>
      </w:pPr>
      <w:r>
        <w:rPr>
          <w:b w:val="0"/>
        </w:rPr>
        <w:t>• Reform movements, such as those led by Indian social reformers including Behramji Malabari, played a significant role in advocating for this legal change.</w:t>
      </w:r>
    </w:p>
    <w:p>
      <w:pPr>
        <w:spacing w:before="0"/>
      </w:pPr>
      <w:r>
        <w:rPr>
          <w:b w:val="0"/>
        </w:rPr>
        <w:t>• The legislation specifically targeted the age of consent for marital relations, ensuring that girls below the age of 12 could not legally consent to such relations.</w:t>
      </w:r>
    </w:p>
    <w:p>
      <w:pPr>
        <w:spacing w:before="0"/>
      </w:pPr>
      <w:r>
        <w:rPr>
          <w:b w:val="0"/>
        </w:rPr>
        <w:t>• Option 1: 10 to 11 years There was no historical evidence or legislation during British India that increased the minimum marriage age for girls from 10 to 11 years.</w:t>
      </w:r>
    </w:p>
    <w:p>
      <w:pPr>
        <w:spacing w:before="0"/>
      </w:pPr>
      <w:r>
        <w:rPr>
          <w:b w:val="0"/>
        </w:rPr>
        <w:t>• This option is incorrect as the Age of Consent Act, 1891, explicitly raised the age from 10 to 12 years.</w:t>
      </w:r>
    </w:p>
    <w:p>
      <w:pPr>
        <w:spacing w:before="0"/>
      </w:pPr>
      <w:r>
        <w:rPr>
          <w:b w:val="0"/>
        </w:rPr>
        <w:t>• Option 3: 10 to 13 years While there were later reforms in the 20th century that further increased the marriage age for girls, the Age of Consent Act, 1891, set the age at 12 years.</w:t>
      </w:r>
    </w:p>
    <w:p>
      <w:pPr>
        <w:spacing w:before="0"/>
      </w:pPr>
      <w:r>
        <w:rPr>
          <w:b w:val="0"/>
        </w:rPr>
        <w:t>• This option does not align with the historical timeline of the act.</w:t>
      </w:r>
    </w:p>
    <w:p>
      <w:pPr>
        <w:spacing w:before="0"/>
      </w:pPr>
      <w:r>
        <w:rPr>
          <w:b w:val="0"/>
        </w:rPr>
        <w:t>• Option 4: 10 to 14 years The Age of Consent Act, 1891, did not set the minimum marriage age for girls at 14 years.</w:t>
      </w:r>
    </w:p>
    <w:p>
      <w:pPr>
        <w:spacing w:before="0"/>
      </w:pPr>
      <w:r>
        <w:rPr>
          <w:b w:val="0"/>
        </w:rPr>
        <w:t>• Further amendments and legal reforms in India raised the marriage age for girls in later years, but this was not part of the 1891 legislation.</w:t>
      </w:r>
    </w:p>
    <w:p>
      <w:pPr>
        <w:spacing w:before="0"/>
      </w:pPr>
      <w:r>
        <w:rPr>
          <w:b w:val="0"/>
        </w:rPr>
        <w:t>• Main Theme: Child Marriage and Social Reforms in Colonial India The Age of Consent Act, 1891, was part of broader social reforms during British rule in India to tackle child marriage, which was prevalent in society.</w:t>
      </w:r>
    </w:p>
    <w:p>
      <w:pPr>
        <w:spacing w:before="0"/>
      </w:pPr>
      <w:r>
        <w:rPr>
          <w:b w:val="0"/>
        </w:rPr>
        <w:t>• Efforts by social reformers such as Raja Ram Mohan Roy, Ishwar Chandra Vidyasagar, and Behramji Malabari were critical in initiating discussions around women’s rights and child welfare.</w:t>
      </w:r>
    </w:p>
    <w:p>
      <w:pPr>
        <w:spacing w:before="0"/>
      </w:pPr>
      <w:r>
        <w:rPr>
          <w:b w:val="0"/>
        </w:rPr>
        <w:t>• These reforms were also influenced by growing awareness and pressure from international human rights movements.</w:t>
      </w:r>
    </w:p>
    <w:p>
      <w:pPr>
        <w:spacing w:before="0"/>
      </w:pPr>
      <w:r>
        <w:rPr>
          <w:b w:val="0"/>
        </w:rPr>
      </w:r>
    </w:p>
    <w:p>
      <w:pPr>
        <w:spacing w:after="100" w:line="360" w:lineRule="auto" w:before="0"/>
      </w:pPr>
      <w:r>
        <w:rPr>
          <w:b w:val="0"/>
        </w:rPr>
        <w:t>9. Read the below statements marked as Assertion (A) and Reason (R). Mark the correct option: Assertion (A): India–Nepal border disputes persist despite substantial boundary mapping. Reason (R): Disagreements like Susta arise due to differing river interpretations under the Treaty of Sugauli.</w:t>
      </w:r>
    </w:p>
    <w:p>
      <w:pPr>
        <w:spacing w:before="0"/>
      </w:pPr>
      <w:r>
        <w:rPr>
          <w:b w:val="0"/>
        </w:rPr>
      </w:r>
    </w:p>
    <w:p>
      <w:pPr>
        <w:spacing w:after="100" w:before="0"/>
      </w:pPr>
      <w:r>
        <w:rPr>
          <w:b w:val="0"/>
        </w:rPr>
        <w:t>A. Both A and R are true, and R correctly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correctly explains A. Key Points Additional Information</w:t>
      </w:r>
    </w:p>
    <w:p>
      <w:pPr>
        <w:spacing w:before="0"/>
      </w:pPr>
      <w:r>
        <w:rPr>
          <w:b w:val="0"/>
        </w:rPr>
        <w:t>• The India-Nepal border dispute is primarily centered around areas like Kalapani, Limpiyadhura, Lipulekh, and Susta.</w:t>
      </w:r>
    </w:p>
    <w:p>
      <w:pPr>
        <w:spacing w:before="0"/>
      </w:pPr>
      <w:r>
        <w:rPr>
          <w:b w:val="0"/>
        </w:rPr>
        <w:t>• The boundary issues arise despite detailed mappings, as these disputes are largely a result of historical treaties and differing river interpretations under the Treaty of Sugauli (1815).</w:t>
      </w:r>
    </w:p>
    <w:p>
      <w:pPr>
        <w:spacing w:before="0"/>
      </w:pPr>
      <w:r>
        <w:rPr>
          <w:b w:val="0"/>
        </w:rPr>
        <w:t>• The Treaty of Sugauli, signed between the British East India Company and the Kingdom of Nepal, fixed the Kali River as the boundary, but disputes arise due to variations in identifying the source of the river.</w:t>
      </w:r>
    </w:p>
    <w:p>
      <w:pPr>
        <w:spacing w:before="0"/>
      </w:pPr>
      <w:r>
        <w:rPr>
          <w:b w:val="0"/>
        </w:rPr>
        <w:t>• The Susta region, located in the Terai, has disputes stemming from the shifting course of the Gandak River, which has led to territorial disagreements.</w:t>
      </w:r>
    </w:p>
    <w:p>
      <w:pPr>
        <w:spacing w:before="0"/>
      </w:pPr>
      <w:r>
        <w:rPr>
          <w:b w:val="0"/>
        </w:rPr>
        <w:t>• The Reason (R) correctly explains the Assertion (A), as these disputes are deeply rooted in differing interpretations of the river boundaries, which were defined centuries ago in the treaty.</w:t>
      </w:r>
    </w:p>
    <w:p>
      <w:pPr>
        <w:spacing w:before="0"/>
      </w:pPr>
      <w:r>
        <w:rPr>
          <w:b w:val="0"/>
        </w:rPr>
        <w:t>• Option 2: Both A and R are true, but R does not explain A This option is incorrect because the Reason (R) directly explains the Assertion (A).</w:t>
      </w:r>
    </w:p>
    <w:p>
      <w:pPr>
        <w:spacing w:before="0"/>
      </w:pPr>
      <w:r>
        <w:rPr>
          <w:b w:val="0"/>
        </w:rPr>
        <w:t>• The disputes in the India-Nepal border region, particularly in areas like Susta, are explicitly tied to the interpretation of rivers as per the Treaty of Sugauli.</w:t>
      </w:r>
    </w:p>
    <w:p>
      <w:pPr>
        <w:spacing w:before="0"/>
      </w:pPr>
      <w:r>
        <w:rPr>
          <w:b w:val="0"/>
        </w:rPr>
        <w:t>• Option 3: A is true, R is false This option is incorrect as both the Assertion and the Reason are true.</w:t>
      </w:r>
    </w:p>
    <w:p>
      <w:pPr>
        <w:spacing w:before="0"/>
      </w:pPr>
      <w:r>
        <w:rPr>
          <w:b w:val="0"/>
        </w:rPr>
        <w:t>• The Reason (R) provides a valid explanation for the Assertion (A), as the disputes are indeed due to the differing interpretations of rivers under the treaty.</w:t>
      </w:r>
    </w:p>
    <w:p>
      <w:pPr>
        <w:spacing w:before="0"/>
      </w:pPr>
      <w:r>
        <w:rPr>
          <w:b w:val="0"/>
        </w:rPr>
        <w:t>• Option 4: A is false, R is true This option is invalid because the Assertion (A) is correct. India-Nepal border disputes do persist despite substantial boundary mapping.</w:t>
      </w:r>
    </w:p>
    <w:p>
      <w:pPr>
        <w:spacing w:before="0"/>
      </w:pPr>
      <w:r>
        <w:rPr>
          <w:b w:val="0"/>
        </w:rPr>
        <w:t>• The Reason (R) is also true and provides an accurate explanation for the disputes.</w:t>
      </w:r>
    </w:p>
    <w:p>
      <w:pPr>
        <w:spacing w:before="0"/>
      </w:pPr>
      <w:r>
        <w:rPr>
          <w:b w:val="0"/>
        </w:rPr>
        <w:t>• India-Nepal Border Dispute Overview India and Nepal share an approximately 1,770 km long border, with open borders allowing free movement of people and goods.</w:t>
      </w:r>
    </w:p>
    <w:p>
      <w:pPr>
        <w:spacing w:before="0"/>
      </w:pPr>
      <w:r>
        <w:rPr>
          <w:b w:val="0"/>
        </w:rPr>
        <w:t>• Disputes like those in Kalapani and Susta often strain bilateral relations.</w:t>
      </w:r>
    </w:p>
    <w:p>
      <w:pPr>
        <w:spacing w:before="0"/>
      </w:pPr>
      <w:r>
        <w:rPr>
          <w:b w:val="0"/>
        </w:rPr>
        <w:t>• Efforts are ongoing to resolve these disputes through diplomatic dialogue and joint border committees.</w:t>
      </w:r>
    </w:p>
    <w:p>
      <w:pPr>
        <w:spacing w:before="0"/>
      </w:pPr>
      <w:r>
        <w:rPr>
          <w:b w:val="0"/>
        </w:rPr>
      </w:r>
    </w:p>
    <w:p>
      <w:pPr>
        <w:spacing w:after="100" w:line="360" w:lineRule="auto" w:before="0"/>
      </w:pPr>
      <w:r>
        <w:rPr>
          <w:b w:val="0"/>
        </w:rPr>
        <w:t>10. What is the central theme of Peter Frankopan’s The Silk Roads?</w:t>
      </w:r>
    </w:p>
    <w:p>
      <w:pPr>
        <w:spacing w:before="0"/>
      </w:pPr>
      <w:r>
        <w:rPr>
          <w:b w:val="0"/>
        </w:rPr>
      </w:r>
    </w:p>
    <w:p>
      <w:pPr>
        <w:spacing w:after="100" w:before="0"/>
      </w:pPr>
      <w:r>
        <w:rPr>
          <w:b w:val="0"/>
        </w:rPr>
        <w:t>A. European maritime dominance</w:t>
      </w:r>
    </w:p>
    <w:p>
      <w:pPr>
        <w:spacing w:after="100" w:before="0"/>
      </w:pPr>
      <w:r>
        <w:rPr>
          <w:b w:val="0"/>
        </w:rPr>
        <w:t>B. Rome–China military rivalry</w:t>
      </w:r>
    </w:p>
    <w:p>
      <w:pPr>
        <w:spacing w:after="100" w:before="0"/>
      </w:pPr>
      <w:r>
        <w:rPr>
          <w:b w:val="0"/>
        </w:rPr>
        <w:t>C. Global history through Silk Road exchanges</w:t>
      </w:r>
    </w:p>
    <w:p>
      <w:pPr>
        <w:spacing w:after="100" w:before="0"/>
      </w:pPr>
      <w:r>
        <w:rPr>
          <w:b w:val="0"/>
        </w:rPr>
        <w:t>D. Industrial Europe’s 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Global history through Silk Road exchanges. Key Points Additional Information</w:t>
      </w:r>
    </w:p>
    <w:p>
      <w:pPr>
        <w:spacing w:before="0"/>
      </w:pPr>
      <w:r>
        <w:rPr>
          <w:b w:val="0"/>
        </w:rPr>
        <w:t>• The Silk Roads by Peter Frankopan reinterprets global history through the lens of the trade, cultural, and political exchanges along the Silk Roads.</w:t>
      </w:r>
    </w:p>
    <w:p>
      <w:pPr>
        <w:spacing w:before="0"/>
      </w:pPr>
      <w:r>
        <w:rPr>
          <w:b w:val="0"/>
        </w:rPr>
        <w:t>• The book emphasizes the significance of the region spanning from the Mediterranean to Central Asia, which served as the world's economic and cultural center for centuries.</w:t>
      </w:r>
    </w:p>
    <w:p>
      <w:pPr>
        <w:spacing w:before="0"/>
      </w:pPr>
      <w:r>
        <w:rPr>
          <w:b w:val="0"/>
        </w:rPr>
        <w:t>• Frankopan highlights how the movement of goods, people, and ideas along these routes shaped civilizations and drove global connections.</w:t>
      </w:r>
    </w:p>
    <w:p>
      <w:pPr>
        <w:spacing w:before="0"/>
      </w:pPr>
      <w:r>
        <w:rPr>
          <w:b w:val="0"/>
        </w:rPr>
        <w:t>• The work challenges the Eurocentric view of history and instead underscores the pivotal role of Asia and the Middle East in the development of the modern world.</w:t>
      </w:r>
    </w:p>
    <w:p>
      <w:pPr>
        <w:spacing w:before="0"/>
      </w:pPr>
      <w:r>
        <w:rPr>
          <w:b w:val="0"/>
        </w:rPr>
        <w:t>• It provides a broad perspective on how the Silk Roads influenced the spread of religions, technologies, languages, and even pandemics across continents.</w:t>
      </w:r>
    </w:p>
    <w:p>
      <w:pPr>
        <w:spacing w:before="0"/>
      </w:pPr>
      <w:r>
        <w:rPr>
          <w:b w:val="0"/>
        </w:rPr>
        <w:t>• European maritime dominance Refers to the period of European colonial expansion and naval supremacy, particularly during the Age of Exploration (15th–17th centuries).</w:t>
      </w:r>
    </w:p>
    <w:p>
      <w:pPr>
        <w:spacing w:before="0"/>
      </w:pPr>
      <w:r>
        <w:rPr>
          <w:b w:val="0"/>
        </w:rPr>
        <w:t>• Key events include the voyages of Christopher Columbus, Vasco da Gama, and Ferdinand Magellan, which established European trade routes across the Atlantic and Indian Oceans.</w:t>
      </w:r>
    </w:p>
    <w:p>
      <w:pPr>
        <w:spacing w:before="0"/>
      </w:pPr>
      <w:r>
        <w:rPr>
          <w:b w:val="0"/>
        </w:rPr>
        <w:t>• This theme focuses on European powers like Portugal, Spain, Britain, and the Netherlands dominating global trade and colonization rather than the Silk Roads.</w:t>
      </w:r>
    </w:p>
    <w:p>
      <w:pPr>
        <w:spacing w:before="0"/>
      </w:pPr>
      <w:r>
        <w:rPr>
          <w:b w:val="0"/>
        </w:rPr>
        <w:t>• Rome–China military rivalry While Rome and China were two powerful ancient empires, they were not direct military rivals due to geographical distance.</w:t>
      </w:r>
    </w:p>
    <w:p>
      <w:pPr>
        <w:spacing w:before="0"/>
      </w:pPr>
      <w:r>
        <w:rPr>
          <w:b w:val="0"/>
        </w:rPr>
        <w:t>• Instead, their interaction was primarily through trade along the Silk Roads, with goods such as Chinese silk and Roman glassware exchanged.</w:t>
      </w:r>
    </w:p>
    <w:p>
      <w:pPr>
        <w:spacing w:before="0"/>
      </w:pPr>
      <w:r>
        <w:rPr>
          <w:b w:val="0"/>
        </w:rPr>
        <w:t>• There are historical accounts of indirect contact, but no significant military confrontations between the two empires are documented.</w:t>
      </w:r>
    </w:p>
    <w:p>
      <w:pPr>
        <w:spacing w:before="0"/>
      </w:pPr>
      <w:r>
        <w:rPr>
          <w:b w:val="0"/>
        </w:rPr>
        <w:t>• Industrial Europe’s rise The rise of industrial Europe refers to the Industrial Revolution that began in the 18th century, primarily in Britain, and spread across Europe and North America.</w:t>
      </w:r>
    </w:p>
    <w:p>
      <w:pPr>
        <w:spacing w:before="0"/>
      </w:pPr>
      <w:r>
        <w:rPr>
          <w:b w:val="0"/>
        </w:rPr>
        <w:t>• This period was characterized by technological innovations, urbanization, and a shift from agrarian economies to industrial production.</w:t>
      </w:r>
    </w:p>
    <w:p>
      <w:pPr>
        <w:spacing w:before="0"/>
      </w:pPr>
      <w:r>
        <w:rPr>
          <w:b w:val="0"/>
        </w:rPr>
        <w:t>• While it marked a pivotal moment in global history, it is not the central focus of Peter Frankopan’s The Silk Roads, which explores earlier historical dynamics.</w:t>
      </w:r>
    </w:p>
    <w:p>
      <w:pPr>
        <w:spacing w:before="0"/>
      </w:pPr>
      <w:r>
        <w:rPr>
          <w:b w:val="0"/>
        </w:rPr>
      </w:r>
    </w:p>
    <w:p>
      <w:pPr>
        <w:spacing w:after="100" w:line="360" w:lineRule="auto" w:before="0"/>
      </w:pPr>
      <w:r>
        <w:rPr>
          <w:b w:val="0"/>
        </w:rPr>
        <w:t>11. Read the below statements marked as Assertion (A) and Reason (R). Mark the correct option: Assertion (A): The Northern Plains support intensive agriculture in India. Reason (R): Fertile alluvial soil, flat terrain, and perennial rivers aid cultivation.</w:t>
      </w:r>
    </w:p>
    <w:p>
      <w:pPr>
        <w:spacing w:before="0"/>
      </w:pPr>
      <w:r>
        <w:rPr>
          <w:b w:val="0"/>
        </w:rPr>
      </w:r>
    </w:p>
    <w:p>
      <w:pPr>
        <w:spacing w:after="100" w:before="0"/>
      </w:pPr>
      <w:r>
        <w:rPr>
          <w:b w:val="0"/>
        </w:rPr>
        <w:t>A. Both A and R are true, and R correctly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correctly explains A. Key Points Additional Information</w:t>
      </w:r>
    </w:p>
    <w:p>
      <w:pPr>
        <w:spacing w:before="0"/>
      </w:pPr>
      <w:r>
        <w:rPr>
          <w:b w:val="0"/>
        </w:rPr>
        <w:t>• The Northern Plains of India are formed by the alluvial deposits of the Indus, Ganga, and Brahmaputra rivers, making the soil highly fertile and conducive for farming.</w:t>
      </w:r>
    </w:p>
    <w:p>
      <w:pPr>
        <w:spacing w:before="0"/>
      </w:pPr>
      <w:r>
        <w:rPr>
          <w:b w:val="0"/>
        </w:rPr>
        <w:t>• The flat terrain of the plains facilitates the use of advanced agricultural machinery, improving productivity and efficiency in farming practices.</w:t>
      </w:r>
    </w:p>
    <w:p>
      <w:pPr>
        <w:spacing w:before="0"/>
      </w:pPr>
      <w:r>
        <w:rPr>
          <w:b w:val="0"/>
        </w:rPr>
        <w:t>• The presence of perennial rivers such as the Ganga, Yamuna, and Brahmaputra ensures an adequate supply of water for irrigation throughout the year, reducing dependence on monsoon rainfall.</w:t>
      </w:r>
    </w:p>
    <w:p>
      <w:pPr>
        <w:spacing w:before="0"/>
      </w:pPr>
      <w:r>
        <w:rPr>
          <w:b w:val="0"/>
        </w:rPr>
        <w:t>• The region supports the cultivation of a wide variety of crops, including rice, wheat, sugarcane, and pulses, due to favorable climatic and soil conditions.</w:t>
      </w:r>
    </w:p>
    <w:p>
      <w:pPr>
        <w:spacing w:before="0"/>
      </w:pPr>
      <w:r>
        <w:rPr>
          <w:b w:val="0"/>
        </w:rPr>
        <w:t>• These factors collectively make the Northern Plains one of the most agriculturally productive regions in India, supporting intensive agriculture and contributing significantly to the country’s food security.</w:t>
      </w:r>
    </w:p>
    <w:p>
      <w:pPr>
        <w:spacing w:before="0"/>
      </w:pPr>
      <w:r>
        <w:rPr>
          <w:b w:val="0"/>
        </w:rPr>
        <w:t>• Option 2: Both A and R are true, but R does not explain A This option would have been correct if the reason (R) did not directly explain the assertion (A).</w:t>
      </w:r>
    </w:p>
    <w:p>
      <w:pPr>
        <w:spacing w:before="0"/>
      </w:pPr>
      <w:r>
        <w:rPr>
          <w:b w:val="0"/>
        </w:rPr>
        <w:t>• However, in this case, the fertile alluvial soil, flat terrain, and perennial rivers are the primary reasons why the Northern Plains support intensive agriculture, making R the correct explanation for A.</w:t>
      </w:r>
    </w:p>
    <w:p>
      <w:pPr>
        <w:spacing w:before="0"/>
      </w:pPr>
      <w:r>
        <w:rPr>
          <w:b w:val="0"/>
        </w:rPr>
        <w:t>• Option 3: A is true, R is false This option is incorrect because the reason (R) is factual and directly relates to the assertion (A).</w:t>
      </w:r>
    </w:p>
    <w:p>
      <w:pPr>
        <w:spacing w:before="0"/>
      </w:pPr>
      <w:r>
        <w:rPr>
          <w:b w:val="0"/>
        </w:rPr>
        <w:t>• The Northern Plains indeed have fertile soil, flat terrain, and perennial rivers, which are significant factors contributing to intensive agriculture.</w:t>
      </w:r>
    </w:p>
    <w:p>
      <w:pPr>
        <w:spacing w:before="0"/>
      </w:pPr>
      <w:r>
        <w:rPr>
          <w:b w:val="0"/>
        </w:rPr>
        <w:t>• Option 4: A is false, R is true This option is incorrect because the assertion (A) is true. The Northern Plains do support intensive agriculture, and this is a well-documented fact.</w:t>
      </w:r>
    </w:p>
    <w:p>
      <w:pPr>
        <w:spacing w:before="0"/>
      </w:pPr>
      <w:r>
        <w:rPr>
          <w:b w:val="0"/>
        </w:rPr>
        <w:t>• The reason (R) is also true, as the described factors play a critical role in agricultural productivity in the region.</w:t>
      </w:r>
    </w:p>
    <w:p>
      <w:pPr>
        <w:spacing w:before="0"/>
      </w:pPr>
      <w:r>
        <w:rPr>
          <w:b w:val="0"/>
        </w:rPr>
        <w:t>• Importance of the Northern Plains: The Northern Plains are a vital agricultural region in India, often referred to as the "Granary of India."</w:t>
      </w:r>
    </w:p>
    <w:p>
      <w:pPr>
        <w:spacing w:before="0"/>
      </w:pPr>
      <w:r>
        <w:rPr>
          <w:b w:val="0"/>
        </w:rPr>
        <w:t>• The availability of rich soil, ample water supply, and a suitable climate make the region ideal for sustaining high agricultural yields.</w:t>
      </w:r>
    </w:p>
    <w:p>
      <w:pPr>
        <w:spacing w:before="0"/>
      </w:pPr>
      <w:r>
        <w:rPr>
          <w:b w:val="0"/>
        </w:rPr>
        <w:t>• The region contributes significantly to the Indian economy by producing staple crops such as rice and wheat, which are essential for domestic consumption and export.</w:t>
      </w:r>
    </w:p>
    <w:p>
      <w:pPr>
        <w:spacing w:before="0"/>
      </w:pPr>
      <w:r>
        <w:rPr>
          <w:b w:val="0"/>
        </w:rPr>
      </w:r>
    </w:p>
    <w:p>
      <w:pPr>
        <w:spacing w:after="100" w:line="360" w:lineRule="auto" w:before="0"/>
      </w:pPr>
      <w:r>
        <w:rPr>
          <w:b w:val="0"/>
        </w:rPr>
        <w:t>12. Fill in the blanks: India’s Space Vision 2047 targets an Indian space station by ____ and a Moon landing by ____.</w:t>
      </w:r>
    </w:p>
    <w:p>
      <w:pPr>
        <w:spacing w:before="0"/>
      </w:pPr>
      <w:r>
        <w:rPr>
          <w:b w:val="0"/>
        </w:rPr>
      </w:r>
    </w:p>
    <w:p>
      <w:pPr>
        <w:spacing w:after="100" w:before="0"/>
      </w:pPr>
      <w:r>
        <w:rPr>
          <w:b w:val="0"/>
        </w:rPr>
        <w:t>A. 2030, 2035</w:t>
      </w:r>
    </w:p>
    <w:p>
      <w:pPr>
        <w:spacing w:after="100" w:before="0"/>
      </w:pPr>
      <w:r>
        <w:rPr>
          <w:b w:val="0"/>
        </w:rPr>
        <w:t>B. 2035, 2040</w:t>
      </w:r>
    </w:p>
    <w:p>
      <w:pPr>
        <w:spacing w:after="100" w:before="0"/>
      </w:pPr>
      <w:r>
        <w:rPr>
          <w:b w:val="0"/>
        </w:rPr>
        <w:t>C. 2040, 2047</w:t>
      </w:r>
    </w:p>
    <w:p>
      <w:pPr>
        <w:spacing w:after="100" w:before="0"/>
      </w:pPr>
      <w:r>
        <w:rPr>
          <w:b w:val="0"/>
        </w:rPr>
        <w:t>D. 2027, 2035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India’s Space Vision 2047, unveiled by ISRO, targets bold advancements in space exploration, including establishing an Indian space station by 2035.</w:t>
      </w:r>
    </w:p>
    <w:p>
      <w:pPr>
        <w:spacing w:before="0"/>
      </w:pPr>
      <w:r>
        <w:rPr>
          <w:b w:val="0"/>
        </w:rPr>
        <w:t>• The vision also aims for a human-crewed Moon landing by 2040, showcasing India’s commitment to advancing its capabilities in space technology.</w:t>
      </w:r>
    </w:p>
    <w:p>
      <w:pPr>
        <w:spacing w:before="0"/>
      </w:pPr>
      <w:r>
        <w:rPr>
          <w:b w:val="0"/>
        </w:rPr>
        <w:t>• The space station will enable long-term research in microgravity environments and support future missions to Mars and beyond.</w:t>
      </w:r>
    </w:p>
    <w:p>
      <w:pPr>
        <w:spacing w:before="0"/>
      </w:pPr>
      <w:r>
        <w:rPr>
          <w:b w:val="0"/>
        </w:rPr>
        <w:t>• ISRO plans to collaborate with international space agencies and private entities to achieve these milestones.</w:t>
      </w:r>
    </w:p>
    <w:p>
      <w:pPr>
        <w:spacing w:before="0"/>
      </w:pPr>
      <w:r>
        <w:rPr>
          <w:b w:val="0"/>
        </w:rPr>
        <w:t>• The initiative aligns with India’s broader goals of strengthening its space program and maintaining its competitive edge globally.</w:t>
      </w:r>
    </w:p>
    <w:p>
      <w:pPr>
        <w:spacing w:before="0"/>
      </w:pPr>
      <w:r>
        <w:rPr>
          <w:b w:val="0"/>
        </w:rPr>
        <w:t>• Option 1 (2030, 2035): While 2030 is an ambitious timeline for establishing a space station, ISRO has indicated that the target year is 2035.</w:t>
      </w:r>
    </w:p>
    <w:p>
      <w:pPr>
        <w:spacing w:before="0"/>
      </w:pPr>
      <w:r>
        <w:rPr>
          <w:b w:val="0"/>
        </w:rPr>
        <w:t>• The Moon landing by 2035 is not aligned with ISRO’s current roadmap, which prioritizes 2040 for this milestone.</w:t>
      </w:r>
    </w:p>
    <w:p>
      <w:pPr>
        <w:spacing w:before="0"/>
      </w:pPr>
      <w:r>
        <w:rPr>
          <w:b w:val="0"/>
        </w:rPr>
        <w:t>• Option 3 (2040, 2047): The timeline of 2047 for a Moon landing is beyond ISRO’s stated goals in Space Vision 2047.</w:t>
      </w:r>
    </w:p>
    <w:p>
      <w:pPr>
        <w:spacing w:before="0"/>
      </w:pPr>
      <w:r>
        <w:rPr>
          <w:b w:val="0"/>
        </w:rPr>
        <w:t>• India aims to achieve this milestone earlier, by 2040, to strengthen its position in the global space race.</w:t>
      </w:r>
    </w:p>
    <w:p>
      <w:pPr>
        <w:spacing w:before="0"/>
      </w:pPr>
      <w:r>
        <w:rPr>
          <w:b w:val="0"/>
        </w:rPr>
        <w:t>• Option 4 (2027, 2035): Establishing a space station by 2027 is unrealistic given the technological and financial challenges involved.</w:t>
      </w:r>
    </w:p>
    <w:p>
      <w:pPr>
        <w:spacing w:before="0"/>
      </w:pPr>
      <w:r>
        <w:rPr>
          <w:b w:val="0"/>
        </w:rPr>
        <w:t>• The target of 2035 for the Moon landing contradicts ISRO’s official timeline, which is set for 2040.</w:t>
      </w:r>
    </w:p>
    <w:p>
      <w:pPr>
        <w:spacing w:before="0"/>
      </w:pPr>
      <w:r>
        <w:rPr>
          <w:b w:val="0"/>
        </w:rPr>
        <w:t>• India’s Space Vision 2047: The plan includes ambitious goals such as creating a reusable launch vehicle, expanding satellite capabilities, and developing technologies for interplanetary exploration.</w:t>
      </w:r>
    </w:p>
    <w:p>
      <w:pPr>
        <w:spacing w:before="0"/>
      </w:pPr>
      <w:r>
        <w:rPr>
          <w:b w:val="0"/>
        </w:rPr>
        <w:t>• India’s space program emphasizes self-reliance and innovation to compete globally.</w:t>
      </w:r>
    </w:p>
    <w:p>
      <w:pPr>
        <w:spacing w:before="0"/>
      </w:pPr>
      <w:r>
        <w:rPr>
          <w:b w:val="0"/>
        </w:rPr>
        <w:t>• India aims to foster international cooperation and attract private investment to accelerate its space advancements.</w:t>
      </w:r>
    </w:p>
    <w:p>
      <w:pPr>
        <w:spacing w:before="0"/>
      </w:pPr>
      <w:r>
        <w:rPr>
          <w:b w:val="0"/>
        </w:rPr>
      </w:r>
    </w:p>
    <w:p>
      <w:pPr>
        <w:spacing w:after="100" w:line="360" w:lineRule="auto" w:before="0"/>
      </w:pPr>
      <w:r>
        <w:rPr>
          <w:b w:val="0"/>
        </w:rPr>
        <w:t>13. Identify the athlete incorrectly matched with their sport at National Games 2025.</w:t>
      </w:r>
    </w:p>
    <w:p>
      <w:pPr>
        <w:spacing w:before="0"/>
      </w:pPr>
      <w:r>
        <w:rPr>
          <w:b w:val="0"/>
        </w:rPr>
      </w:r>
    </w:p>
    <w:p>
      <w:pPr>
        <w:spacing w:after="100" w:before="0"/>
      </w:pPr>
      <w:r>
        <w:rPr>
          <w:b w:val="0"/>
        </w:rPr>
        <w:t>A. Lovlina Borgohain – Boxing</w:t>
      </w:r>
    </w:p>
    <w:p>
      <w:pPr>
        <w:spacing w:after="100" w:before="0"/>
      </w:pPr>
      <w:r>
        <w:rPr>
          <w:b w:val="0"/>
        </w:rPr>
        <w:t>B. Tajinderpal Toor – Shot Put</w:t>
      </w:r>
    </w:p>
    <w:p>
      <w:pPr>
        <w:spacing w:after="100" w:before="0"/>
      </w:pPr>
      <w:r>
        <w:rPr>
          <w:b w:val="0"/>
        </w:rPr>
        <w:t>C. Sarabjot Singh – Swimming</w:t>
      </w:r>
    </w:p>
    <w:p>
      <w:pPr>
        <w:spacing w:after="100" w:before="0"/>
      </w:pPr>
      <w:r>
        <w:rPr>
          <w:b w:val="0"/>
        </w:rPr>
        <w:t>D. Jyothi Yarraji – Hurdles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Sarabjot Singh – Swimming. Key Points Additional Information</w:t>
      </w:r>
    </w:p>
    <w:p>
      <w:pPr>
        <w:spacing w:before="0"/>
      </w:pPr>
      <w:r>
        <w:rPr>
          <w:b w:val="0"/>
        </w:rPr>
        <w:t>• Sarabjot Singh is not associated with swimming; instead, he is an accomplished Indian shooter specializing in 10m Air Pistol events.</w:t>
      </w:r>
    </w:p>
    <w:p>
      <w:pPr>
        <w:spacing w:before="0"/>
      </w:pPr>
      <w:r>
        <w:rPr>
          <w:b w:val="0"/>
        </w:rPr>
        <w:t>• He gained recognition by winning multiple medals in national and international shooting championships, showcasing his talent in the shooting discipline.</w:t>
      </w:r>
    </w:p>
    <w:p>
      <w:pPr>
        <w:spacing w:before="0"/>
      </w:pPr>
      <w:r>
        <w:rPr>
          <w:b w:val="0"/>
        </w:rPr>
        <w:t>• The incorrect pairing of Sarabjot Singh with swimming highlights a mismatch, as his professional accomplishments are in shooting, not aquatic sports.</w:t>
      </w:r>
    </w:p>
    <w:p>
      <w:pPr>
        <w:spacing w:before="0"/>
      </w:pPr>
      <w:r>
        <w:rPr>
          <w:b w:val="0"/>
        </w:rPr>
        <w:t>• At the National Games, athletes are recognized for their respective sports, and Sarabjot Singh's expertise is unrelated to swimming competitions.</w:t>
      </w:r>
    </w:p>
    <w:p>
      <w:pPr>
        <w:spacing w:before="0"/>
      </w:pPr>
      <w:r>
        <w:rPr>
          <w:b w:val="0"/>
        </w:rPr>
        <w:t>• This question tests the awareness of athletes' specific fields and their accurate representation in sports events.</w:t>
      </w:r>
    </w:p>
    <w:p>
      <w:pPr>
        <w:spacing w:before="0"/>
      </w:pPr>
      <w:r>
        <w:rPr>
          <w:b w:val="0"/>
        </w:rPr>
        <w:t>• Lovlina Borgohain – Boxing Lovlina Borgohain is a celebrated Indian boxer who won a bronze medal at the 2020 Tokyo Olympics in the women's welterweight category.</w:t>
      </w:r>
    </w:p>
    <w:p>
      <w:pPr>
        <w:spacing w:before="0"/>
      </w:pPr>
      <w:r>
        <w:rPr>
          <w:b w:val="0"/>
        </w:rPr>
        <w:t>• She is also a recipient of the prestigious Arjuna Award and has been a consistent performer in international boxing championships.</w:t>
      </w:r>
    </w:p>
    <w:p>
      <w:pPr>
        <w:spacing w:before="0"/>
      </w:pPr>
      <w:r>
        <w:rPr>
          <w:b w:val="0"/>
        </w:rPr>
        <w:t>• Lovlina represents India in boxing events and has earned accolades for her exceptional skills and dedication to the sport.</w:t>
      </w:r>
    </w:p>
    <w:p>
      <w:pPr>
        <w:spacing w:before="0"/>
      </w:pPr>
      <w:r>
        <w:rPr>
          <w:b w:val="0"/>
        </w:rPr>
        <w:t>• Tajinderpal Toor – Shot Put Tajinderpal Singh Toor is an Indian shot-putter who holds the Asian record in the event with a throw of 21.49 meters, achieved at the 2021 Indian Grand Prix.</w:t>
      </w:r>
    </w:p>
    <w:p>
      <w:pPr>
        <w:spacing w:before="0"/>
      </w:pPr>
      <w:r>
        <w:rPr>
          <w:b w:val="0"/>
        </w:rPr>
        <w:t>• He won the gold medal in shot put at the 2018 Asian Games and has been a dominant figure in the field events.</w:t>
      </w:r>
    </w:p>
    <w:p>
      <w:pPr>
        <w:spacing w:before="0"/>
      </w:pPr>
      <w:r>
        <w:rPr>
          <w:b w:val="0"/>
        </w:rPr>
        <w:t>• Toor is known for his strength and precision, making him one of India’s top track and field athletes.</w:t>
      </w:r>
    </w:p>
    <w:p>
      <w:pPr>
        <w:spacing w:before="0"/>
      </w:pPr>
      <w:r>
        <w:rPr>
          <w:b w:val="0"/>
        </w:rPr>
        <w:t>• Jyothi Yarraji – Hurdles Jyothi Yarraji is an Indian track athlete specializing in 100m hurdles, where she has set multiple national records.</w:t>
      </w:r>
    </w:p>
    <w:p>
      <w:pPr>
        <w:spacing w:before="0"/>
      </w:pPr>
      <w:r>
        <w:rPr>
          <w:b w:val="0"/>
        </w:rPr>
        <w:t>• She became the first Indian woman to break the 13-second barrier in the 100m hurdles, achieving remarkable success in athletics.</w:t>
      </w:r>
    </w:p>
    <w:p>
      <w:pPr>
        <w:spacing w:before="0"/>
      </w:pPr>
      <w:r>
        <w:rPr>
          <w:b w:val="0"/>
        </w:rPr>
        <w:t>• Jyothi is recognized for her agility and speed, making her a standout in the hurdles discipline.</w:t>
      </w:r>
    </w:p>
    <w:p>
      <w:pPr>
        <w:spacing w:before="0"/>
      </w:pPr>
      <w:r>
        <w:rPr>
          <w:b w:val="0"/>
        </w:rPr>
        <w:t>• National Games of India The National Games is a multi-sport event held in India, featuring athletes from across the country competing in various disciplines.</w:t>
      </w:r>
    </w:p>
    <w:p>
      <w:pPr>
        <w:spacing w:before="0"/>
      </w:pPr>
      <w:r>
        <w:rPr>
          <w:b w:val="0"/>
        </w:rPr>
        <w:t>• It serves as a platform to showcase emerging talent and promote sports development at the grassroots level.</w:t>
      </w:r>
    </w:p>
    <w:p>
      <w:pPr>
        <w:spacing w:before="0"/>
      </w:pPr>
      <w:r>
        <w:rPr>
          <w:b w:val="0"/>
        </w:rPr>
        <w:t>• Events are organized under the aegis of the Indian Olympic Association and serve as a precursor to international competitions like the Commonwealth Games and the Olympics.</w:t>
      </w:r>
    </w:p>
    <w:p>
      <w:pPr>
        <w:spacing w:before="0"/>
      </w:pPr>
      <w:r>
        <w:rPr>
          <w:b w:val="0"/>
        </w:rPr>
      </w:r>
    </w:p>
    <w:p>
      <w:pPr>
        <w:spacing w:after="100" w:line="360" w:lineRule="auto" w:before="0"/>
      </w:pPr>
      <w:r>
        <w:rPr>
          <w:b w:val="0"/>
        </w:rPr>
        <w:t>14. The Sarkaria Commission on Centre–State relations was constituted in:</w:t>
      </w:r>
    </w:p>
    <w:p>
      <w:pPr>
        <w:spacing w:before="0"/>
      </w:pPr>
      <w:r>
        <w:rPr>
          <w:b w:val="0"/>
        </w:rPr>
      </w:r>
    </w:p>
    <w:p>
      <w:pPr>
        <w:spacing w:after="100" w:before="0"/>
      </w:pPr>
      <w:r>
        <w:rPr>
          <w:b w:val="0"/>
        </w:rPr>
        <w:t>A. 1983</w:t>
      </w:r>
    </w:p>
    <w:p>
      <w:pPr>
        <w:spacing w:after="100" w:before="0"/>
      </w:pPr>
      <w:r>
        <w:rPr>
          <w:b w:val="0"/>
        </w:rPr>
        <w:t>B. 1990</w:t>
      </w:r>
    </w:p>
    <w:p>
      <w:pPr>
        <w:spacing w:after="100" w:before="0"/>
      </w:pPr>
      <w:r>
        <w:rPr>
          <w:b w:val="0"/>
        </w:rPr>
        <w:t>C. 1992</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1983. Key Points Additional Information</w:t>
      </w:r>
    </w:p>
    <w:p>
      <w:pPr>
        <w:spacing w:before="0"/>
      </w:pPr>
      <w:r>
        <w:rPr>
          <w:b w:val="0"/>
        </w:rPr>
        <w:t>• The Sarkaria Commission was established in 1983 by the Government of India to examine and review the working of the Centre-State relations in the country.</w:t>
      </w:r>
    </w:p>
    <w:p>
      <w:pPr>
        <w:spacing w:before="0"/>
      </w:pPr>
      <w:r>
        <w:rPr>
          <w:b w:val="0"/>
        </w:rPr>
        <w:t>• Justice R. S. Sarkaria, a retired Supreme Court judge, chaired the commission, hence the name Sarkaria Commission.</w:t>
      </w:r>
    </w:p>
    <w:p>
      <w:pPr>
        <w:spacing w:before="0"/>
      </w:pPr>
      <w:r>
        <w:rPr>
          <w:b w:val="0"/>
        </w:rPr>
        <w:t>• The commission submitted its report in 1988, which included recommendations to strengthen the federal structure of India.</w:t>
      </w:r>
    </w:p>
    <w:p>
      <w:pPr>
        <w:spacing w:before="0"/>
      </w:pPr>
      <w:r>
        <w:rPr>
          <w:b w:val="0"/>
        </w:rPr>
        <w:t>• The main focus of the commission was to ensure cooperation and coordination between the Centre and the States for better governance.</w:t>
      </w:r>
    </w:p>
    <w:p>
      <w:pPr>
        <w:spacing w:before="0"/>
      </w:pPr>
      <w:r>
        <w:rPr>
          <w:b w:val="0"/>
        </w:rPr>
        <w:t>• It recommended measures to reduce the centralization of power and improve the functioning of institutions like the Inter-State Council and the role of Governors in states.</w:t>
      </w:r>
    </w:p>
    <w:p>
      <w:pPr>
        <w:spacing w:before="0"/>
      </w:pPr>
      <w:r>
        <w:rPr>
          <w:b w:val="0"/>
        </w:rPr>
        <w:t>• Option 2: 1990 No specific commission was constituted in 1990 to review Centre-State relations. However, during this period, political instability and coalition governments led to discussions on federal issues.</w:t>
      </w:r>
    </w:p>
    <w:p>
      <w:pPr>
        <w:spacing w:before="0"/>
      </w:pPr>
      <w:r>
        <w:rPr>
          <w:b w:val="0"/>
        </w:rPr>
        <w:t>• It was an important year in Indian politics as the Mandal Commission recommendations for reservation were implemented by the then Prime Minister V. P. Singh.</w:t>
      </w:r>
    </w:p>
    <w:p>
      <w:pPr>
        <w:spacing w:before="0"/>
      </w:pPr>
      <w:r>
        <w:rPr>
          <w:b w:val="0"/>
        </w:rPr>
        <w:t>• Option 3: 1992 In 1992, the 73rd and 74th Constitutional Amendments were passed, which provided constitutional status to Panchayati Raj institutions and urban local bodies respectively.</w:t>
      </w:r>
    </w:p>
    <w:p>
      <w:pPr>
        <w:spacing w:before="0"/>
      </w:pPr>
      <w:r>
        <w:rPr>
          <w:b w:val="0"/>
        </w:rPr>
        <w:t>• These amendments aimed to strengthen local governance rather than address Centre-State relations directly.</w:t>
      </w:r>
    </w:p>
    <w:p>
      <w:pPr>
        <w:spacing w:before="0"/>
      </w:pPr>
      <w:r>
        <w:rPr>
          <w:b w:val="0"/>
        </w:rPr>
        <w:t>• Option 4: 2000 In 2000, the National Commission to Review the Working of the Constitution (NCRWC), chaired by Justice M. N. Venkatachaliah, was established.</w:t>
      </w:r>
    </w:p>
    <w:p>
      <w:pPr>
        <w:spacing w:before="0"/>
      </w:pPr>
      <w:r>
        <w:rPr>
          <w:b w:val="0"/>
        </w:rPr>
        <w:t>• While NCRWC reviewed various aspects of the Indian Constitution, including Centre-State relations, it was not specifically focused on federalism like the Sarkaria Commission.</w:t>
      </w:r>
    </w:p>
    <w:p>
      <w:pPr>
        <w:spacing w:before="0"/>
      </w:pPr>
      <w:r>
        <w:rPr>
          <w:b w:val="0"/>
        </w:rPr>
        <w:t>• Main Theme: Centre-State Relations Centre-State relations in India are governed by the federal structure outlined in the Constitution, with powers divided among the Union, State, and Concurrent lists.</w:t>
      </w:r>
    </w:p>
    <w:p>
      <w:pPr>
        <w:spacing w:before="0"/>
      </w:pPr>
      <w:r>
        <w:rPr>
          <w:b w:val="0"/>
        </w:rPr>
        <w:t>• Challenges in Centre-State relations include financial imbalances, misuse of Article 356, and coordination in legislative and administrative matters.</w:t>
      </w:r>
    </w:p>
    <w:p>
      <w:pPr>
        <w:spacing w:before="0"/>
      </w:pPr>
      <w:r>
        <w:rPr>
          <w:b w:val="0"/>
        </w:rPr>
        <w:t>• Various commissions, including the Sarkaria Commission, have been constituted to address these issues and recommend measures for better functioning of the federal structure.</w:t>
      </w:r>
    </w:p>
    <w:p>
      <w:pPr>
        <w:spacing w:before="0"/>
      </w:pPr>
      <w:r>
        <w:rPr>
          <w:b w:val="0"/>
        </w:rPr>
      </w:r>
    </w:p>
    <w:p>
      <w:pPr>
        <w:spacing w:after="100" w:line="360" w:lineRule="auto" w:before="0"/>
      </w:pPr>
      <w:r>
        <w:rPr>
          <w:b w:val="0"/>
        </w:rPr>
        <w:t>15. A 60 W bulb operates 5 hours daily for 30 days. Energy consumed (in units) is:</w:t>
      </w:r>
    </w:p>
    <w:p>
      <w:pPr>
        <w:spacing w:before="0"/>
      </w:pPr>
      <w:r>
        <w:rPr>
          <w:b w:val="0"/>
        </w:rPr>
      </w:r>
    </w:p>
    <w:p>
      <w:pPr>
        <w:spacing w:after="100" w:before="0"/>
      </w:pPr>
      <w:r>
        <w:rPr>
          <w:b w:val="0"/>
        </w:rPr>
        <w:t>A. 9</w:t>
      </w:r>
    </w:p>
    <w:p>
      <w:pPr>
        <w:spacing w:after="100" w:before="0"/>
      </w:pPr>
      <w:r>
        <w:rPr>
          <w:b w:val="0"/>
        </w:rPr>
        <w:t>B. 30</w:t>
      </w:r>
    </w:p>
    <w:p>
      <w:pPr>
        <w:spacing w:after="100" w:before="0"/>
      </w:pPr>
      <w:r>
        <w:rPr>
          <w:b w:val="0"/>
        </w:rPr>
        <w:t>C. 0.3</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9 units. Key Points Additional Information</w:t>
      </w:r>
    </w:p>
    <w:p>
      <w:pPr>
        <w:spacing w:before="0"/>
      </w:pPr>
      <w:r>
        <w:rPr>
          <w:b w:val="0"/>
        </w:rPr>
        <w:t>• The energy consumed by an electrical appliance is calculated using the formula: Energy (in kWh) = Power (in kW) × Time (in hours).</w:t>
      </w:r>
    </w:p>
    <w:p>
      <w:pPr>
        <w:spacing w:before="0"/>
      </w:pPr>
      <w:r>
        <w:rPr>
          <w:b w:val="0"/>
        </w:rPr>
        <w:t>• For a 60 W bulb (which is 0.06 kW) operating 5 hours daily for 30 days: Energy = 0.06 × 5 × 30 = 9 kWh.</w:t>
      </w:r>
    </w:p>
    <w:p>
      <w:pPr>
        <w:spacing w:before="0"/>
      </w:pPr>
      <w:r>
        <w:rPr>
          <w:b w:val="0"/>
        </w:rPr>
        <w:t>• 1 kWh is equivalent to 1 unit of energy, so the total energy consumed is 9 units.</w:t>
      </w:r>
    </w:p>
    <w:p>
      <w:pPr>
        <w:spacing w:before="0"/>
      </w:pPr>
      <w:r>
        <w:rPr>
          <w:b w:val="0"/>
        </w:rPr>
        <w:t>• Electricity consumption is typically measured in kilowatt-hours (kWh), which is often referred to as “units” on electricity bills.</w:t>
      </w:r>
    </w:p>
    <w:p>
      <w:pPr>
        <w:spacing w:before="0"/>
      </w:pPr>
      <w:r>
        <w:rPr>
          <w:b w:val="0"/>
        </w:rPr>
        <w:t>• Thus, the correct answer is Option 1: 9 units.</w:t>
      </w:r>
    </w:p>
    <w:p>
      <w:pPr>
        <w:spacing w:before="0"/>
      </w:pPr>
      <w:r>
        <w:rPr>
          <w:b w:val="0"/>
        </w:rPr>
        <w:t>• Explanation of other options: Option 2: 30 units – This value is incorrect because it assumes the bulb consumes 1 unit (1 kWh) per day for 30 days, which is not the case. A 60 W bulb consumes much less power.</w:t>
      </w:r>
    </w:p>
    <w:p>
      <w:pPr>
        <w:spacing w:before="0"/>
      </w:pPr>
      <w:r>
        <w:rPr>
          <w:b w:val="0"/>
        </w:rPr>
        <w:t>• Option 3: 0.3 units – This value is incorrect as it significantly underestimates the energy consumed. A 60 W bulb operating for 150 hours consumes far more energy than 0.3 units.</w:t>
      </w:r>
    </w:p>
    <w:p>
      <w:pPr>
        <w:spacing w:before="0"/>
      </w:pPr>
      <w:r>
        <w:rPr>
          <w:b w:val="0"/>
        </w:rPr>
        <w:t>• Option 4: 90 units – This value is incorrect as it overestimates the energy consumed, possibly based on a miscalculation of power or time.</w:t>
      </w:r>
    </w:p>
    <w:p>
      <w:pPr>
        <w:spacing w:before="0"/>
      </w:pPr>
      <w:r>
        <w:rPr>
          <w:b w:val="0"/>
        </w:rPr>
        <w:t>• Key Terminologies: Power (Watt): The rate at which electrical energy is consumed or converted into another form of energy. 1 kW = 1000 W.</w:t>
      </w:r>
    </w:p>
    <w:p>
      <w:pPr>
        <w:spacing w:before="0"/>
      </w:pPr>
      <w:r>
        <w:rPr>
          <w:b w:val="0"/>
        </w:rPr>
        <w:t>• Energy (kWh): The total amount of work done or energy consumed, calculated as power multiplied by time.</w:t>
      </w:r>
    </w:p>
    <w:p>
      <w:pPr>
        <w:spacing w:before="0"/>
      </w:pPr>
      <w:r>
        <w:rPr>
          <w:b w:val="0"/>
        </w:rPr>
        <w:t>• Unit: In the context of electricity, 1 unit refers to 1 kWh of energy consumption.</w:t>
      </w:r>
    </w:p>
    <w:p>
      <w:pPr>
        <w:spacing w:before="0"/>
      </w:pPr>
      <w:r>
        <w:rPr>
          <w:b w:val="0"/>
        </w:rPr>
        <w:t>• Practical Applications: Calculating energy consumption helps in estimating electricity bills and managing energy usage efficiently.</w:t>
      </w:r>
    </w:p>
    <w:p>
      <w:pPr>
        <w:spacing w:before="0"/>
      </w:pPr>
      <w:r>
        <w:rPr>
          <w:b w:val="0"/>
        </w:rPr>
        <w:t>• Understanding the relationship between power, energy, and time is crucial for designing energy-efficient systems and appliances.</w:t>
      </w:r>
    </w:p>
    <w:p>
      <w:pPr>
        <w:spacing w:before="0"/>
      </w:pPr>
      <w:r>
        <w:rPr>
          <w:b w:val="0"/>
        </w:rPr>
      </w:r>
    </w:p>
    <w:p>
      <w:pPr>
        <w:spacing w:after="100" w:line="360" w:lineRule="auto" w:before="0"/>
      </w:pPr>
      <w:r>
        <w:rPr>
          <w:b w:val="0"/>
        </w:rPr>
        <w:t>16. The Uniform Civil Code primarily aims to replace:</w:t>
      </w:r>
    </w:p>
    <w:p>
      <w:pPr>
        <w:spacing w:before="0"/>
      </w:pPr>
      <w:r>
        <w:rPr>
          <w:b w:val="0"/>
        </w:rPr>
      </w:r>
    </w:p>
    <w:p>
      <w:pPr>
        <w:spacing w:after="100" w:before="0"/>
      </w:pPr>
      <w:r>
        <w:rPr>
          <w:b w:val="0"/>
        </w:rPr>
        <w:t>A. Criminal statutes</w:t>
      </w:r>
    </w:p>
    <w:p>
      <w:pPr>
        <w:spacing w:after="100" w:before="0"/>
      </w:pPr>
      <w:r>
        <w:rPr>
          <w:b w:val="0"/>
        </w:rPr>
        <w:t>B. Property transfer laws</w:t>
      </w:r>
    </w:p>
    <w:p>
      <w:pPr>
        <w:spacing w:after="100" w:before="0"/>
      </w:pPr>
      <w:r>
        <w:rPr>
          <w:b w:val="0"/>
        </w:rPr>
        <w:t>C. Religion-based personal laws</w:t>
      </w:r>
    </w:p>
    <w:p>
      <w:pPr>
        <w:spacing w:after="100" w:before="0"/>
      </w:pPr>
      <w:r>
        <w:rPr>
          <w:b w:val="0"/>
        </w:rPr>
        <w:t>D. Environmental regulations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Religion-based personal laws. Key Points Additional Information</w:t>
      </w:r>
    </w:p>
    <w:p>
      <w:pPr>
        <w:spacing w:before="0"/>
      </w:pPr>
      <w:r>
        <w:rPr>
          <w:b w:val="0"/>
        </w:rPr>
        <w:t>• The Uniform Civil Code (UCC) is a proposal in India to replace the existing religion-based personal laws with a common set of laws governing personal matters for all citizens, irrespective of their religion.</w:t>
      </w:r>
    </w:p>
    <w:p>
      <w:pPr>
        <w:spacing w:before="0"/>
      </w:pPr>
      <w:r>
        <w:rPr>
          <w:b w:val="0"/>
        </w:rPr>
        <w:t>• It aims to ensure equality and justice by having uniform laws on marriage, divorce, inheritance, adoption, and maintenance for all individuals, eliminating discrimination based on religion.</w:t>
      </w:r>
    </w:p>
    <w:p>
      <w:pPr>
        <w:spacing w:before="0"/>
      </w:pPr>
      <w:r>
        <w:rPr>
          <w:b w:val="0"/>
        </w:rPr>
        <w:t>• Personal laws in India are currently governed by religious scriptures and customs, such as Hindu law, Muslim personal law, and Christian law, leading to diverse practices among communities.</w:t>
      </w:r>
    </w:p>
    <w:p>
      <w:pPr>
        <w:spacing w:before="0"/>
      </w:pPr>
      <w:r>
        <w:rPr>
          <w:b w:val="0"/>
        </w:rPr>
        <w:t>• The UCC is envisioned in Article 44 of the Indian Constitution, which directs the state to strive for the implementation of a uniform civil code across the country.</w:t>
      </w:r>
    </w:p>
    <w:p>
      <w:pPr>
        <w:spacing w:before="0"/>
      </w:pPr>
      <w:r>
        <w:rPr>
          <w:b w:val="0"/>
        </w:rPr>
        <w:t>• The implementation of UCC seeks to promote national integration by removing discrepancies in legal frameworks and fostering equality before the law.</w:t>
      </w:r>
    </w:p>
    <w:p>
      <w:pPr>
        <w:spacing w:before="0"/>
      </w:pPr>
      <w:r>
        <w:rPr>
          <w:b w:val="0"/>
        </w:rPr>
        <w:t>• Criminal statutes: Criminal statutes refer to the set of laws that define criminal offenses and prescribe punishments for those offenses.</w:t>
      </w:r>
    </w:p>
    <w:p>
      <w:pPr>
        <w:spacing w:before="0"/>
      </w:pPr>
      <w:r>
        <w:rPr>
          <w:b w:val="0"/>
        </w:rPr>
        <w:t>• In India, criminal laws are uniform across the country and are governed by statutes like the Indian Penal Code (IPC), the Code of Criminal Procedure (CrPC), and the Evidence Act.</w:t>
      </w:r>
    </w:p>
    <w:p>
      <w:pPr>
        <w:spacing w:before="0"/>
      </w:pPr>
      <w:r>
        <w:rPr>
          <w:b w:val="0"/>
        </w:rPr>
        <w:t>• The UCC does not pertain to criminal laws as these are already uniform and applicable equally to all citizens.</w:t>
      </w:r>
    </w:p>
    <w:p>
      <w:pPr>
        <w:spacing w:before="0"/>
      </w:pPr>
      <w:r>
        <w:rPr>
          <w:b w:val="0"/>
        </w:rPr>
        <w:t>• Property transfer laws: These laws regulate the transfer of property ownership, such as through sale, gift, or inheritance.</w:t>
      </w:r>
    </w:p>
    <w:p>
      <w:pPr>
        <w:spacing w:before="0"/>
      </w:pPr>
      <w:r>
        <w:rPr>
          <w:b w:val="0"/>
        </w:rPr>
        <w:t>• In India, property transfer is governed by statutes like the Transfer of Property Act, 1882, which is uniform and applicable to all citizens regardless of religion.</w:t>
      </w:r>
    </w:p>
    <w:p>
      <w:pPr>
        <w:spacing w:before="0"/>
      </w:pPr>
      <w:r>
        <w:rPr>
          <w:b w:val="0"/>
        </w:rPr>
        <w:t>• The UCC does not directly address property transfer laws, except for inheritance laws, which are part of personal laws.</w:t>
      </w:r>
    </w:p>
    <w:p>
      <w:pPr>
        <w:spacing w:before="0"/>
      </w:pPr>
      <w:r>
        <w:rPr>
          <w:b w:val="0"/>
        </w:rPr>
        <w:t>• Environmental regulations: Environmental regulations aim to protect and conserve the environment by setting standards and guidelines for pollution control, waste management, and conservation of natural resources.</w:t>
      </w:r>
    </w:p>
    <w:p>
      <w:pPr>
        <w:spacing w:before="0"/>
      </w:pPr>
      <w:r>
        <w:rPr>
          <w:b w:val="0"/>
        </w:rPr>
        <w:t>• These are governed by laws like the Environment Protection Act, 1986, and are unrelated to the scope of the UCC.</w:t>
      </w:r>
    </w:p>
    <w:p>
      <w:pPr>
        <w:spacing w:before="0"/>
      </w:pPr>
      <w:r>
        <w:rPr>
          <w:b w:val="0"/>
        </w:rPr>
      </w:r>
    </w:p>
    <w:p>
      <w:pPr>
        <w:spacing w:after="100" w:line="360" w:lineRule="auto" w:before="0"/>
      </w:pPr>
      <w:r>
        <w:rPr>
          <w:b w:val="0"/>
        </w:rPr>
        <w:t>17. The Soil Health Card Scheme mainly focuses on:</w:t>
      </w:r>
    </w:p>
    <w:p>
      <w:pPr>
        <w:spacing w:before="0"/>
      </w:pPr>
      <w:r>
        <w:rPr>
          <w:b w:val="0"/>
        </w:rPr>
      </w:r>
    </w:p>
    <w:p>
      <w:pPr>
        <w:spacing w:after="100" w:before="0"/>
      </w:pPr>
      <w:r>
        <w:rPr>
          <w:b w:val="0"/>
        </w:rPr>
        <w:t>A. Seed certification</w:t>
      </w:r>
    </w:p>
    <w:p>
      <w:pPr>
        <w:spacing w:after="100" w:before="0"/>
      </w:pPr>
      <w:r>
        <w:rPr>
          <w:b w:val="0"/>
        </w:rPr>
        <w:t>B. Organic inputs</w:t>
      </w:r>
    </w:p>
    <w:p>
      <w:pPr>
        <w:spacing w:after="100" w:before="0"/>
      </w:pPr>
      <w:r>
        <w:rPr>
          <w:b w:val="0"/>
        </w:rPr>
        <w:t>C. Soil nutrient assessment</w:t>
      </w:r>
    </w:p>
    <w:p>
      <w:pPr>
        <w:spacing w:after="100" w:before="0"/>
      </w:pPr>
      <w:r>
        <w:rPr>
          <w:b w:val="0"/>
        </w:rPr>
        <w:t>D. Land reforms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Soil nutrient assessment. Key Points Additional Information</w:t>
      </w:r>
    </w:p>
    <w:p>
      <w:pPr>
        <w:spacing w:before="0"/>
      </w:pPr>
      <w:r>
        <w:rPr>
          <w:b w:val="0"/>
        </w:rPr>
        <w:t>• The Soil Health Card Scheme was launched by the Government of India in February 2015 to promote sustainable farming by assessing soil health.</w:t>
      </w:r>
    </w:p>
    <w:p>
      <w:pPr>
        <w:spacing w:before="0"/>
      </w:pPr>
      <w:r>
        <w:rPr>
          <w:b w:val="0"/>
        </w:rPr>
        <w:t>• The scheme primarily focuses on the assessment of soil nutrients, aiming to provide farmers with information on the nutrient status of their soil.</w:t>
      </w:r>
    </w:p>
    <w:p>
      <w:pPr>
        <w:spacing w:before="0"/>
      </w:pPr>
      <w:r>
        <w:rPr>
          <w:b w:val="0"/>
        </w:rPr>
        <w:t>• The Soil Health Card includes details about macro-nutrients (N, P, K), micro-nutrients (Zn, Fe, Cu, Mn, etc.), and secondary nutrients (S, Mg, Ca), along with soil pH, organic carbon, and electrical conductivity.</w:t>
      </w:r>
    </w:p>
    <w:p>
      <w:pPr>
        <w:spacing w:before="0"/>
      </w:pPr>
      <w:r>
        <w:rPr>
          <w:b w:val="0"/>
        </w:rPr>
        <w:t>• The purpose of the scheme is to enable farmers to use fertilizers judiciously and adopt appropriate soil management practices to enhance productivity.</w:t>
      </w:r>
    </w:p>
    <w:p>
      <w:pPr>
        <w:spacing w:before="0"/>
      </w:pPr>
      <w:r>
        <w:rPr>
          <w:b w:val="0"/>
        </w:rPr>
        <w:t>• The Soil Health Card is issued every two years to farmers, helping them to monitor the health of their soil and take corrective actions accordingly.</w:t>
      </w:r>
    </w:p>
    <w:p>
      <w:pPr>
        <w:spacing w:before="0"/>
      </w:pPr>
      <w:r>
        <w:rPr>
          <w:b w:val="0"/>
        </w:rPr>
        <w:t>• Seed Certification Seed certification is a quality assurance process for ensuring that seeds are of high quality, genetically pure, and free from diseases or pests.</w:t>
      </w:r>
    </w:p>
    <w:p>
      <w:pPr>
        <w:spacing w:before="0"/>
      </w:pPr>
      <w:r>
        <w:rPr>
          <w:b w:val="0"/>
        </w:rPr>
        <w:t>• The process includes field inspections, testing, and labeling of seeds to meet prescribed standards.</w:t>
      </w:r>
    </w:p>
    <w:p>
      <w:pPr>
        <w:spacing w:before="0"/>
      </w:pPr>
      <w:r>
        <w:rPr>
          <w:b w:val="0"/>
        </w:rPr>
        <w:t>• While it is a crucial agricultural practice, it is not directly related to soil health assessment.</w:t>
      </w:r>
    </w:p>
    <w:p>
      <w:pPr>
        <w:spacing w:before="0"/>
      </w:pPr>
      <w:r>
        <w:rPr>
          <w:b w:val="0"/>
        </w:rPr>
        <w:t>• Organic Inputs Organic inputs refer to natural materials such as compost, manure, and bio-fertilizers used to enhance soil fertility and promote sustainable agriculture.</w:t>
      </w:r>
    </w:p>
    <w:p>
      <w:pPr>
        <w:spacing w:before="0"/>
      </w:pPr>
      <w:r>
        <w:rPr>
          <w:b w:val="0"/>
        </w:rPr>
        <w:t>• Although organic inputs improve soil health, the Soil Health Card Scheme specifically focuses on the assessment of soil nutrients rather than the promotion of organic inputs.</w:t>
      </w:r>
    </w:p>
    <w:p>
      <w:pPr>
        <w:spacing w:before="0"/>
      </w:pPr>
      <w:r>
        <w:rPr>
          <w:b w:val="0"/>
        </w:rPr>
        <w:t>• Land Reforms Land reforms refer to changes in the ownership, operation, and distribution of land aimed at improving agricultural productivity and reducing rural poverty.</w:t>
      </w:r>
    </w:p>
    <w:p>
      <w:pPr>
        <w:spacing w:before="0"/>
      </w:pPr>
      <w:r>
        <w:rPr>
          <w:b w:val="0"/>
        </w:rPr>
        <w:t>• Examples include land redistribution, consolidation of landholdings, and tenancy reforms.</w:t>
      </w:r>
    </w:p>
    <w:p>
      <w:pPr>
        <w:spacing w:before="0"/>
      </w:pPr>
      <w:r>
        <w:rPr>
          <w:b w:val="0"/>
        </w:rPr>
        <w:t>• However, land reforms are not directly associated with the objectives of the Soil Health Card Scheme.</w:t>
      </w:r>
    </w:p>
    <w:p>
      <w:pPr>
        <w:spacing w:before="0"/>
      </w:pPr>
      <w:r>
        <w:rPr>
          <w:b w:val="0"/>
        </w:rPr>
      </w:r>
    </w:p>
    <w:p>
      <w:pPr>
        <w:spacing w:after="100" w:line="360" w:lineRule="auto" w:before="0"/>
      </w:pPr>
      <w:r>
        <w:rPr>
          <w:b w:val="0"/>
        </w:rPr>
        <w:t>18. What was Baikuntha Shukla’s role in the freedom struggle?</w:t>
      </w:r>
    </w:p>
    <w:p>
      <w:pPr>
        <w:spacing w:before="0"/>
      </w:pPr>
      <w:r>
        <w:rPr>
          <w:b w:val="0"/>
        </w:rPr>
      </w:r>
    </w:p>
    <w:p>
      <w:pPr>
        <w:spacing w:after="100" w:before="0"/>
      </w:pPr>
      <w:r>
        <w:rPr>
          <w:b w:val="0"/>
        </w:rPr>
        <w:t>A. Champaran movement</w:t>
      </w:r>
    </w:p>
    <w:p>
      <w:pPr>
        <w:spacing w:after="100" w:before="0"/>
      </w:pPr>
      <w:r>
        <w:rPr>
          <w:b w:val="0"/>
        </w:rPr>
        <w:t>B. Simon Commission protest</w:t>
      </w:r>
    </w:p>
    <w:p>
      <w:pPr>
        <w:spacing w:after="100" w:before="0"/>
      </w:pPr>
      <w:r>
        <w:rPr>
          <w:b w:val="0"/>
        </w:rPr>
        <w:t>C. Assassination of a government approver</w:t>
      </w:r>
    </w:p>
    <w:p>
      <w:pPr>
        <w:spacing w:after="100" w:before="0"/>
      </w:pPr>
      <w:r>
        <w:rPr>
          <w:b w:val="0"/>
        </w:rPr>
        <w:t>D. HSRA founder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Assassination of a government approver. Key Points Additional Information</w:t>
      </w:r>
    </w:p>
    <w:p>
      <w:pPr>
        <w:spacing w:before="0"/>
      </w:pPr>
      <w:r>
        <w:rPr>
          <w:b w:val="0"/>
        </w:rPr>
        <w:t>• Baikuntha Shukla was a prominent revolutionary in the Indian freedom struggle, known for his role in opposing British colonial rule.</w:t>
      </w:r>
    </w:p>
    <w:p>
      <w:pPr>
        <w:spacing w:before="0"/>
      </w:pPr>
      <w:r>
        <w:rPr>
          <w:b w:val="0"/>
        </w:rPr>
        <w:t>• He was involved in the assassination of Phanindra Nath Ghosh, a government approver who had betrayed Bhagat Singh, Rajguru, and Sukhdev by testifying against them in court.</w:t>
      </w:r>
    </w:p>
    <w:p>
      <w:pPr>
        <w:spacing w:before="0"/>
      </w:pPr>
      <w:r>
        <w:rPr>
          <w:b w:val="0"/>
        </w:rPr>
        <w:t>• This act was viewed as an act of retribution for the betrayal of fellow freedom fighters and was aimed at deterring such betrayals in the future.</w:t>
      </w:r>
    </w:p>
    <w:p>
      <w:pPr>
        <w:spacing w:before="0"/>
      </w:pPr>
      <w:r>
        <w:rPr>
          <w:b w:val="0"/>
        </w:rPr>
        <w:t>• Baikuntha Shukla was a member of the Hindustan Socialist Republican Association (HSRA), an organization committed to India's independence through revolutionary activities.</w:t>
      </w:r>
    </w:p>
    <w:p>
      <w:pPr>
        <w:spacing w:before="0"/>
      </w:pPr>
      <w:r>
        <w:rPr>
          <w:b w:val="0"/>
        </w:rPr>
        <w:t>• He was arrested, tried, and eventually hanged on May 14, 1934, becoming one of the youngest martyrs in India's freedom movement.</w:t>
      </w:r>
    </w:p>
    <w:p>
      <w:pPr>
        <w:spacing w:before="0"/>
      </w:pPr>
      <w:r>
        <w:rPr>
          <w:b w:val="0"/>
        </w:rPr>
        <w:t>• Champaran Movement: This movement, led by Mahatma Gandhi in 1917, marked Gandhi's first major involvement in India's freedom struggle.</w:t>
      </w:r>
    </w:p>
    <w:p>
      <w:pPr>
        <w:spacing w:before="0"/>
      </w:pPr>
      <w:r>
        <w:rPr>
          <w:b w:val="0"/>
        </w:rPr>
        <w:t>• It was initiated to address the grievances of indigo farmers in the Champaran district of Bihar, who were forced to grow indigo under oppressive conditions imposed by British planters.</w:t>
      </w:r>
    </w:p>
    <w:p>
      <w:pPr>
        <w:spacing w:before="0"/>
      </w:pPr>
      <w:r>
        <w:rPr>
          <w:b w:val="0"/>
        </w:rPr>
        <w:t>• The success of the Champaran movement established Gandhi as a key leader in the fight for Indian independence.</w:t>
      </w:r>
    </w:p>
    <w:p>
      <w:pPr>
        <w:spacing w:before="0"/>
      </w:pPr>
      <w:r>
        <w:rPr>
          <w:b w:val="0"/>
        </w:rPr>
        <w:t>• Simon Commission Protest: The Simon Commission was constituted in 1927 by the British government to review the Government of India Act 1919 and propose constitutional reforms.</w:t>
      </w:r>
    </w:p>
    <w:p>
      <w:pPr>
        <w:spacing w:before="0"/>
      </w:pPr>
      <w:r>
        <w:rPr>
          <w:b w:val="0"/>
        </w:rPr>
        <w:t>• It faced widespread opposition because it did not include any Indian members, which was seen as an insult to Indian aspirations for self-governance.</w:t>
      </w:r>
    </w:p>
    <w:p>
      <w:pPr>
        <w:spacing w:before="0"/>
      </w:pPr>
      <w:r>
        <w:rPr>
          <w:b w:val="0"/>
        </w:rPr>
        <w:t>• The slogan "Simon, go back!" became a rallying cry for Indian nationalists, and many protests were organized, including one in Lahore where Lala Lajpat Rai was severely injured and later succumbed to his injuries.</w:t>
      </w:r>
    </w:p>
    <w:p>
      <w:pPr>
        <w:spacing w:before="0"/>
      </w:pPr>
      <w:r>
        <w:rPr>
          <w:b w:val="0"/>
        </w:rPr>
        <w:t>• HSRA (Hindustan Socialist Republican Association): HSRA was a revolutionary organization founded by Ram Prasad Bismil, Ashfaqulla Khan, and others in 1928, with the goal of overthrowing British rule in India through armed struggle.</w:t>
      </w:r>
    </w:p>
    <w:p>
      <w:pPr>
        <w:spacing w:before="0"/>
      </w:pPr>
      <w:r>
        <w:rPr>
          <w:b w:val="0"/>
        </w:rPr>
        <w:t>• Some of its prominent members included Bhagat Singh, Chandrashekhar Azad, and Sukhdev Thapar.</w:t>
      </w:r>
    </w:p>
    <w:p>
      <w:pPr>
        <w:spacing w:before="0"/>
      </w:pPr>
      <w:r>
        <w:rPr>
          <w:b w:val="0"/>
        </w:rPr>
        <w:t>• The organization was involved in various revolutionary activities, including the Kakori Train Robbery and the assassination of British police officer J.P. Saunders.</w:t>
      </w:r>
    </w:p>
    <w:p>
      <w:pPr>
        <w:spacing w:before="0"/>
      </w:pPr>
      <w:r>
        <w:rPr>
          <w:b w:val="0"/>
        </w:rPr>
      </w:r>
    </w:p>
    <w:p>
      <w:pPr>
        <w:spacing w:after="100" w:line="360" w:lineRule="auto" w:before="0"/>
      </w:pPr>
      <w:r>
        <w:rPr>
          <w:b w:val="0"/>
        </w:rPr>
        <w:t>19. Consider the statements about Dangi dance: 1. Performed by Dangi Adivasis of Gujarat. 2. It is a solo performance narrating farm activities.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Key Points Additional Information</w:t>
      </w:r>
    </w:p>
    <w:p>
      <w:pPr>
        <w:spacing w:before="0"/>
      </w:pPr>
      <w:r>
        <w:rPr>
          <w:b w:val="0"/>
        </w:rPr>
        <w:t>• Dangi dance is performed by the Dangi Adivasis, who are a tribal community residing primarily in Gujarat.</w:t>
      </w:r>
    </w:p>
    <w:p>
      <w:pPr>
        <w:spacing w:before="0"/>
      </w:pPr>
      <w:r>
        <w:rPr>
          <w:b w:val="0"/>
        </w:rPr>
        <w:t>• This dance is a popular folk tradition and is deeply rooted in the cultural and social identity of the Dangi community.</w:t>
      </w:r>
    </w:p>
    <w:p>
      <w:pPr>
        <w:spacing w:before="0"/>
      </w:pPr>
      <w:r>
        <w:rPr>
          <w:b w:val="0"/>
        </w:rPr>
        <w:t>• The Dangi dance is performed in groups, typically by men and women together, and is characterized by synchronized movements and rhythmic singing.</w:t>
      </w:r>
    </w:p>
    <w:p>
      <w:pPr>
        <w:spacing w:before="0"/>
      </w:pPr>
      <w:r>
        <w:rPr>
          <w:b w:val="0"/>
        </w:rPr>
        <w:t>• The dance celebrates communal activities and life events, including festivals, marriages, and seasonal agricultural activities.</w:t>
      </w:r>
    </w:p>
    <w:p>
      <w:pPr>
        <w:spacing w:before="0"/>
      </w:pPr>
      <w:r>
        <w:rPr>
          <w:b w:val="0"/>
        </w:rPr>
        <w:t>• It reflects the unity and harmony of the tribal people and forms a significant part of their cultural expression.</w:t>
      </w:r>
    </w:p>
    <w:p>
      <w:pPr>
        <w:spacing w:before="0"/>
      </w:pPr>
      <w:r>
        <w:rPr>
          <w:b w:val="0"/>
        </w:rPr>
        <w:t>• Statement 2 (Incorrect): Dangi dance is not a solo performance. It is performed in groups, showcasing the collective spirit of the community.</w:t>
      </w:r>
    </w:p>
    <w:p>
      <w:pPr>
        <w:spacing w:before="0"/>
      </w:pPr>
      <w:r>
        <w:rPr>
          <w:b w:val="0"/>
        </w:rPr>
        <w:t>• While the dance may depict farm activities and rural life, it primarily emphasizes tribal culture and communal celebration rather than a narrative solo performance.</w:t>
      </w:r>
    </w:p>
    <w:p>
      <w:pPr>
        <w:spacing w:before="0"/>
      </w:pPr>
      <w:r>
        <w:rPr>
          <w:b w:val="0"/>
        </w:rPr>
        <w:t>• About Dangi Tribe: The Dangi tribe is primarily found in the Dang region of Gujarat and parts of Maharashtra.</w:t>
      </w:r>
    </w:p>
    <w:p>
      <w:pPr>
        <w:spacing w:before="0"/>
      </w:pPr>
      <w:r>
        <w:rPr>
          <w:b w:val="0"/>
        </w:rPr>
        <w:t>• They are known for their rich cultural traditions, including music, dance, and rituals.</w:t>
      </w:r>
    </w:p>
    <w:p>
      <w:pPr>
        <w:spacing w:before="0"/>
      </w:pPr>
      <w:r>
        <w:rPr>
          <w:b w:val="0"/>
        </w:rPr>
        <w:t>• The community heavily relies on agriculture, and their folk arts often revolve around themes of nature and farming.</w:t>
      </w:r>
    </w:p>
    <w:p>
      <w:pPr>
        <w:spacing w:before="0"/>
      </w:pPr>
      <w:r>
        <w:rPr>
          <w:b w:val="0"/>
        </w:rPr>
        <w:t>• Significance of Tribal Dances: Tribal dances like Dangi reflect the lifestyle, beliefs, and traditions of indigenous communities.</w:t>
      </w:r>
    </w:p>
    <w:p>
      <w:pPr>
        <w:spacing w:before="0"/>
      </w:pPr>
      <w:r>
        <w:rPr>
          <w:b w:val="0"/>
        </w:rPr>
        <w:t>• They serve as a medium to preserve cultural heritage and transmit values across generations.</w:t>
      </w:r>
    </w:p>
    <w:p>
      <w:pPr>
        <w:spacing w:before="0"/>
      </w:pPr>
      <w:r>
        <w:rPr>
          <w:b w:val="0"/>
        </w:rPr>
        <w:t>• These dances are often performed during festivals, rituals, or social gatherings, fostering a sense of community and belonging.</w:t>
      </w:r>
    </w:p>
    <w:p>
      <w:pPr>
        <w:spacing w:before="0"/>
      </w:pPr>
      <w:r>
        <w:rPr>
          <w:b w:val="0"/>
        </w:rPr>
      </w:r>
    </w:p>
    <w:p>
      <w:pPr>
        <w:spacing w:after="100" w:line="360" w:lineRule="auto" w:before="0"/>
      </w:pPr>
      <w:r>
        <w:rPr>
          <w:b w:val="0"/>
        </w:rPr>
        <w:t>20. Opportunity cost refers to:</w:t>
      </w:r>
    </w:p>
    <w:p>
      <w:pPr>
        <w:spacing w:before="0"/>
      </w:pPr>
      <w:r>
        <w:rPr>
          <w:b w:val="0"/>
        </w:rPr>
      </w:r>
    </w:p>
    <w:p>
      <w:pPr>
        <w:spacing w:after="100" w:before="0"/>
      </w:pPr>
      <w:r>
        <w:rPr>
          <w:b w:val="0"/>
        </w:rPr>
        <w:t>A. Production expenses</w:t>
      </w:r>
    </w:p>
    <w:p>
      <w:pPr>
        <w:spacing w:after="100" w:before="0"/>
      </w:pPr>
      <w:r>
        <w:rPr>
          <w:b w:val="0"/>
        </w:rPr>
        <w:t>B. Next best alternative forgone</w:t>
      </w:r>
    </w:p>
    <w:p>
      <w:pPr>
        <w:spacing w:after="100" w:before="0"/>
      </w:pPr>
      <w:r>
        <w:rPr>
          <w:b w:val="0"/>
        </w:rPr>
        <w:t>C. Labour cost</w:t>
      </w:r>
    </w:p>
    <w:p>
      <w:pPr>
        <w:spacing w:after="100" w:before="0"/>
      </w:pPr>
      <w:r>
        <w:rPr>
          <w:b w:val="0"/>
        </w:rPr>
        <w:t>D. Total spending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Next best alternative forgone. Key Points Additional Information</w:t>
      </w:r>
    </w:p>
    <w:p>
      <w:pPr>
        <w:spacing w:before="0"/>
      </w:pPr>
      <w:r>
        <w:rPr>
          <w:b w:val="0"/>
        </w:rPr>
        <w:t>• Opportunity cost refers to the value of the next best alternative that is forgone when a choice is made between multiple options.</w:t>
      </w:r>
    </w:p>
    <w:p>
      <w:pPr>
        <w:spacing w:before="0"/>
      </w:pPr>
      <w:r>
        <w:rPr>
          <w:b w:val="0"/>
        </w:rPr>
        <w:t>• It emphasizes the concept of trade-offs in economics, where the decision to allocate resources to one option inherently means sacrificing the benefits of another option.</w:t>
      </w:r>
    </w:p>
    <w:p>
      <w:pPr>
        <w:spacing w:before="0"/>
      </w:pPr>
      <w:r>
        <w:rPr>
          <w:b w:val="0"/>
        </w:rPr>
        <w:t>• This concept is widely used in decision-making processes, both for individuals and organizations, to assess the benefits and costs associated with various choices.</w:t>
      </w:r>
    </w:p>
    <w:p>
      <w:pPr>
        <w:spacing w:before="0"/>
      </w:pPr>
      <w:r>
        <w:rPr>
          <w:b w:val="0"/>
        </w:rPr>
        <w:t>• Opportunity cost is not recorded in financial statements but is a crucial concept for evaluating efficiency and resource utilization.</w:t>
      </w:r>
    </w:p>
    <w:p>
      <w:pPr>
        <w:spacing w:before="0"/>
      </w:pPr>
      <w:r>
        <w:rPr>
          <w:b w:val="0"/>
        </w:rPr>
        <w:t>• It helps in understanding the impact of limited resources, such as time, money, or effort, and guides optimal decision-making.</w:t>
      </w:r>
    </w:p>
    <w:p>
      <w:pPr>
        <w:spacing w:before="0"/>
      </w:pPr>
      <w:r>
        <w:rPr>
          <w:b w:val="0"/>
        </w:rPr>
        <w:t>• Production Expenses: Production expenses refer to the direct and indirect costs incurred in manufacturing goods or providing services.</w:t>
      </w:r>
    </w:p>
    <w:p>
      <w:pPr>
        <w:spacing w:before="0"/>
      </w:pPr>
      <w:r>
        <w:rPr>
          <w:b w:val="0"/>
        </w:rPr>
        <w:t>• These include raw material costs, labor costs, overhead expenses, and other related expenditures.</w:t>
      </w:r>
    </w:p>
    <w:p>
      <w:pPr>
        <w:spacing w:before="0"/>
      </w:pPr>
      <w:r>
        <w:rPr>
          <w:b w:val="0"/>
        </w:rPr>
        <w:t>• Unlike opportunity cost, production expenses are recorded in financial statements and are directly linked to operational activities.</w:t>
      </w:r>
    </w:p>
    <w:p>
      <w:pPr>
        <w:spacing w:before="0"/>
      </w:pPr>
      <w:r>
        <w:rPr>
          <w:b w:val="0"/>
        </w:rPr>
        <w:t>• Labour Cost: Labour cost refers to the total expenditure incurred by an organization to employ workers, including wages, salaries, and benefits.</w:t>
      </w:r>
    </w:p>
    <w:p>
      <w:pPr>
        <w:spacing w:before="0"/>
      </w:pPr>
      <w:r>
        <w:rPr>
          <w:b w:val="0"/>
        </w:rPr>
        <w:t>• It is a critical component of production costs and is categorized into direct and indirect labor costs based on the nature of the work.</w:t>
      </w:r>
    </w:p>
    <w:p>
      <w:pPr>
        <w:spacing w:before="0"/>
      </w:pPr>
      <w:r>
        <w:rPr>
          <w:b w:val="0"/>
        </w:rPr>
        <w:t>• Labour cost does not encompass the concept of trade-offs or forgone opportunities.</w:t>
      </w:r>
    </w:p>
    <w:p>
      <w:pPr>
        <w:spacing w:before="0"/>
      </w:pPr>
      <w:r>
        <w:rPr>
          <w:b w:val="0"/>
        </w:rPr>
        <w:t>• Total Spending: Total spending refers to the sum of all expenditures made by an individual, organization, or economy over a specific period.</w:t>
      </w:r>
    </w:p>
    <w:p>
      <w:pPr>
        <w:spacing w:before="0"/>
      </w:pPr>
      <w:r>
        <w:rPr>
          <w:b w:val="0"/>
        </w:rPr>
        <w:t>• This term is commonly used in economic analysis to measure consumption, investment, and government spending.</w:t>
      </w:r>
    </w:p>
    <w:p>
      <w:pPr>
        <w:spacing w:before="0"/>
      </w:pPr>
      <w:r>
        <w:rPr>
          <w:b w:val="0"/>
        </w:rPr>
        <w:t>• Total spending is different from opportunity cost, as it focuses on monetary outflows rather than the value of forgone alternatives.</w:t>
      </w:r>
    </w:p>
    <w:p>
      <w:pPr>
        <w:spacing w:before="0"/>
      </w:pPr>
      <w:r>
        <w:rPr>
          <w:b w:val="0"/>
        </w:rPr>
      </w:r>
    </w:p>
    <w:p>
      <w:pPr>
        <w:spacing w:after="100" w:line="360" w:lineRule="auto" w:before="0"/>
      </w:pPr>
      <w:r>
        <w:rPr>
          <w:b w:val="0"/>
        </w:rPr>
        <w:t>21. Why does the Global Firepower Index use bonuses and penalties?</w:t>
      </w:r>
    </w:p>
    <w:p>
      <w:pPr>
        <w:spacing w:before="0"/>
      </w:pPr>
      <w:r>
        <w:rPr>
          <w:b w:val="0"/>
        </w:rPr>
      </w:r>
    </w:p>
    <w:p>
      <w:pPr>
        <w:spacing w:after="100" w:before="0"/>
      </w:pPr>
      <w:r>
        <w:rPr>
          <w:b w:val="0"/>
        </w:rPr>
        <w:t>A. Exclude weak nations</w:t>
      </w:r>
    </w:p>
    <w:p>
      <w:pPr>
        <w:spacing w:after="100" w:before="0"/>
      </w:pPr>
      <w:r>
        <w:rPr>
          <w:b w:val="0"/>
        </w:rPr>
        <w:t>B. Rank nuclear powers higher</w:t>
      </w:r>
    </w:p>
    <w:p>
      <w:pPr>
        <w:spacing w:after="100" w:before="0"/>
      </w:pPr>
      <w:r>
        <w:rPr>
          <w:b w:val="0"/>
        </w:rPr>
        <w:t>C. Balance qualitative differences</w:t>
      </w:r>
    </w:p>
    <w:p>
      <w:pPr>
        <w:spacing w:after="100" w:before="0"/>
      </w:pPr>
      <w:r>
        <w:rPr>
          <w:b w:val="0"/>
        </w:rPr>
        <w:t>D. Compute defence ratios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Balance qualitative differences. Key Points Additional Information</w:t>
      </w:r>
    </w:p>
    <w:p>
      <w:pPr>
        <w:spacing w:before="0"/>
      </w:pPr>
      <w:r>
        <w:rPr>
          <w:b w:val="0"/>
        </w:rPr>
        <w:t>• The Global Firepower Index uses bonuses and penalties to address qualitative differences between nations' military capabilities.</w:t>
      </w:r>
    </w:p>
    <w:p>
      <w:pPr>
        <w:spacing w:before="0"/>
      </w:pPr>
      <w:r>
        <w:rPr>
          <w:b w:val="0"/>
        </w:rPr>
        <w:t>• Factors like geographical advantage, industrial capacity, and manpower are considered to ensure fair ranking.</w:t>
      </w:r>
    </w:p>
    <w:p>
      <w:pPr>
        <w:spacing w:before="0"/>
      </w:pPr>
      <w:r>
        <w:rPr>
          <w:b w:val="0"/>
        </w:rPr>
        <w:t>• Bonuses are provided for qualities such as natural resources, defense budget, and logistical flexibility.</w:t>
      </w:r>
    </w:p>
    <w:p>
      <w:pPr>
        <w:spacing w:before="0"/>
      </w:pPr>
      <w:r>
        <w:rPr>
          <w:b w:val="0"/>
        </w:rPr>
        <w:t>• Penalties are applied to avoid overemphasis on extreme advantages like nuclear stockpiles or geographical size.</w:t>
      </w:r>
    </w:p>
    <w:p>
      <w:pPr>
        <w:spacing w:before="0"/>
      </w:pPr>
      <w:r>
        <w:rPr>
          <w:b w:val="0"/>
        </w:rPr>
        <w:t>• This approach ensures that rankings reflect a balanced assessment of military power across multiple dimensions.</w:t>
      </w:r>
    </w:p>
    <w:p>
      <w:pPr>
        <w:spacing w:before="0"/>
      </w:pPr>
      <w:r>
        <w:rPr>
          <w:b w:val="0"/>
        </w:rPr>
        <w:t>• Exclude weak nations The Global Firepower Index does not exclude weak nations outright; instead, it includes a wide range of countries to provide a comprehensive global comparison.</w:t>
      </w:r>
    </w:p>
    <w:p>
      <w:pPr>
        <w:spacing w:before="0"/>
      </w:pPr>
      <w:r>
        <w:rPr>
          <w:b w:val="0"/>
        </w:rPr>
        <w:t>• The rankings aim to include countries with varying degrees of military capabilities, offering insight into strengths and weaknesses rather than excluding smaller nations.</w:t>
      </w:r>
    </w:p>
    <w:p>
      <w:pPr>
        <w:spacing w:before="0"/>
      </w:pPr>
      <w:r>
        <w:rPr>
          <w:b w:val="0"/>
        </w:rPr>
        <w:t>• Rank nuclear powers higher While nuclear capability is a factor, the index does not overly prioritize nuclear powers.</w:t>
      </w:r>
    </w:p>
    <w:p>
      <w:pPr>
        <w:spacing w:before="0"/>
      </w:pPr>
      <w:r>
        <w:rPr>
          <w:b w:val="0"/>
        </w:rPr>
        <w:t>• The methodology ensures that nuclear capability is balanced with conventional forces, manpower, financial resources, and other critical metrics.</w:t>
      </w:r>
    </w:p>
    <w:p>
      <w:pPr>
        <w:spacing w:before="0"/>
      </w:pPr>
      <w:r>
        <w:rPr>
          <w:b w:val="0"/>
        </w:rPr>
        <w:t>• Compute defense ratios Defense ratios such as spending-to-GDP and personnel-to-population are part of the analysis but not the sole focus.</w:t>
      </w:r>
    </w:p>
    <w:p>
      <w:pPr>
        <w:spacing w:before="0"/>
      </w:pPr>
      <w:r>
        <w:rPr>
          <w:b w:val="0"/>
        </w:rPr>
        <w:t>• These ratios complement other factors in determining overall military strength rather than being central to the ranking methodology.</w:t>
      </w:r>
    </w:p>
    <w:p>
      <w:pPr>
        <w:spacing w:before="0"/>
      </w:pPr>
      <w:r>
        <w:rPr>
          <w:b w:val="0"/>
        </w:rPr>
        <w:t>• Global Firepower Index Theme The index evaluates countries based on over 60 factors, including manpower, equipment, geography, finances, and logistics.</w:t>
      </w:r>
    </w:p>
    <w:p>
      <w:pPr>
        <w:spacing w:before="0"/>
      </w:pPr>
      <w:r>
        <w:rPr>
          <w:b w:val="0"/>
        </w:rPr>
        <w:t>• It aims to provide a balanced and comprehensive analysis of global military power.</w:t>
      </w:r>
    </w:p>
    <w:p>
      <w:pPr>
        <w:spacing w:before="0"/>
      </w:pPr>
      <w:r>
        <w:rPr>
          <w:b w:val="0"/>
        </w:rPr>
        <w:t>• The rankings help policymakers, analysts, and researchers understand the relative strengths of different nations.</w:t>
      </w:r>
    </w:p>
    <w:p>
      <w:pPr>
        <w:spacing w:before="0"/>
      </w:pPr>
      <w:r>
        <w:rPr>
          <w:b w:val="0"/>
        </w:rPr>
      </w:r>
    </w:p>
    <w:p>
      <w:pPr>
        <w:spacing w:after="100" w:line="360" w:lineRule="auto" w:before="0"/>
      </w:pPr>
      <w:r>
        <w:rPr>
          <w:b w:val="0"/>
        </w:rPr>
        <w:t>22. Who led the resistance in the Khongjom War (1891)?</w:t>
      </w:r>
    </w:p>
    <w:p>
      <w:pPr>
        <w:spacing w:before="0"/>
      </w:pPr>
      <w:r>
        <w:rPr>
          <w:b w:val="0"/>
        </w:rPr>
      </w:r>
    </w:p>
    <w:p>
      <w:pPr>
        <w:spacing w:after="100" w:before="0"/>
      </w:pPr>
      <w:r>
        <w:rPr>
          <w:b w:val="0"/>
        </w:rPr>
        <w:t>A. Tikendrajit Singh</w:t>
      </w:r>
    </w:p>
    <w:p>
      <w:pPr>
        <w:spacing w:after="100" w:before="0"/>
      </w:pPr>
      <w:r>
        <w:rPr>
          <w:b w:val="0"/>
        </w:rPr>
        <w:t>B. Rani Gaidinliu</w:t>
      </w:r>
    </w:p>
    <w:p>
      <w:pPr>
        <w:spacing w:after="100" w:before="0"/>
      </w:pPr>
      <w:r>
        <w:rPr>
          <w:b w:val="0"/>
        </w:rPr>
        <w:t>C. U Kiang Nangbah</w:t>
      </w:r>
    </w:p>
    <w:p>
      <w:pPr>
        <w:spacing w:after="100" w:before="0"/>
      </w:pPr>
      <w:r>
        <w:rPr>
          <w:b w:val="0"/>
        </w:rPr>
        <w:t>D. Surendra 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Tikendrajit Singh. Key Points Additional Information</w:t>
      </w:r>
    </w:p>
    <w:p>
      <w:pPr>
        <w:spacing w:before="0"/>
      </w:pPr>
      <w:r>
        <w:rPr>
          <w:b w:val="0"/>
        </w:rPr>
        <w:t>• Tikendrajit Singh, also known as Bir Tikendrajit, was a prince of Manipur and played a key role in the Khongjom War of 1891.</w:t>
      </w:r>
    </w:p>
    <w:p>
      <w:pPr>
        <w:spacing w:before="0"/>
      </w:pPr>
      <w:r>
        <w:rPr>
          <w:b w:val="0"/>
        </w:rPr>
        <w:t>• He led the resistance against the British forces during the Anglo-Manipur War, which was fought to defend the sovereignty of the kingdom of Manipur.</w:t>
      </w:r>
    </w:p>
    <w:p>
      <w:pPr>
        <w:spacing w:before="0"/>
      </w:pPr>
      <w:r>
        <w:rPr>
          <w:b w:val="0"/>
        </w:rPr>
        <w:t>• The Khongjom War of 1891 was a significant battle in India’s history, symbolizing the courage and patriotism of Manipuri warriors.</w:t>
      </w:r>
    </w:p>
    <w:p>
      <w:pPr>
        <w:spacing w:before="0"/>
      </w:pPr>
      <w:r>
        <w:rPr>
          <w:b w:val="0"/>
        </w:rPr>
        <w:t>• Tikendrajit Singh was captured by the British and executed on 13 August 1891, becoming a martyr in the fight against colonial rule.</w:t>
      </w:r>
    </w:p>
    <w:p>
      <w:pPr>
        <w:spacing w:before="0"/>
      </w:pPr>
      <w:r>
        <w:rPr>
          <w:b w:val="0"/>
        </w:rPr>
        <w:t>• The Khongjom War Memorial Complex in Manipur commemorates the bravery of Tikendrajit Singh and other Manipuri soldiers who fought in the war.</w:t>
      </w:r>
    </w:p>
    <w:p>
      <w:pPr>
        <w:spacing w:before="0"/>
      </w:pPr>
      <w:r>
        <w:rPr>
          <w:b w:val="0"/>
        </w:rPr>
        <w:t>• Rani Gaidinliu Rani Gaidinliu was a Naga spiritual and political leader who led a revolt against British colonial rule in India.</w:t>
      </w:r>
    </w:p>
    <w:p>
      <w:pPr>
        <w:spacing w:before="0"/>
      </w:pPr>
      <w:r>
        <w:rPr>
          <w:b w:val="0"/>
        </w:rPr>
        <w:t>• She was associated with the Heraka religious movement, which aimed to revive traditional Naga beliefs and oppose British rule.</w:t>
      </w:r>
    </w:p>
    <w:p>
      <w:pPr>
        <w:spacing w:before="0"/>
      </w:pPr>
      <w:r>
        <w:rPr>
          <w:b w:val="0"/>
        </w:rPr>
        <w:t>• She was imprisoned by the British for 14 years and later honored with the title "Rani" by Jawaharlal Nehru for her contributions to India’s freedom struggle.</w:t>
      </w:r>
    </w:p>
    <w:p>
      <w:pPr>
        <w:spacing w:before="0"/>
      </w:pPr>
      <w:r>
        <w:rPr>
          <w:b w:val="0"/>
        </w:rPr>
        <w:t>• U Kiang Nangbah U Kiang Nangbah was a freedom fighter from the Khasi community in Meghalaya.</w:t>
      </w:r>
    </w:p>
    <w:p>
      <w:pPr>
        <w:spacing w:before="0"/>
      </w:pPr>
      <w:r>
        <w:rPr>
          <w:b w:val="0"/>
        </w:rPr>
        <w:t>• He led an armed rebellion against British rule in the Jaintia Hills region during the 19th century.</w:t>
      </w:r>
    </w:p>
    <w:p>
      <w:pPr>
        <w:spacing w:before="0"/>
      </w:pPr>
      <w:r>
        <w:rPr>
          <w:b w:val="0"/>
        </w:rPr>
        <w:t>• He was eventually captured by the British and executed in 1862, becoming a symbol of resistance in Meghalaya.</w:t>
      </w:r>
    </w:p>
    <w:p>
      <w:pPr>
        <w:spacing w:before="0"/>
      </w:pPr>
      <w:r>
        <w:rPr>
          <w:b w:val="0"/>
        </w:rPr>
        <w:t>• Surendra Sai Surendra Sai was an Indian freedom fighter from Odisha who fought against British rule in the mid-19th century.</w:t>
      </w:r>
    </w:p>
    <w:p>
      <w:pPr>
        <w:spacing w:before="0"/>
      </w:pPr>
      <w:r>
        <w:rPr>
          <w:b w:val="0"/>
        </w:rPr>
        <w:t>• He is best known for his leadership in the Sambalpur uprising, which aimed to restore the rightful ruler of Sambalpur and resist British colonial policies.</w:t>
      </w:r>
    </w:p>
    <w:p>
      <w:pPr>
        <w:spacing w:before="0"/>
      </w:pPr>
      <w:r>
        <w:rPr>
          <w:b w:val="0"/>
        </w:rPr>
        <w:t>• He spent a significant portion of his life in prison, sacrificing his freedom for the cause of India’s independence.</w:t>
      </w:r>
    </w:p>
    <w:p>
      <w:pPr>
        <w:spacing w:before="0"/>
      </w:pPr>
      <w:r>
        <w:rPr>
          <w:b w:val="0"/>
        </w:rPr>
        <w:t>• Khongjom War (1891) The Khongjom War, also known as the Anglo-Manipur War, was fought between the British Empire and the Kingdom of Manipur.</w:t>
      </w:r>
    </w:p>
    <w:p>
      <w:pPr>
        <w:spacing w:before="0"/>
      </w:pPr>
      <w:r>
        <w:rPr>
          <w:b w:val="0"/>
        </w:rPr>
        <w:t>• It marked the end of Manipur’s sovereignty and its annexation into the British Empire.</w:t>
      </w:r>
    </w:p>
    <w:p>
      <w:pPr>
        <w:spacing w:before="0"/>
      </w:pPr>
      <w:r>
        <w:rPr>
          <w:b w:val="0"/>
        </w:rPr>
        <w:t>• The war is remembered for the bravery and sacrifice of Manipuri soldiers, including Tikendrajit Singh and other leaders.</w:t>
      </w:r>
    </w:p>
    <w:p>
      <w:pPr>
        <w:spacing w:before="0"/>
      </w:pPr>
      <w:r>
        <w:rPr>
          <w:b w:val="0"/>
        </w:rPr>
      </w:r>
    </w:p>
    <w:p>
      <w:pPr>
        <w:spacing w:after="100" w:line="360" w:lineRule="auto" w:before="0"/>
      </w:pPr>
      <w:r>
        <w:rPr>
          <w:b w:val="0"/>
        </w:rPr>
        <w:t>23. Import substitution policy aimed mainly to:</w:t>
      </w:r>
    </w:p>
    <w:p>
      <w:pPr>
        <w:spacing w:before="0"/>
      </w:pPr>
      <w:r>
        <w:rPr>
          <w:b w:val="0"/>
        </w:rPr>
      </w:r>
    </w:p>
    <w:p>
      <w:pPr>
        <w:spacing w:after="100" w:before="0"/>
      </w:pPr>
      <w:r>
        <w:rPr>
          <w:b w:val="0"/>
        </w:rPr>
        <w:t>A. Expand exports</w:t>
      </w:r>
    </w:p>
    <w:p>
      <w:pPr>
        <w:spacing w:after="100" w:before="0"/>
      </w:pPr>
      <w:r>
        <w:rPr>
          <w:b w:val="0"/>
        </w:rPr>
        <w:t>B. Invite foreign capital</w:t>
      </w:r>
    </w:p>
    <w:p>
      <w:pPr>
        <w:spacing w:after="100" w:before="0"/>
      </w:pPr>
      <w:r>
        <w:rPr>
          <w:b w:val="0"/>
        </w:rPr>
        <w:t>C. Protect infant industries</w:t>
      </w:r>
    </w:p>
    <w:p>
      <w:pPr>
        <w:spacing w:after="100" w:before="0"/>
      </w:pPr>
      <w:r>
        <w:rPr>
          <w:b w:val="0"/>
        </w:rPr>
        <w:t>D. Increase imports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Protect infant industries. Key Points Additional Information</w:t>
      </w:r>
    </w:p>
    <w:p>
      <w:pPr>
        <w:spacing w:before="0"/>
      </w:pPr>
      <w:r>
        <w:rPr>
          <w:b w:val="0"/>
        </w:rPr>
        <w:t>• Import substitution policy is an economic strategy aimed at reducing dependency on foreign imports by encouraging domestic production of goods.</w:t>
      </w:r>
    </w:p>
    <w:p>
      <w:pPr>
        <w:spacing w:before="0"/>
      </w:pPr>
      <w:r>
        <w:rPr>
          <w:b w:val="0"/>
        </w:rPr>
        <w:t>• The primary objective of this policy was to protect infant industries, which are newly established industries that require government support to grow and compete in the market.</w:t>
      </w:r>
    </w:p>
    <w:p>
      <w:pPr>
        <w:spacing w:before="0"/>
      </w:pPr>
      <w:r>
        <w:rPr>
          <w:b w:val="0"/>
        </w:rPr>
        <w:t>• This policy helps to create a self-reliant economy by fostering the development of local industries and reducing vulnerabilities to external economic shocks.</w:t>
      </w:r>
    </w:p>
    <w:p>
      <w:pPr>
        <w:spacing w:before="0"/>
      </w:pPr>
      <w:r>
        <w:rPr>
          <w:b w:val="0"/>
        </w:rPr>
        <w:t>• It involves imposing tariffs, quotas, and restrictions on imports while providing subsidies and incentives to domestic industries.</w:t>
      </w:r>
    </w:p>
    <w:p>
      <w:pPr>
        <w:spacing w:before="0"/>
      </w:pPr>
      <w:r>
        <w:rPr>
          <w:b w:val="0"/>
        </w:rPr>
        <w:t>• Countries like India adopted this policy extensively after independence as part of their economic planning to promote industrialization and reduce dependency on foreign goods.</w:t>
      </w:r>
    </w:p>
    <w:p>
      <w:pPr>
        <w:spacing w:before="0"/>
      </w:pPr>
      <w:r>
        <w:rPr>
          <w:b w:val="0"/>
        </w:rPr>
        <w:t>• Expand exports The aim of expanding exports is to increase a country's foreign exchange reserves and improve its balance of payments.</w:t>
      </w:r>
    </w:p>
    <w:p>
      <w:pPr>
        <w:spacing w:before="0"/>
      </w:pPr>
      <w:r>
        <w:rPr>
          <w:b w:val="0"/>
        </w:rPr>
        <w:t>• Policies promoting exports focus on enhancing production efficiency, improving product quality, and accessing international markets.</w:t>
      </w:r>
    </w:p>
    <w:p>
      <w:pPr>
        <w:spacing w:before="0"/>
      </w:pPr>
      <w:r>
        <w:rPr>
          <w:b w:val="0"/>
        </w:rPr>
        <w:t>• Export promotion and import substitution are often seen as contrasting strategies, as the former focuses on global competitiveness while the latter prioritizes domestic production.</w:t>
      </w:r>
    </w:p>
    <w:p>
      <w:pPr>
        <w:spacing w:before="0"/>
      </w:pPr>
      <w:r>
        <w:rPr>
          <w:b w:val="0"/>
        </w:rPr>
        <w:t>• Invite foreign capital This involves attracting foreign direct investment (FDI) or foreign portfolio investments (FPI) to boost domestic industrial growth and infrastructure development.</w:t>
      </w:r>
    </w:p>
    <w:p>
      <w:pPr>
        <w:spacing w:before="0"/>
      </w:pPr>
      <w:r>
        <w:rPr>
          <w:b w:val="0"/>
        </w:rPr>
        <w:t>• While inviting foreign capital may complement industrialization, it is not a core focus of import substitution policies, which aim to reduce foreign dependency.</w:t>
      </w:r>
    </w:p>
    <w:p>
      <w:pPr>
        <w:spacing w:before="0"/>
      </w:pPr>
      <w:r>
        <w:rPr>
          <w:b w:val="0"/>
        </w:rPr>
        <w:t>• Countries often pursue foreign capital through liberalization policies rather than protectionist strategies like import substitution.</w:t>
      </w:r>
    </w:p>
    <w:p>
      <w:pPr>
        <w:spacing w:before="0"/>
      </w:pPr>
      <w:r>
        <w:rPr>
          <w:b w:val="0"/>
        </w:rPr>
        <w:t>• Increase imports Increasing imports is contrary to the goals of import substitution policy, which seeks to reduce reliance on imported goods.</w:t>
      </w:r>
    </w:p>
    <w:p>
      <w:pPr>
        <w:spacing w:before="0"/>
      </w:pPr>
      <w:r>
        <w:rPr>
          <w:b w:val="0"/>
        </w:rPr>
        <w:t>• Encouraging imports is generally associated with trade liberalization policies to foster global trade and access to diverse goods and services.</w:t>
      </w:r>
    </w:p>
    <w:p>
      <w:pPr>
        <w:spacing w:before="0"/>
      </w:pPr>
      <w:r>
        <w:rPr>
          <w:b w:val="0"/>
        </w:rPr>
      </w:r>
    </w:p>
    <w:p>
      <w:pPr>
        <w:spacing w:after="100" w:line="360" w:lineRule="auto" w:before="0"/>
      </w:pPr>
      <w:r>
        <w:rPr>
          <w:b w:val="0"/>
        </w:rPr>
        <w:t>24. The Green Credit Programme rewards:</w:t>
      </w:r>
    </w:p>
    <w:p>
      <w:pPr>
        <w:spacing w:before="0"/>
      </w:pPr>
      <w:r>
        <w:rPr>
          <w:b w:val="0"/>
        </w:rPr>
      </w:r>
    </w:p>
    <w:p>
      <w:pPr>
        <w:spacing w:after="100" w:before="0"/>
      </w:pPr>
      <w:r>
        <w:rPr>
          <w:b w:val="0"/>
        </w:rPr>
        <w:t>A. Water audits</w:t>
      </w:r>
    </w:p>
    <w:p>
      <w:pPr>
        <w:spacing w:after="100" w:before="0"/>
      </w:pPr>
      <w:r>
        <w:rPr>
          <w:b w:val="0"/>
        </w:rPr>
        <w:t>B. Tree plantation and ecosystem restoration</w:t>
      </w:r>
    </w:p>
    <w:p>
      <w:pPr>
        <w:spacing w:after="100" w:before="0"/>
      </w:pPr>
      <w:r>
        <w:rPr>
          <w:b w:val="0"/>
        </w:rPr>
        <w:t>C. Air quality checks</w:t>
      </w:r>
    </w:p>
    <w:p>
      <w:pPr>
        <w:spacing w:after="100" w:before="0"/>
      </w:pPr>
      <w:r>
        <w:rPr>
          <w:b w:val="0"/>
        </w:rPr>
        <w:t>D. Solar installations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Tree plantation and ecosystem restoration. Key Points Additional Information</w:t>
      </w:r>
    </w:p>
    <w:p>
      <w:pPr>
        <w:spacing w:before="0"/>
      </w:pPr>
      <w:r>
        <w:rPr>
          <w:b w:val="0"/>
        </w:rPr>
        <w:t>• The Green Credit Programme is an initiative introduced under the Environment Protection Act (EPA), 1986, with the aim to incentivize voluntary environmental actions.</w:t>
      </w:r>
    </w:p>
    <w:p>
      <w:pPr>
        <w:spacing w:before="0"/>
      </w:pPr>
      <w:r>
        <w:rPr>
          <w:b w:val="0"/>
        </w:rPr>
        <w:t>• This programme specifically encourages activities such as tree plantation, afforestation, and ecosystem restoration to mitigate the adverse effects of deforestation and climate change.</w:t>
      </w:r>
    </w:p>
    <w:p>
      <w:pPr>
        <w:spacing w:before="0"/>
      </w:pPr>
      <w:r>
        <w:rPr>
          <w:b w:val="0"/>
        </w:rPr>
        <w:t>• Tree plantation and ecosystem restoration contribute to carbon sequestration, which helps reduce greenhouse gas emissions and combat global warming.</w:t>
      </w:r>
    </w:p>
    <w:p>
      <w:pPr>
        <w:spacing w:before="0"/>
      </w:pPr>
      <w:r>
        <w:rPr>
          <w:b w:val="0"/>
        </w:rPr>
        <w:t>• Restoring ecosystems enhances biodiversity, improves soil quality, and provides sustainable livelihoods for local communities.</w:t>
      </w:r>
    </w:p>
    <w:p>
      <w:pPr>
        <w:spacing w:before="0"/>
      </w:pPr>
      <w:r>
        <w:rPr>
          <w:b w:val="0"/>
        </w:rPr>
        <w:t>• The programme helps industries and individuals earn "green credits" for their participation, which can be traded or used to offset environmental obligations under various regulations.</w:t>
      </w:r>
    </w:p>
    <w:p>
      <w:pPr>
        <w:spacing w:before="0"/>
      </w:pPr>
      <w:r>
        <w:rPr>
          <w:b w:val="0"/>
        </w:rPr>
        <w:t>• Water Audits A water audit is a systematic process to evaluate water usage and identify areas for conservation and efficiency improvement.</w:t>
      </w:r>
    </w:p>
    <w:p>
      <w:pPr>
        <w:spacing w:before="0"/>
      </w:pPr>
      <w:r>
        <w:rPr>
          <w:b w:val="0"/>
        </w:rPr>
        <w:t>• It helps industries and households reduce water wastage and adopt sustainable water management practices.</w:t>
      </w:r>
    </w:p>
    <w:p>
      <w:pPr>
        <w:spacing w:before="0"/>
      </w:pPr>
      <w:r>
        <w:rPr>
          <w:b w:val="0"/>
        </w:rPr>
        <w:t>• Though critical for resource management, water audits are not directly incentivized under the Green Credit Programme.</w:t>
      </w:r>
    </w:p>
    <w:p>
      <w:pPr>
        <w:spacing w:before="0"/>
      </w:pPr>
      <w:r>
        <w:rPr>
          <w:b w:val="0"/>
        </w:rPr>
        <w:t>• Air Quality Checks Air quality checks involve monitoring pollutants like PM2.5, PM10, SO2, NOx, and CO2 to assess the air quality index (AQI).</w:t>
      </w:r>
    </w:p>
    <w:p>
      <w:pPr>
        <w:spacing w:before="0"/>
      </w:pPr>
      <w:r>
        <w:rPr>
          <w:b w:val="0"/>
        </w:rPr>
        <w:t>• These checks are essential for public health and environmental monitoring but are not part of the activities rewarded by the Green Credit Programme.</w:t>
      </w:r>
    </w:p>
    <w:p>
      <w:pPr>
        <w:spacing w:before="0"/>
      </w:pPr>
      <w:r>
        <w:rPr>
          <w:b w:val="0"/>
        </w:rPr>
        <w:t>• Solar Installations Solar installations are key to transitioning to renewable energy and reducing dependency on fossil fuels.</w:t>
      </w:r>
    </w:p>
    <w:p>
      <w:pPr>
        <w:spacing w:before="0"/>
      </w:pPr>
      <w:r>
        <w:rPr>
          <w:b w:val="0"/>
        </w:rPr>
        <w:t>• While solar installations contribute to environmental sustainability, they are typically incentivized under other schemes like the National Solar Mission, not the Green Credit Programme.</w:t>
      </w:r>
    </w:p>
    <w:p>
      <w:pPr>
        <w:spacing w:before="0"/>
      </w:pPr>
      <w:r>
        <w:rPr>
          <w:b w:val="0"/>
        </w:rPr>
        <w:t>• Green Credit Programme Theme The programme is focused on promoting actions that directly restore and conserve natural ecosystems, particularly through activities like afforestation and biodiversity protection.</w:t>
      </w:r>
    </w:p>
    <w:p>
      <w:pPr>
        <w:spacing w:before="0"/>
      </w:pPr>
      <w:r>
        <w:rPr>
          <w:b w:val="0"/>
        </w:rPr>
        <w:t>• It aligns with India’s commitments under international frameworks like the Paris Agreement and the Convention on Biological Diversity.</w:t>
      </w:r>
    </w:p>
    <w:p>
      <w:pPr>
        <w:spacing w:before="0"/>
      </w:pPr>
      <w:r>
        <w:rPr>
          <w:b w:val="0"/>
        </w:rPr>
      </w:r>
    </w:p>
    <w:p>
      <w:pPr>
        <w:spacing w:after="100" w:line="360" w:lineRule="auto" w:before="0"/>
      </w:pPr>
      <w:r>
        <w:rPr>
          <w:b w:val="0"/>
        </w:rPr>
        <w:t>25. Consider the following statements: 1. Criminal law lies in Union List. 2. Agriculture is a State subject. 3. Intra-state trade is in State List. Which are correct?</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All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because Criminal Law belongs to the Concurrent List (List III). Agriculture and Intra-state trade are both listed under the State List (List II). Note that Intra-state trade (within a state) is a State subject, whereas Inter-state trade (between states) is a Union subject. Therefore, only statements 2 and 3 are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