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47th ASEAN Summit in October 2025 primarily focused on which of the following issues?</w:t>
      </w:r>
    </w:p>
    <w:p>
      <w:pPr>
        <w:spacing w:before="0"/>
      </w:pPr>
      <w:r>
        <w:rPr>
          <w:b w:val="0"/>
        </w:rPr>
      </w:r>
    </w:p>
    <w:p>
      <w:pPr>
        <w:spacing w:after="100" w:before="0"/>
      </w:pPr>
      <w:r>
        <w:rPr>
          <w:b w:val="0"/>
        </w:rPr>
        <w:t>A. Digital transformation</w:t>
      </w:r>
    </w:p>
    <w:p>
      <w:pPr>
        <w:spacing w:after="100" w:before="0"/>
      </w:pPr>
      <w:r>
        <w:rPr>
          <w:b w:val="0"/>
        </w:rPr>
        <w:t>B. Inclusivity &amp; Sustainability</w:t>
      </w:r>
    </w:p>
    <w:p>
      <w:pPr>
        <w:spacing w:after="100" w:before="0"/>
      </w:pPr>
      <w:r>
        <w:rPr>
          <w:b w:val="0"/>
        </w:rPr>
        <w:t>C. Trade tariffs</w:t>
      </w:r>
    </w:p>
    <w:p>
      <w:pPr>
        <w:spacing w:after="100" w:before="0"/>
      </w:pPr>
      <w:r>
        <w:rPr>
          <w:b w:val="0"/>
        </w:rPr>
        <w:t>D. Food safety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'Inclusivity &amp; Sustainability' Key Points Additional Information Important Points</w:t>
      </w:r>
    </w:p>
    <w:p>
      <w:pPr>
        <w:spacing w:before="0"/>
      </w:pPr>
      <w:r>
        <w:rPr>
          <w:b w:val="0"/>
        </w:rPr>
        <w:t>• Inclusivity &amp; Sustainability: For the year 2025, Malaysia assumes the Chairmanship of ASEAN, and the 46th and 47th ASEAN Summits are centered around the theme of "Inclusivity and Sustainability."</w:t>
      </w:r>
    </w:p>
    <w:p>
      <w:pPr>
        <w:spacing w:before="0"/>
      </w:pPr>
      <w:r>
        <w:rPr>
          <w:b w:val="0"/>
        </w:rPr>
        <w:t>• Inclusivity refers to the goal of ensuring that the benefits of regional integration reach all segments of society, reducing development gaps between member states, and fostering a "people-centered" community.</w:t>
      </w:r>
    </w:p>
    <w:p>
      <w:pPr>
        <w:spacing w:before="0"/>
      </w:pPr>
      <w:r>
        <w:rPr>
          <w:b w:val="0"/>
        </w:rPr>
        <w:t>• Sustainability focuses on long-term ecological balance, climate resilience, and the transition to a green economy, ensuring that economic growth does not come at the expense of future generations.</w:t>
      </w:r>
    </w:p>
    <w:p>
      <w:pPr>
        <w:spacing w:before="0"/>
      </w:pPr>
      <w:r>
        <w:rPr>
          <w:b w:val="0"/>
        </w:rPr>
        <w:t>• The focus reflects ASEAN's commitment to the ASEAN Community Vision 2045, aiming for a resilient, innovative, and user-centric regional bloc.</w:t>
      </w:r>
    </w:p>
    <w:p>
      <w:pPr>
        <w:spacing w:before="0"/>
      </w:pPr>
      <w:r>
        <w:rPr>
          <w:b w:val="0"/>
        </w:rPr>
        <w:t>• Under this theme, the summit seeks to strengthen regional value chains, enhance food and energy security, and promote social justice across Southeast Asia.</w:t>
      </w:r>
    </w:p>
    <w:p>
      <w:pPr>
        <w:spacing w:before="0"/>
      </w:pPr>
      <w:r>
        <w:rPr>
          <w:b w:val="0"/>
        </w:rPr>
        <w:t>• Digital Transformation: While digital transformation is a cornerstone of the ASEAN Digital Masterplan 2025 and the Digital Economy Framework Agreement (DEFA), it serves as a supporting pillar for economic growth rather than the primary overarching theme of the 47th Summit.</w:t>
      </w:r>
    </w:p>
    <w:p>
      <w:pPr>
        <w:spacing w:before="0"/>
      </w:pPr>
      <w:r>
        <w:rPr>
          <w:b w:val="0"/>
        </w:rPr>
        <w:t>• It involves enhancing digital connectivity, cybersecurity, and e-commerce across the region.</w:t>
      </w:r>
    </w:p>
    <w:p>
      <w:pPr>
        <w:spacing w:before="0"/>
      </w:pPr>
      <w:r>
        <w:rPr>
          <w:b w:val="0"/>
        </w:rPr>
        <w:t>• Trade Tariffs: Issues regarding trade tariffs are typically handled under the ASEAN Free Trade Area (AFTA) and the Regional Comprehensive Economic Partnership (RCEP).</w:t>
      </w:r>
    </w:p>
    <w:p>
      <w:pPr>
        <w:spacing w:before="0"/>
      </w:pPr>
      <w:r>
        <w:rPr>
          <w:b w:val="0"/>
        </w:rPr>
        <w:t>• While always a topic of discussion for economic integration, trade tariffs represent a specific technical area of negotiation rather than the broad strategic vision of the 2025 Malaysia chairmanship.</w:t>
      </w:r>
    </w:p>
    <w:p>
      <w:pPr>
        <w:spacing w:before="0"/>
      </w:pPr>
      <w:r>
        <w:rPr>
          <w:b w:val="0"/>
        </w:rPr>
        <w:t>• Food Safety: Food safety and security are critical components of the ASEAN Integrated Food Security (AIFS) Framework.</w:t>
      </w:r>
    </w:p>
    <w:p>
      <w:pPr>
        <w:spacing w:before="0"/>
      </w:pPr>
      <w:r>
        <w:rPr>
          <w:b w:val="0"/>
        </w:rPr>
        <w:t>• Although these issues are discussed within the broader context of "Sustainability," food safety alone is a sectoral concern and does not encompass the full breadth of the summit's primary agenda.</w:t>
      </w:r>
    </w:p>
    <w:p>
      <w:pPr>
        <w:spacing w:before="0"/>
      </w:pPr>
      <w:r>
        <w:rPr>
          <w:b w:val="0"/>
        </w:rPr>
        <w:t>• The ASEAN Summit is the highest policy-making body in ASEAN, comprising the Heads of State or Government of the Member States.</w:t>
      </w:r>
    </w:p>
    <w:p>
      <w:pPr>
        <w:spacing w:before="0"/>
      </w:pPr>
      <w:r>
        <w:rPr>
          <w:b w:val="0"/>
        </w:rPr>
        <w:t>• The Chairmanship of ASEAN rotates annually based on the alphabetical order of the English names of Member States; Malaysia officially took over the chair from Laos at the end of 2024.</w:t>
      </w:r>
    </w:p>
    <w:p>
      <w:pPr>
        <w:spacing w:before="0"/>
      </w:pPr>
      <w:r>
        <w:rPr>
          <w:b w:val="0"/>
        </w:rPr>
        <w:t>• The 2025 summits are particularly significant as they coincide with the 10th anniversary of the formal establishment of the ASEAN Community (2015).</w:t>
      </w:r>
    </w:p>
    <w:p>
      <w:pPr>
        <w:spacing w:before="0"/>
      </w:pPr>
      <w:r>
        <w:rPr>
          <w:b w:val="0"/>
        </w:rPr>
        <w:t>• Malaysia has emphasized that its 2025 chairmanship will prioritize the "ASEAN Centrality" concept to navigate geopolitical tensions between major global powers.</w:t>
      </w:r>
    </w:p>
    <w:p>
      <w:pPr>
        <w:spacing w:before="0"/>
      </w:pPr>
      <w:r>
        <w:rPr>
          <w:b w:val="0"/>
        </w:rPr>
        <w:t>• The summits provide a platform for ASEAN leaders to discuss regional security (including the South China Sea and Myanmar crisis), economic cooperation, and external relations with partners like China, the US, and India.</w:t>
      </w:r>
    </w:p>
    <w:p>
      <w:pPr>
        <w:spacing w:before="0"/>
      </w:pPr>
      <w:r>
        <w:rPr>
          <w:b w:val="0"/>
        </w:rPr>
      </w:r>
    </w:p>
    <w:p>
      <w:pPr>
        <w:spacing w:after="100" w:line="360" w:lineRule="auto" w:before="0"/>
      </w:pPr>
      <w:r>
        <w:rPr>
          <w:b w:val="0"/>
        </w:rPr>
        <w:t>2. In December 2025, which organization hosted the national stakeholder consultation on the High Seas Treaty (BBNJ) in Kochi, India?</w:t>
      </w:r>
    </w:p>
    <w:p>
      <w:pPr>
        <w:spacing w:before="0"/>
      </w:pPr>
      <w:r>
        <w:rPr>
          <w:b w:val="0"/>
        </w:rPr>
      </w:r>
    </w:p>
    <w:p>
      <w:pPr>
        <w:spacing w:after="100" w:before="0"/>
      </w:pPr>
      <w:r>
        <w:rPr>
          <w:b w:val="0"/>
        </w:rPr>
        <w:t>A. Food and Agriculture Organization</w:t>
      </w:r>
    </w:p>
    <w:p>
      <w:pPr>
        <w:spacing w:after="100" w:before="0"/>
      </w:pPr>
      <w:r>
        <w:rPr>
          <w:b w:val="0"/>
        </w:rPr>
        <w:t>B. Central Marine Fisheries Research Institute</w:t>
      </w:r>
    </w:p>
    <w:p>
      <w:pPr>
        <w:spacing w:after="100" w:before="0"/>
      </w:pPr>
      <w:r>
        <w:rPr>
          <w:b w:val="0"/>
        </w:rPr>
        <w:t>C. Ministry of Environment, Forest and Climate Change</w:t>
      </w:r>
    </w:p>
    <w:p>
      <w:pPr>
        <w:spacing w:after="100" w:before="0"/>
      </w:pPr>
      <w:r>
        <w:rPr>
          <w:b w:val="0"/>
        </w:rPr>
        <w:t>D. Indian Council of Agricultural Research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'Central Marine Fisheries Research Institute' Key Points Additional Information Important Points</w:t>
      </w:r>
    </w:p>
    <w:p>
      <w:pPr>
        <w:spacing w:before="0"/>
      </w:pPr>
      <w:r>
        <w:rPr>
          <w:b w:val="0"/>
        </w:rPr>
        <w:t>• Central Marine Fisheries Research Institute (CMFRI): The ICAR-Central Marine Fisheries Research Institute (CMFRI), headquartered in Kochi, hosted the national stakeholder consultation on the High Seas Treaty (BBNJ) in December 2025.</w:t>
      </w:r>
    </w:p>
    <w:p>
      <w:pPr>
        <w:spacing w:before="0"/>
      </w:pPr>
      <w:r>
        <w:rPr>
          <w:b w:val="0"/>
        </w:rPr>
        <w:t>• The consultation was aimed at discussing the implications of the treaty on India’s marine fisheries, conservation efforts, and the utilization of marine genetic resources.</w:t>
      </w:r>
    </w:p>
    <w:p>
      <w:pPr>
        <w:spacing w:before="0"/>
      </w:pPr>
      <w:r>
        <w:rPr>
          <w:b w:val="0"/>
        </w:rPr>
        <w:t>• CMFRI plays a pivotal role in providing scientific inputs to the government regarding marine policy, sustainable fishing practices, and the protection of marine biodiversity within and beyond national jurisdictions.</w:t>
      </w:r>
    </w:p>
    <w:p>
      <w:pPr>
        <w:spacing w:before="0"/>
      </w:pPr>
      <w:r>
        <w:rPr>
          <w:b w:val="0"/>
        </w:rPr>
        <w:t>• The event brought together scientists, policy experts, legal professionals, and representatives from the fishing industry to align India's national interests with international maritime laws.</w:t>
      </w:r>
    </w:p>
    <w:p>
      <w:pPr>
        <w:spacing w:before="0"/>
      </w:pPr>
      <w:r>
        <w:rPr>
          <w:b w:val="0"/>
        </w:rPr>
        <w:t>• Food and Agriculture Organization (FAO): The FAO is a specialized agency of the United Nations that leads international efforts to defeat hunger and improve nutrition and food security.</w:t>
      </w:r>
    </w:p>
    <w:p>
      <w:pPr>
        <w:spacing w:before="0"/>
      </w:pPr>
      <w:r>
        <w:rPr>
          <w:b w:val="0"/>
        </w:rPr>
        <w:t>• While it provides global guidelines on fisheries management (such as the Code of Conduct for Responsible Fisheries), it acts as an international body rather than the specific local host for India's national consultations.</w:t>
      </w:r>
    </w:p>
    <w:p>
      <w:pPr>
        <w:spacing w:before="0"/>
      </w:pPr>
      <w:r>
        <w:rPr>
          <w:b w:val="0"/>
        </w:rPr>
        <w:t>• Ministry of Environment, Forest and Climate Change (MoEFCC): MoEFCC is the nodal ministry in the Government of India for planning, promoting, and coordinating environmental and forestry programs.</w:t>
      </w:r>
    </w:p>
    <w:p>
      <w:pPr>
        <w:spacing w:before="0"/>
      </w:pPr>
      <w:r>
        <w:rPr>
          <w:b w:val="0"/>
        </w:rPr>
        <w:t>• While the ministry is heavily involved in the ratification and policy-making process of the BBNJ treaty at the federal level, the specific technical consultation in Kochi was organized by the specialized research institute, CMFRI.</w:t>
      </w:r>
    </w:p>
    <w:p>
      <w:pPr>
        <w:spacing w:before="0"/>
      </w:pPr>
      <w:r>
        <w:rPr>
          <w:b w:val="0"/>
        </w:rPr>
        <w:t>• Indian Council of Agricultural Research (ICAR): ICAR is an autonomous body responsible for coordinating agricultural education and research in India.</w:t>
      </w:r>
    </w:p>
    <w:p>
      <w:pPr>
        <w:spacing w:before="0"/>
      </w:pPr>
      <w:r>
        <w:rPr>
          <w:b w:val="0"/>
        </w:rPr>
        <w:t>• CMFRI operates under the aegis of ICAR. While ICAR provides the broader institutional framework, the specific hosting and execution of the marine-centric consultation fell under its specialized marine wing (CMFRI).</w:t>
      </w:r>
    </w:p>
    <w:p>
      <w:pPr>
        <w:spacing w:before="0"/>
      </w:pPr>
      <w:r>
        <w:rPr>
          <w:b w:val="0"/>
        </w:rPr>
        <w:t>• The High Seas Treaty, also known as the BBNJ (Biodiversity Beyond National Jurisdiction) treaty, is an international agreement under the United Nations Convention on the Law of the Sea (UNCLOS).</w:t>
      </w:r>
    </w:p>
    <w:p>
      <w:pPr>
        <w:spacing w:before="0"/>
      </w:pPr>
      <w:r>
        <w:rPr>
          <w:b w:val="0"/>
        </w:rPr>
        <w:t>• The treaty aims to address the conservation and sustainable use of marine biological diversity in areas beyond national jurisdiction, which cover nearly two-thirds of the world’s oceans.</w:t>
      </w:r>
    </w:p>
    <w:p>
      <w:pPr>
        <w:spacing w:before="0"/>
      </w:pPr>
      <w:r>
        <w:rPr>
          <w:b w:val="0"/>
        </w:rPr>
        <w:t>• The four main pillars of the BBNJ treaty include: Marine Genetic Resources (MGRs), Area-Based Management Tools (ABMTs) including Marine Protected Areas, Environmental Impact Assessments (EIAs), and Capacity Building and Transfer of Marine Technology (CB&amp;TT).</w:t>
      </w:r>
    </w:p>
    <w:p>
      <w:pPr>
        <w:spacing w:before="0"/>
      </w:pPr>
      <w:r>
        <w:rPr>
          <w:b w:val="0"/>
        </w:rPr>
        <w:t>• India has been a proactive participant in BBNJ negotiations to ensure "equitable access" to marine resources and to protect the livelihoods of its coastal communities.</w:t>
      </w:r>
    </w:p>
    <w:p>
      <w:pPr>
        <w:spacing w:before="0"/>
      </w:pPr>
      <w:r>
        <w:rPr>
          <w:b w:val="0"/>
        </w:rPr>
      </w:r>
    </w:p>
    <w:p>
      <w:pPr>
        <w:spacing w:after="100" w:line="360" w:lineRule="auto" w:before="0"/>
      </w:pPr>
      <w:r>
        <w:rPr>
          <w:b w:val="0"/>
        </w:rPr>
        <w:t>3. In April 2026, the structure assembly line for the Prachand Light Combat Helicopter (LCH) was officially inaugurated at Hindustan Aeronautics Limited's (HAL) New Helicopter Factory in which location?</w:t>
      </w:r>
    </w:p>
    <w:p>
      <w:pPr>
        <w:spacing w:before="0"/>
      </w:pPr>
      <w:r>
        <w:rPr>
          <w:b w:val="0"/>
        </w:rPr>
      </w:r>
    </w:p>
    <w:p>
      <w:pPr>
        <w:spacing w:after="100" w:before="0"/>
      </w:pPr>
      <w:r>
        <w:rPr>
          <w:b w:val="0"/>
        </w:rPr>
        <w:t>A. Tumakuru, Karnataka</w:t>
      </w:r>
    </w:p>
    <w:p>
      <w:pPr>
        <w:spacing w:after="100" w:before="0"/>
      </w:pPr>
      <w:r>
        <w:rPr>
          <w:b w:val="0"/>
        </w:rPr>
        <w:t>B. Gopalpur, Odisha</w:t>
      </w:r>
    </w:p>
    <w:p>
      <w:pPr>
        <w:spacing w:after="100" w:before="0"/>
      </w:pPr>
      <w:r>
        <w:rPr>
          <w:b w:val="0"/>
        </w:rPr>
        <w:t>C. Bengaluru, Karnataka</w:t>
      </w:r>
    </w:p>
    <w:p>
      <w:pPr>
        <w:spacing w:after="100" w:before="0"/>
      </w:pPr>
      <w:r>
        <w:rPr>
          <w:b w:val="0"/>
        </w:rPr>
        <w:t>D. Jodhpur,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Secretary (Defence Production) Sanjeev Kumar inaugurated the Prachand Light Combat Helicopter (LCH) structure assembly line and ASRS at HAL's New Helicopter Factory in Tumakuru, Karnataka in April 2026.</w:t>
      </w:r>
    </w:p>
    <w:p>
      <w:pPr>
        <w:spacing w:before="0"/>
      </w:pPr>
      <w:r>
        <w:rPr>
          <w:b w:val="0"/>
        </w:rPr>
      </w:r>
    </w:p>
    <w:p>
      <w:pPr>
        <w:spacing w:after="100" w:line="360" w:lineRule="auto" w:before="0"/>
      </w:pPr>
      <w:r>
        <w:rPr>
          <w:b w:val="0"/>
        </w:rPr>
        <w:t>4. Consider the following statements regarding Earth Hour 2026: I. The event was observed on March 28, 2026, at 8:30 PM. II. The year 2026 marks the 20th anniversary of this global climate action initiative. III. The initiative was first organized by the World Wide Fund for Nature (WWF) in Melbourne, Australia. Which of the statements given above are correct?</w:t>
      </w:r>
    </w:p>
    <w:p>
      <w:pPr>
        <w:spacing w:before="0"/>
      </w:pPr>
      <w:r>
        <w:rPr>
          <w:b w:val="0"/>
        </w:rPr>
      </w:r>
    </w:p>
    <w:p>
      <w:pPr>
        <w:spacing w:after="100" w:before="0"/>
      </w:pPr>
      <w:r>
        <w:rPr>
          <w:b w:val="0"/>
        </w:rPr>
        <w:t>A. Only I and II</w:t>
      </w:r>
    </w:p>
    <w:p>
      <w:pPr>
        <w:spacing w:after="100" w:before="0"/>
      </w:pPr>
      <w:r>
        <w:rPr>
          <w:b w:val="0"/>
        </w:rPr>
        <w:t>B. Only II and III</w:t>
      </w:r>
    </w:p>
    <w:p>
      <w:pPr>
        <w:spacing w:after="100" w:before="0"/>
      </w:pPr>
      <w:r>
        <w:rPr>
          <w:b w:val="0"/>
        </w:rPr>
        <w:t>C. Only I and III</w:t>
      </w:r>
    </w:p>
    <w:p>
      <w:pPr>
        <w:spacing w:after="100" w:before="0"/>
      </w:pPr>
      <w:r>
        <w:rPr>
          <w:b w:val="0"/>
        </w:rPr>
        <w:t>D. All I, II, and III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Earth Hour 2026 was observed on March 28, 2026, marking its 20th anniversary. The initiative started in 2007 in Sydney, Australia, organized by WWF. Statement III is incorrect as it mentions Melbourne instead of Sydney.</w:t>
      </w:r>
    </w:p>
    <w:p>
      <w:pPr>
        <w:spacing w:before="0"/>
      </w:pPr>
      <w:r>
        <w:rPr>
          <w:b w:val="0"/>
        </w:rPr>
      </w:r>
    </w:p>
    <w:p>
      <w:pPr>
        <w:spacing w:after="100" w:line="360" w:lineRule="auto" w:before="0"/>
      </w:pPr>
      <w:r>
        <w:rPr>
          <w:b w:val="0"/>
        </w:rPr>
        <w:t>5. What is the theme of World Earth Day 2026?</w:t>
      </w:r>
    </w:p>
    <w:p>
      <w:pPr>
        <w:spacing w:before="0"/>
      </w:pPr>
      <w:r>
        <w:rPr>
          <w:b w:val="0"/>
        </w:rPr>
      </w:r>
    </w:p>
    <w:p>
      <w:pPr>
        <w:spacing w:after="100" w:before="0"/>
      </w:pPr>
      <w:r>
        <w:rPr>
          <w:b w:val="0"/>
        </w:rPr>
        <w:t>A. Our Earth, Our Future</w:t>
      </w:r>
    </w:p>
    <w:p>
      <w:pPr>
        <w:spacing w:after="100" w:before="0"/>
      </w:pPr>
      <w:r>
        <w:rPr>
          <w:b w:val="0"/>
        </w:rPr>
        <w:t>B. Our Power, Our Planet</w:t>
      </w:r>
    </w:p>
    <w:p>
      <w:pPr>
        <w:spacing w:after="100" w:before="0"/>
      </w:pPr>
      <w:r>
        <w:rPr>
          <w:b w:val="0"/>
        </w:rPr>
        <w:t>C. Heal the Planet Together</w:t>
      </w:r>
    </w:p>
    <w:p>
      <w:pPr>
        <w:spacing w:after="100" w:before="0"/>
      </w:pPr>
      <w:r>
        <w:rPr>
          <w:b w:val="0"/>
        </w:rPr>
        <w:t>D. Sustainable Earth, Sustainable Life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theme for World Earth Day 2026 is Our Power, Our Planet, which focuses on community action and accelerating the transition to renewable energy.</w:t>
      </w:r>
    </w:p>
    <w:p>
      <w:pPr>
        <w:spacing w:before="0"/>
      </w:pPr>
      <w:r>
        <w:rPr>
          <w:b w:val="0"/>
        </w:rPr>
      </w:r>
    </w:p>
    <w:p>
      <w:pPr>
        <w:spacing w:after="100" w:line="360" w:lineRule="auto" w:before="0"/>
      </w:pPr>
      <w:r>
        <w:rPr>
          <w:b w:val="0"/>
        </w:rPr>
        <w:t>6. Calamaria garoensis, a newly discovered species of burrowing reed snake, was found in which district of Meghalaya?</w:t>
      </w:r>
    </w:p>
    <w:p>
      <w:pPr>
        <w:spacing w:before="0"/>
      </w:pPr>
      <w:r>
        <w:rPr>
          <w:b w:val="0"/>
        </w:rPr>
      </w:r>
    </w:p>
    <w:p>
      <w:pPr>
        <w:spacing w:after="100" w:before="0"/>
      </w:pPr>
      <w:r>
        <w:rPr>
          <w:b w:val="0"/>
        </w:rPr>
        <w:t>A. East Khasi Hills district</w:t>
      </w:r>
    </w:p>
    <w:p>
      <w:pPr>
        <w:spacing w:after="100" w:before="0"/>
      </w:pPr>
      <w:r>
        <w:rPr>
          <w:b w:val="0"/>
        </w:rPr>
        <w:t>B. West Garo Hills district</w:t>
      </w:r>
    </w:p>
    <w:p>
      <w:pPr>
        <w:spacing w:after="100" w:before="0"/>
      </w:pPr>
      <w:r>
        <w:rPr>
          <w:b w:val="0"/>
        </w:rPr>
        <w:t>C. South Garo Hills district</w:t>
      </w:r>
    </w:p>
    <w:p>
      <w:pPr>
        <w:spacing w:after="100" w:before="0"/>
      </w:pPr>
      <w:r>
        <w:rPr>
          <w:b w:val="0"/>
        </w:rPr>
        <w:t>D. Ri-Bhoi district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new burrowing reed snake species, Calamaria garoensis (Garo Hills reed snake), was discovered in Oragitok, located in the West Garo Hills district of Meghalaya. It was previously identified as Calamaria pavimentata.</w:t>
      </w:r>
    </w:p>
    <w:p>
      <w:pPr>
        <w:spacing w:before="0"/>
      </w:pPr>
      <w:r>
        <w:rPr>
          <w:b w:val="0"/>
        </w:rPr>
      </w:r>
    </w:p>
    <w:p>
      <w:pPr>
        <w:spacing w:after="100" w:line="360" w:lineRule="auto" w:before="0"/>
      </w:pPr>
      <w:r>
        <w:rPr>
          <w:b w:val="0"/>
        </w:rPr>
        <w:t>7. What is the total length of the flood protection wall approved by the Delhi government to be constructed along the Yamuna river from Majnu Ka Tila to the Old Railway Bridge?</w:t>
      </w:r>
    </w:p>
    <w:p>
      <w:pPr>
        <w:spacing w:before="0"/>
      </w:pPr>
      <w:r>
        <w:rPr>
          <w:b w:val="0"/>
        </w:rPr>
      </w:r>
    </w:p>
    <w:p>
      <w:pPr>
        <w:spacing w:after="100" w:before="0"/>
      </w:pPr>
      <w:r>
        <w:rPr>
          <w:b w:val="0"/>
        </w:rPr>
        <w:t>A. 3.25 kilometres</w:t>
      </w:r>
    </w:p>
    <w:p>
      <w:pPr>
        <w:spacing w:after="100" w:before="0"/>
      </w:pPr>
      <w:r>
        <w:rPr>
          <w:b w:val="0"/>
        </w:rPr>
        <w:t>B. 4.72 kilometres</w:t>
      </w:r>
    </w:p>
    <w:p>
      <w:pPr>
        <w:spacing w:after="100" w:before="0"/>
      </w:pPr>
      <w:r>
        <w:rPr>
          <w:b w:val="0"/>
        </w:rPr>
        <w:t>C. 5.18 kilometres</w:t>
      </w:r>
    </w:p>
    <w:p>
      <w:pPr>
        <w:spacing w:after="100" w:before="0"/>
      </w:pPr>
      <w:r>
        <w:rPr>
          <w:b w:val="0"/>
        </w:rPr>
        <w:t>D. 6.40 kilometres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Delhi government, led by CM **Rekha Gupta**, has approved a **4.72-kilometre-long** flood protection wall stretching from **Majnu Ka Tila** to the **Old Railway Bridge** to safeguard the capital from **Yamuna** floods.</w:t>
      </w:r>
    </w:p>
    <w:p>
      <w:pPr>
        <w:spacing w:before="0"/>
      </w:pPr>
      <w:r>
        <w:rPr>
          <w:b w:val="0"/>
        </w:rPr>
      </w:r>
    </w:p>
    <w:p>
      <w:pPr>
        <w:spacing w:after="100" w:line="360" w:lineRule="auto" w:before="0"/>
      </w:pPr>
      <w:r>
        <w:rPr>
          <w:b w:val="0"/>
        </w:rPr>
        <w:t>8. In April 2026, India has dispatched Humanitarian Assistance and Disaster Relief (HADR) materials to which country following devastating floods and earthquakes?</w:t>
      </w:r>
    </w:p>
    <w:p>
      <w:pPr>
        <w:spacing w:before="0"/>
      </w:pPr>
      <w:r>
        <w:rPr>
          <w:b w:val="0"/>
        </w:rPr>
      </w:r>
    </w:p>
    <w:p>
      <w:pPr>
        <w:spacing w:after="100" w:before="0"/>
      </w:pPr>
      <w:r>
        <w:rPr>
          <w:b w:val="0"/>
        </w:rPr>
        <w:t>A. Nepal</w:t>
      </w:r>
    </w:p>
    <w:p>
      <w:pPr>
        <w:spacing w:after="100" w:before="0"/>
      </w:pPr>
      <w:r>
        <w:rPr>
          <w:b w:val="0"/>
        </w:rPr>
        <w:t>B. Afghanistan</w:t>
      </w:r>
    </w:p>
    <w:p>
      <w:pPr>
        <w:spacing w:after="100" w:before="0"/>
      </w:pPr>
      <w:r>
        <w:rPr>
          <w:b w:val="0"/>
        </w:rPr>
        <w:t>C. Sri Lanka</w:t>
      </w:r>
    </w:p>
    <w:p>
      <w:pPr>
        <w:spacing w:after="100" w:before="0"/>
      </w:pPr>
      <w:r>
        <w:rPr>
          <w:b w:val="0"/>
        </w:rPr>
        <w:t>D. Myanmar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Afghanistan. In News Key Points Additional Information</w:t>
      </w:r>
    </w:p>
    <w:p>
      <w:pPr>
        <w:spacing w:before="0"/>
      </w:pPr>
      <w:r>
        <w:rPr>
          <w:b w:val="0"/>
        </w:rPr>
        <w:t>• India has sent Humanitarian Assistance and Disaster Relief (HADR) materials to Afghanistan to provide immediate relief to those affected by natural calamities.</w:t>
      </w:r>
    </w:p>
    <w:p>
      <w:pPr>
        <w:spacing w:before="0"/>
      </w:pPr>
      <w:r>
        <w:rPr>
          <w:b w:val="0"/>
        </w:rPr>
        <w:t>• The relief consignment includes critical items such as kitchen sets, hygiene kits, and sleeping bags to assist victims in disaster-struck zones.</w:t>
      </w:r>
    </w:p>
    <w:p>
      <w:pPr>
        <w:spacing w:before="0"/>
      </w:pPr>
      <w:r>
        <w:rPr>
          <w:b w:val="0"/>
        </w:rPr>
        <w:t>• To provide temporary housing for displaced families, the aid contains plastic sheets, tarpaulins, and other essential sheltering materials.</w:t>
      </w:r>
    </w:p>
    <w:p>
      <w:pPr>
        <w:spacing w:before="0"/>
      </w:pPr>
      <w:r>
        <w:rPr>
          <w:b w:val="0"/>
        </w:rPr>
        <w:t>• The External Affairs Ministry confirmed that India stands in solidarity with the people of Afghanistan during this challenging period.</w:t>
      </w:r>
    </w:p>
    <w:p>
      <w:pPr>
        <w:spacing w:before="0"/>
      </w:pPr>
      <w:r>
        <w:rPr>
          <w:b w:val="0"/>
        </w:rPr>
        <w:t>• Afghanistan Capital - Kabul</w:t>
      </w:r>
    </w:p>
    <w:p>
      <w:pPr>
        <w:spacing w:before="0"/>
      </w:pPr>
      <w:r>
        <w:rPr>
          <w:b w:val="0"/>
        </w:rPr>
        <w:t>• Currency - Afghan Afghani</w:t>
      </w:r>
    </w:p>
    <w:p>
      <w:pPr>
        <w:spacing w:before="0"/>
      </w:pPr>
      <w:r>
        <w:rPr>
          <w:b w:val="0"/>
        </w:rPr>
        <w:t>• Major Natural Disasters (April 2026) - Floods and Earthquake</w:t>
      </w:r>
    </w:p>
    <w:p>
      <w:pPr>
        <w:spacing w:before="0"/>
      </w:pPr>
      <w:r>
        <w:rPr>
          <w:b w:val="0"/>
        </w:rPr>
        <w:t>• HADR (Humanitarian Assistance and Disaster Relief) It refers to the aid and action taken to help people who are victims of a natural disaster or other emergency.</w:t>
      </w:r>
    </w:p>
    <w:p>
      <w:pPr>
        <w:spacing w:before="0"/>
      </w:pPr>
      <w:r>
        <w:rPr>
          <w:b w:val="0"/>
        </w:rPr>
        <w:t>• In India, the Ministry of External Affairs (MEA) coordinates international HADR missions.</w:t>
      </w:r>
    </w:p>
    <w:p>
      <w:pPr>
        <w:spacing w:before="0"/>
      </w:pPr>
      <w:r>
        <w:rPr>
          <w:b w:val="0"/>
        </w:rPr>
      </w:r>
    </w:p>
    <w:p>
      <w:pPr>
        <w:spacing w:after="100" w:line="360" w:lineRule="auto" w:before="0"/>
      </w:pPr>
      <w:r>
        <w:rPr>
          <w:b w:val="0"/>
        </w:rPr>
        <w:t>9. Which of the newly notified districts in Ladakh has its headquarters located in Nyoma?</w:t>
      </w:r>
    </w:p>
    <w:p>
      <w:pPr>
        <w:spacing w:before="0"/>
      </w:pPr>
      <w:r>
        <w:rPr>
          <w:b w:val="0"/>
        </w:rPr>
      </w:r>
    </w:p>
    <w:p>
      <w:pPr>
        <w:spacing w:after="100" w:before="0"/>
      </w:pPr>
      <w:r>
        <w:rPr>
          <w:b w:val="0"/>
        </w:rPr>
        <w:t>A. Sham</w:t>
      </w:r>
    </w:p>
    <w:p>
      <w:pPr>
        <w:spacing w:after="100" w:before="0"/>
      </w:pPr>
      <w:r>
        <w:rPr>
          <w:b w:val="0"/>
        </w:rPr>
        <w:t>B. Nubra</w:t>
      </w:r>
    </w:p>
    <w:p>
      <w:pPr>
        <w:spacing w:after="100" w:before="0"/>
      </w:pPr>
      <w:r>
        <w:rPr>
          <w:b w:val="0"/>
        </w:rPr>
        <w:t>C. Changthang</w:t>
      </w:r>
    </w:p>
    <w:p>
      <w:pPr>
        <w:spacing w:after="100" w:before="0"/>
      </w:pPr>
      <w:r>
        <w:rPr>
          <w:b w:val="0"/>
        </w:rPr>
        <w:t>D. Zanskar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headquarters of the newly notified Changthang district is located in Nyoma. It is one of the five new districts created in Ladakh, taking the total number of districts to seven.</w:t>
      </w:r>
    </w:p>
    <w:p>
      <w:pPr>
        <w:spacing w:before="0"/>
      </w:pPr>
      <w:r>
        <w:rPr>
          <w:b w:val="0"/>
        </w:rPr>
      </w:r>
    </w:p>
    <w:p>
      <w:pPr>
        <w:spacing w:after="100" w:line="360" w:lineRule="auto" w:before="0"/>
      </w:pPr>
      <w:r>
        <w:rPr>
          <w:b w:val="0"/>
        </w:rPr>
        <w:t>10. Who has been named as the next CEO of Apple, succeeding Tim Cook, according to the announcement made in April 2026?</w:t>
      </w:r>
    </w:p>
    <w:p>
      <w:pPr>
        <w:spacing w:before="0"/>
      </w:pPr>
      <w:r>
        <w:rPr>
          <w:b w:val="0"/>
        </w:rPr>
      </w:r>
    </w:p>
    <w:p>
      <w:pPr>
        <w:spacing w:after="100" w:before="0"/>
      </w:pPr>
      <w:r>
        <w:rPr>
          <w:b w:val="0"/>
        </w:rPr>
        <w:t>A. John Ternus</w:t>
      </w:r>
    </w:p>
    <w:p>
      <w:pPr>
        <w:spacing w:after="100" w:before="0"/>
      </w:pPr>
      <w:r>
        <w:rPr>
          <w:b w:val="0"/>
        </w:rPr>
        <w:t>B. Craig Federighi</w:t>
      </w:r>
    </w:p>
    <w:p>
      <w:pPr>
        <w:spacing w:after="100" w:before="0"/>
      </w:pPr>
      <w:r>
        <w:rPr>
          <w:b w:val="0"/>
        </w:rPr>
        <w:t>C. Jeff Williams</w:t>
      </w:r>
    </w:p>
    <w:p>
      <w:pPr>
        <w:spacing w:after="100" w:before="0"/>
      </w:pPr>
      <w:r>
        <w:rPr>
          <w:b w:val="0"/>
        </w:rPr>
        <w:t>D. Greg Joswiak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John Ternus. He has been named the next CEO of Apple, succeeding Tim Cook, who will transition to the role of executive chairman after leading the company since 2011.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