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520" w:line="264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0"/>
        </w:rPr>
        <w:t>TIANJUN ENGINE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 w:eastAsia="Microsoft YaHei"/>
          <w:b/>
          <w:i w:val="0"/>
          <w:color w:val="163A5F"/>
          <w:sz w:val="54"/>
        </w:rPr>
        <w:t>Hermes 使用设计评估与优化说明</w:t>
      </w:r>
    </w:p>
    <w:p>
      <w:pPr>
        <w:keepNext w:val="0"/>
        <w:spacing w:before="0" w:after="440" w:line="264" w:lineRule="auto"/>
        <w:jc w:val="left"/>
      </w:pPr>
      <w:r>
        <w:rPr>
          <w:rFonts w:ascii="Calibri" w:hAnsi="Calibri" w:eastAsia="Microsoft YaHei"/>
          <w:b w:val="0"/>
          <w:i w:val="0"/>
          <w:color w:val="1F4D78"/>
          <w:sz w:val="28"/>
        </w:rPr>
        <w:t>面向算力网络智能调度的意图理解、反馈闭环与安全工具链优化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63A5F"/>
                <w:sz w:val="20"/>
              </w:rPr>
              <w:t xml:space="preserve">交付说明  </w:t>
            </w:r>
            <w:r>
              <w:rPr>
                <w:rFonts w:ascii="Calibri" w:hAnsi="Calibri" w:eastAsia="Microsoft YaHei"/>
                <w:color w:val="000000"/>
                <w:sz w:val="20"/>
              </w:rPr>
              <w:t>本报告基于 hermes-2.txt 的优化建议与当前天钧引擎源码核验结果编写。报告区分既有能力、本次实际落地优化和后续研究方向，并记录可复现测试结果。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9"/>
              </w:rPr>
              <w:t>项目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9"/>
              </w:rPr>
              <w:t>内容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评估对象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天钧引擎中的 Hermes 受控智能体使用链路</w:t>
            </w:r>
          </w:p>
        </w:tc>
      </w:tr>
      <w:tr>
        <w:tc>
          <w:tcPr>
            <w:tcW w:type="dxa" w:w="17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输入材料</w:t>
            </w:r>
          </w:p>
        </w:tc>
        <w:tc>
          <w:tcPr>
            <w:tcW w:type="dxa" w:w="76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C:\Users\Yu\Desktop\hermes-2.txt 与当前工作区源码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优化范围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需求解析、地域识别、优先级建模、置信度、反馈调权、多轮追问</w:t>
            </w:r>
          </w:p>
        </w:tc>
      </w:tr>
      <w:tr>
        <w:tc>
          <w:tcPr>
            <w:tcW w:type="dxa" w:w="17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验证方式</w:t>
            </w:r>
          </w:p>
        </w:tc>
        <w:tc>
          <w:tcPr>
            <w:tcW w:type="dxa" w:w="76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源码核验、Python 编译检查、pytest 回归测试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文档日期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2026 年 6 月 2 日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keepNext w:val="0"/>
        <w:spacing w:before="0" w:after="24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4"/>
        </w:rPr>
        <w:t>结论预览</w:t>
      </w:r>
    </w:p>
    <w:p>
      <w:pPr>
        <w:keepNext w:val="0"/>
        <w:spacing w:before="0" w:after="240" w:line="264" w:lineRule="auto"/>
        <w:jc w:val="left"/>
      </w:pPr>
      <w:r>
        <w:rPr>
          <w:rFonts w:ascii="Calibri" w:hAnsi="Calibri" w:eastAsia="Microsoft YaHei"/>
          <w:b w:val="0"/>
          <w:i w:val="0"/>
          <w:color w:val="163A5F"/>
          <w:sz w:val="22"/>
        </w:rPr>
        <w:t>Hermes 原有架构已经具备“LLM 辅助理解、确定性控制面决策、人工确认后提交”的关键安全边界。本次优化没有重复建设已有的 LLM 兜底，而是补齐了确定性解析、连续意图参数、反馈权重闭环和主动澄清能力，使自然语言意图能更稳定地进入真实调度评分。</w:t>
      </w:r>
    </w:p>
    <w:p>
      <w:r>
        <w:br w:type="page"/>
      </w:r>
    </w:p>
    <w:p>
      <w:pPr>
        <w:pStyle w:val="Heading1"/>
      </w:pPr>
      <w:r>
        <w:t>1. 评估结论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hermes-2.txt 对当前系统的判断总体方向正确，尤其准确识别了反馈解析与真实调度指标之间的命名脱节，以及枚举型 priority 无法表达复合目标的问题。但源码核验也表明，部分建议描述的是系统已经具备的能力：ChatRuntime 已接入 OpenAI-compatible LLM，并以受控槽位跟踪器方式调用 DeepSeek；LLM 只提出结构化更新，控制面仍负责校验、策略生成、仿真和提交保护。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63A5F"/>
                <w:sz w:val="20"/>
              </w:rPr>
              <w:t xml:space="preserve">本次策略  </w:t>
            </w:r>
            <w:r>
              <w:rPr>
                <w:rFonts w:ascii="Calibri" w:hAnsi="Calibri" w:eastAsia="Microsoft YaHei"/>
                <w:color w:val="000000"/>
                <w:sz w:val="20"/>
              </w:rPr>
              <w:t>保留现有 LLM-first 但非 LLM-authoritative 的架构，强化离线可运行的确定性底座。即使未配置模型、模型调用失败或用户输入很短，Hermes 仍可给出可审计的需求结构、追问和调度权重。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300"/>
        <w:gridCol w:w="2400"/>
        <w:gridCol w:w="33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方向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文本判断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源码核验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本次处理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混合解析层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建议正则优先、LLM 低置信度兜底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LLM 槽位跟踪已存在，但确定性长尾覆盖不足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扩展隐式业务识别，并保留现有 LLM 状态跟踪</w:t>
            </w:r>
          </w:p>
        </w:tc>
      </w:tr>
      <w:tr>
        <w:tc>
          <w:tcPr>
            <w:tcW w:type="dxa" w:w="1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地域识别</w:t>
            </w:r>
          </w:p>
        </w:tc>
        <w:tc>
          <w:tcPr>
            <w:tcW w:type="dxa" w:w="2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别名较少，武汉与服务区域存在脱节</w:t>
            </w:r>
          </w:p>
        </w:tc>
        <w:tc>
          <w:tcPr>
            <w:tcW w:type="dxa" w:w="2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判断成立</w:t>
            </w:r>
          </w:p>
        </w:tc>
        <w:tc>
          <w:tcPr>
            <w:tcW w:type="dxa" w:w="3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扩充城市与缩写、加入编辑距离纠错、纳入 wuhan 服务区域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优先级向量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枚举无法表达“低时延但不超预算”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判断成立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新增连续 priority_vector，映射到真实评分维度</w:t>
            </w:r>
          </w:p>
        </w:tc>
      </w:tr>
      <w:tr>
        <w:tc>
          <w:tcPr>
            <w:tcW w:type="dxa" w:w="1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置信度</w:t>
            </w:r>
          </w:p>
        </w:tc>
        <w:tc>
          <w:tcPr>
            <w:tcW w:type="dxa" w:w="2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字段数量加分无法反映调度影响</w:t>
            </w:r>
          </w:p>
        </w:tc>
        <w:tc>
          <w:tcPr>
            <w:tcW w:type="dxa" w:w="2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判断成立</w:t>
            </w:r>
          </w:p>
        </w:tc>
        <w:tc>
          <w:tcPr>
            <w:tcW w:type="dxa" w:w="3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改为 workload-aware 的 per-slot 加权置信度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反馈解析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反馈 delta 键与 METRIC_KEYS 不一致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判断成立，属于真实闭环脱节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统一到九项真实指标，并增加程度词幅度</w:t>
            </w:r>
          </w:p>
        </w:tc>
      </w:tr>
      <w:tr>
        <w:tc>
          <w:tcPr>
            <w:tcW w:type="dxa" w:w="1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主动追问</w:t>
            </w:r>
          </w:p>
        </w:tc>
        <w:tc>
          <w:tcPr>
            <w:tcW w:type="dxa" w:w="2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缺失字段按固定顺序追问</w:t>
            </w:r>
          </w:p>
        </w:tc>
        <w:tc>
          <w:tcPr>
            <w:tcW w:type="dxa" w:w="2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判断成立</w:t>
            </w:r>
          </w:p>
        </w:tc>
        <w:tc>
          <w:tcPr>
            <w:tcW w:type="dxa" w:w="3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按影响启发式排序，并先询问不可用地域是否可放宽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r>
        <w:br w:type="page"/>
      </w:r>
    </w:p>
    <w:p>
      <w:pPr>
        <w:pStyle w:val="Heading1"/>
      </w:pPr>
      <w:r>
        <w:t>2. Hermes 原有使用设计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Hermes 是天钧引擎面向用户和智能体宿主的受控交互层。它不是一个可以直接修改集群状态的自由代理，而是围绕唯一可信控制面组织对话、工具调用和人工确认。Dashboard、进程内 ChatRuntime 与 MCP adapter 共用 TianjunToolService 契约，减少入口之间的行为漂移。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50"/>
        <w:gridCol w:w="1900"/>
        <w:gridCol w:w="3200"/>
        <w:gridCol w:w="321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层次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核心模块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职责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安全边界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对话层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ChatRuntime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识别用户意图、管理会话、调用需求澄清与策略工具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LLM 只能辅助解析与组织回复</w:t>
            </w:r>
          </w:p>
        </w:tc>
      </w:tr>
      <w:tr>
        <w:tc>
          <w:tcPr>
            <w:tcW w:type="dxa" w:w="105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工具层</w:t>
            </w:r>
          </w:p>
        </w:tc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TianjunToolService / MCP</w:t>
            </w:r>
          </w:p>
        </w:tc>
        <w:tc>
          <w:tcPr>
            <w:tcW w:type="dxa" w:w="3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提供查询、澄清、草拟、仿真、解释、优化、提交和调度工具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状态变化必须走显式工具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控制面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CentralControlPlane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维护节点、任务、会话、策略、lease、执行反馈与报告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库存事实只来自注册节点或外部上报</w:t>
            </w:r>
          </w:p>
        </w:tc>
      </w:tr>
      <w:tr>
        <w:tc>
          <w:tcPr>
            <w:tcW w:type="dxa" w:w="105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策略层</w:t>
            </w:r>
          </w:p>
        </w:tc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ComputeNetworkPolicyGenerator</w:t>
            </w:r>
          </w:p>
        </w:tc>
        <w:tc>
          <w:tcPr>
            <w:tcW w:type="dxa" w:w="3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把需求转为任务画像、生成候选策略、解释风险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候选策略与仿真结果可审计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调度层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ClosedLoopAdaptiveScheduler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九项指标归一化评分、硬约束过滤、确定性选点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最终选点不交给 LLM</w:t>
            </w:r>
          </w:p>
        </w:tc>
      </w:tr>
      <w:tr>
        <w:tc>
          <w:tcPr>
            <w:tcW w:type="dxa" w:w="105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执行层</w:t>
            </w:r>
          </w:p>
        </w:tc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Node Agent / Simulation / CloudSimPlus</w:t>
            </w:r>
          </w:p>
        </w:tc>
        <w:tc>
          <w:tcPr>
            <w:tcW w:type="dxa" w:w="3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执行任务并回传进度、耗时、成本和错误</w:t>
            </w:r>
          </w:p>
        </w:tc>
        <w:tc>
          <w:tcPr>
            <w:tcW w:type="dxa" w:w="321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正式下发前需要显式确认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2.1 标准使用流程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0"/>
        </w:rPr>
        <w:t>用户通过 Dashboard、HTTP 或 MCP Host 描述自然语言需求。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0"/>
        </w:rPr>
        <w:t>Hermes 调用 start_requirement_dialogue 或 continue_requirement_dialogue，将文本转为结构化槽位，并根据缺失项追问。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0"/>
        </w:rPr>
        <w:t>需求可用后，Hermes 调用 draft_compute_network_policy 与 simulate_policy，输出推荐节点、稳定时延、预算、安全和风险解释。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0"/>
        </w:rPr>
        <w:t>用户通过确认参数或 Dashboard 的正式下发动作授权提交。聊天中的普通“确认”不会绕过保护。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0"/>
        </w:rPr>
        <w:t>任务创建 lease，由仿真后端或真实节点执行，并回传进度与结果。</w:t>
      </w:r>
    </w:p>
    <w:p>
      <w:pPr>
        <w:spacing w:after="80" w:line="264" w:lineRule="auto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0"/>
        </w:rPr>
        <w:t>控制面根据执行结果更新节点健康度、性能因子和策略权重，Dashboard 与 /report 展示闭环效果。</w:t>
      </w:r>
    </w:p>
    <w:p>
      <w:pPr>
        <w:pStyle w:val="Heading1"/>
      </w:pPr>
      <w:r>
        <w:t>3. 本次实际落地的优化</w:t>
      </w:r>
    </w:p>
    <w:p>
      <w:pPr>
        <w:pStyle w:val="Heading2"/>
      </w:pPr>
      <w:r>
        <w:t>3.1 确定性隐式意图识别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原有解析器可以识别“推理”“在线服务”“分析”等显式表达，但对业务化说法覆盖有限。本次扩充了无需 LLM 即可命中的表达，包括在线问答、问答服务、对话服务、embedding、向量化、向量嵌入、批量打标签、批量标注、数据清洗和 ETL。这样可以降低模型不可用时的错误回落率，并让规范输入和长尾输入共享同一 UserRequirement 结构。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3300"/>
        <w:gridCol w:w="31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用户表达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优化前风险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优化后识别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搞个在线问答服务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可能回落到 batch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inference</w:t>
            </w:r>
          </w:p>
        </w:tc>
      </w:tr>
      <w:tr>
        <w:tc>
          <w:tcPr>
            <w:tcW w:type="dxa" w:w="2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帮我跑个 embedding</w:t>
            </w:r>
          </w:p>
        </w:tc>
        <w:tc>
          <w:tcPr>
            <w:tcW w:type="dxa" w:w="33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可能回落到 batch</w:t>
            </w:r>
          </w:p>
        </w:tc>
        <w:tc>
          <w:tcPr>
            <w:tcW w:type="dxa" w:w="31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inference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批量打标签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可能被当作普通 batch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analytics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3.2 地域字典扩展与模糊纠错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地域解析新增华东、西部、华南多个城市别名，并支持 cd、cq 等短缩写。短缩写使用单词边界匹配，避免在普通英文单词中误触发。对带上下文的中文地域表达，解析器加入编辑距离不超过 1 的模糊纠错，例如“部署在成嘟”可恢复为 west。武汉被纳入 SERVICE_REGION_CODES，使其不再被误当作数据源物理端点。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100"/>
        <w:gridCol w:w="40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类别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新增示例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处理方式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华东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南京、苏州、无锡、宁波、合肥、济南、青岛、天津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统一映射 east</w:t>
            </w:r>
          </w:p>
        </w:tc>
      </w:tr>
      <w:tr>
        <w:tc>
          <w:tcPr>
            <w:tcW w:type="dxa" w:w="1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西部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西安、昆明、贵阳、兰州、乌鲁木齐、cd、cq</w:t>
            </w:r>
          </w:p>
        </w:tc>
        <w:tc>
          <w:tcPr>
            <w:tcW w:type="dxa" w:w="40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统一映射 west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华南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厦门、福州、南宁、海口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统一映射 south</w:t>
            </w:r>
          </w:p>
        </w:tc>
      </w:tr>
      <w:tr>
        <w:tc>
          <w:tcPr>
            <w:tcW w:type="dxa" w:w="1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华中</w:t>
            </w:r>
          </w:p>
        </w:tc>
        <w:tc>
          <w:tcPr>
            <w:tcW w:type="dxa" w:w="41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武汉 / wuhan</w:t>
            </w:r>
          </w:p>
        </w:tc>
        <w:tc>
          <w:tcPr>
            <w:tcW w:type="dxa" w:w="40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独立 service region code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纠错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成嘟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在地域上下文中用编辑距离恢复成都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3.3 从枚举 priority 到连续 priority_vector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为兼容现有接口，priority 枚举仍保留为主目标；新增 priority_vector 表达复合目标。解析器会同时提取 latency、cost、quality、security、balance、fragmentation、locality 和 network 八类意图，并归一化为连续向量。任务生成时，该向量被映射到调度器实际使用的九项指标增量。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意图维度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映射到调度指标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作用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latency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performance、completion、network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偏向响应更快、网络更稳的节点</w:t>
            </w:r>
          </w:p>
        </w:tc>
      </w:tr>
      <w:tr>
        <w:tc>
          <w:tcPr>
            <w:tcW w:type="dxa" w:w="1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cost</w:t>
            </w:r>
          </w:p>
        </w:tc>
        <w:tc>
          <w:tcPr>
            <w:tcW w:type="dxa" w:w="3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cost</w:t>
            </w:r>
          </w:p>
        </w:tc>
        <w:tc>
          <w:tcPr>
            <w:tcW w:type="dxa" w:w="4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提高成本得分影响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quality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reliability、completion、performance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偏向 SLA 与完成质量</w:t>
            </w:r>
          </w:p>
        </w:tc>
      </w:tr>
      <w:tr>
        <w:tc>
          <w:tcPr>
            <w:tcW w:type="dxa" w:w="1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security</w:t>
            </w:r>
          </w:p>
        </w:tc>
        <w:tc>
          <w:tcPr>
            <w:tcW w:type="dxa" w:w="3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security、reliability、locality</w:t>
            </w:r>
          </w:p>
        </w:tc>
        <w:tc>
          <w:tcPr>
            <w:tcW w:type="dxa" w:w="4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加强隔离、可靠性与驻留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balance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balance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降低热点节点压力</w:t>
            </w:r>
          </w:p>
        </w:tc>
      </w:tr>
      <w:tr>
        <w:tc>
          <w:tcPr>
            <w:tcW w:type="dxa" w:w="1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fragmentation</w:t>
            </w:r>
          </w:p>
        </w:tc>
        <w:tc>
          <w:tcPr>
            <w:tcW w:type="dxa" w:w="3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fragmentation</w:t>
            </w:r>
          </w:p>
        </w:tc>
        <w:tc>
          <w:tcPr>
            <w:tcW w:type="dxa" w:w="4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减少稀缺资源碎片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locality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locality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提高就近与数据驻留偏好</w:t>
            </w:r>
          </w:p>
        </w:tc>
      </w:tr>
      <w:tr>
        <w:tc>
          <w:tcPr>
            <w:tcW w:type="dxa" w:w="1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network</w:t>
            </w:r>
          </w:p>
        </w:tc>
        <w:tc>
          <w:tcPr>
            <w:tcW w:type="dxa" w:w="34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network、performance</w:t>
            </w:r>
          </w:p>
        </w:tc>
        <w:tc>
          <w:tcPr>
            <w:tcW w:type="dxa" w:w="4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提高网络画像影响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63A5F"/>
                <w:sz w:val="20"/>
              </w:rPr>
              <w:t xml:space="preserve">创新价值  </w:t>
            </w:r>
            <w:r>
              <w:rPr>
                <w:rFonts w:ascii="Calibri" w:hAnsi="Calibri" w:eastAsia="Microsoft YaHei"/>
                <w:color w:val="000000"/>
                <w:sz w:val="20"/>
              </w:rPr>
              <w:t>“低时延但不能超预算”不再被压扁成一个枚举。自然语言中的多目标权衡会进入 task.intent_weights，再参与 _derive_task_weights()，形成从意图理解到调度评分的完整可观测链路。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3.4 Workload-aware 的槽位置信度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原有 confidence 采用固定加分与缺失扣分规则。本次增加 slot_confidence，并按任务类型调整槽位权重：推理与流式任务提高时延槽位的重要性，训练任务提高资源规格的重要性。明确填写、允许使用默认值和关键字段缺失会得到不同分值，使 confidence 更接近“当前需求对调度结果有多确定”。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900"/>
        <w:gridCol w:w="2760"/>
        <w:gridCol w:w="28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槽位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典型显式值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默认或可推断值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关键缺失值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workload_type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1.00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0.76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0.00</w:t>
            </w:r>
          </w:p>
        </w:tc>
      </w:tr>
      <w:tr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region_preference</w:t>
            </w:r>
          </w:p>
        </w:tc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1.00</w:t>
            </w:r>
          </w:p>
        </w:tc>
        <w:tc>
          <w:tcPr>
            <w:tcW w:type="dxa" w:w="27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明确不限时 0.72</w:t>
            </w:r>
          </w:p>
        </w:tc>
        <w:tc>
          <w:tcPr>
            <w:tcW w:type="dxa" w:w="28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resources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1.00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0.62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按工作负载默认画像</w:t>
            </w:r>
          </w:p>
        </w:tc>
      </w:tr>
      <w:tr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latency_target_ms</w:t>
            </w:r>
          </w:p>
        </w:tc>
        <w:tc>
          <w:tcPr>
            <w:tcW w:type="dxa" w:w="19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1.00</w:t>
            </w:r>
          </w:p>
        </w:tc>
        <w:tc>
          <w:tcPr>
            <w:tcW w:type="dxa" w:w="27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非关键时 0.58</w:t>
            </w:r>
          </w:p>
        </w:tc>
        <w:tc>
          <w:tcPr>
            <w:tcW w:type="dxa" w:w="28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低时延意图下 0.00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budget_limit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1.00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非关键时 0.58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成本意图下 0.00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3.5 反馈语义与真实调度权重对齐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hermes-2.txt 指出的 bug 已修复：反馈解析不再生成调度器无法消费的 latency_weight、quality_weight 等孤立键，而是直接输出 METRIC_KEYS 中的真实维度。为兼容旧调用方，旧键仍会在入口处归一化到新键。用户反馈可以影响均衡、碎片、本地性和网络，不再只覆盖时延、成本、质量和安全。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600"/>
        <w:gridCol w:w="52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反馈表达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结构化目标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写入真实指标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响应太慢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latency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performance、completion、network</w:t>
            </w:r>
          </w:p>
        </w:tc>
      </w:tr>
      <w:tr>
        <w:tc>
          <w:tcPr>
            <w:tcW w:type="dxa" w:w="2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预算太高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cost</w:t>
            </w:r>
          </w:p>
        </w:tc>
        <w:tc>
          <w:tcPr>
            <w:tcW w:type="dxa" w:w="52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cost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SLA 不稳定并且丢包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qos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reliability、completion、network</w:t>
            </w:r>
          </w:p>
        </w:tc>
      </w:tr>
      <w:tr>
        <w:tc>
          <w:tcPr>
            <w:tcW w:type="dxa" w:w="2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节点负载太高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balance</w:t>
            </w:r>
          </w:p>
        </w:tc>
        <w:tc>
          <w:tcPr>
            <w:tcW w:type="dxa" w:w="52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GPU 排队且碎片严重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fragmentation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fragmentation</w:t>
            </w:r>
          </w:p>
        </w:tc>
      </w:tr>
      <w:tr>
        <w:tc>
          <w:tcPr>
            <w:tcW w:type="dxa" w:w="25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数据不在本地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locality</w:t>
            </w:r>
          </w:p>
        </w:tc>
        <w:tc>
          <w:tcPr>
            <w:tcW w:type="dxa" w:w="52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locality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网络抖动明显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network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network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3.6 幅度感知反馈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反馈调整不再固定为 0.22。解析器会根据程度词选择幅度：稍微或略微为 0.05，有点或偏为 0.12，默认反馈为 0.18，太或明显为 0.22，极度、严重、完全无法接受为 0.35。该设计为后续实验提供了连续、可解释的用户偏好更新入口。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5560"/>
        <w:gridCol w:w="220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程度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示例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调整幅度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轻微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响应稍微慢了一点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0.05</w:t>
            </w:r>
          </w:p>
        </w:tc>
      </w:tr>
      <w:tr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较轻</w:t>
            </w:r>
          </w:p>
        </w:tc>
        <w:tc>
          <w:tcPr>
            <w:tcW w:type="dxa" w:w="55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成本有点高</w:t>
            </w:r>
          </w:p>
        </w:tc>
        <w:tc>
          <w:tcPr>
            <w:tcW w:type="dxa" w:w="2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0.12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一般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网络不稳定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0.18</w:t>
            </w:r>
          </w:p>
        </w:tc>
      </w:tr>
      <w:tr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明显</w:t>
            </w:r>
          </w:p>
        </w:tc>
        <w:tc>
          <w:tcPr>
            <w:tcW w:type="dxa" w:w="55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节点负载太高</w:t>
            </w:r>
          </w:p>
        </w:tc>
        <w:tc>
          <w:tcPr>
            <w:tcW w:type="dxa" w:w="2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0.22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严重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响应完全无法接受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0.35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2"/>
      </w:pPr>
      <w:r>
        <w:t>3.7 调度影响导向的多轮追问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多轮澄清从固定 missing_fields 顺序升级为可解释的影响启发式排序。地域、工作负载、时延、预算和安全槽位有不同基础影响；推理与流式任务会提高时延问题优先级，训练任务会提高地域问题优先级，priority_vector 也会继续修正排序。当用户指定的地域没有在线节点时，Hermes 会优先询问是否放宽地域或提供备选地域。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FFF8E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研究边界  </w:t>
            </w:r>
            <w:r>
              <w:rPr>
                <w:rFonts w:ascii="Calibri" w:hAnsi="Calibri" w:eastAsia="Microsoft YaHei"/>
                <w:color w:val="000000"/>
                <w:sz w:val="20"/>
              </w:rPr>
              <w:t>当前实现属于低成本、可解释的主动澄清启发式。真正的信息增益最大化仍可作为后续论文方向：对候选槽位做反事实填充，比较 select_node() 排名变化和可行候选集合变化，再决定下一问。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r>
        <w:br w:type="page"/>
      </w:r>
    </w:p>
    <w:p>
      <w:pPr>
        <w:pStyle w:val="Heading1"/>
      </w:pPr>
      <w:r>
        <w:t>4. 完整 Hermes 创新点与功能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在本次优化后，Hermes 的价值不局限于自然语言入口。它把意图理解、约束澄清、确定性选点、模型增强、仿真验证、人工授权和执行反馈组织成一条可审计闭环。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创新点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功能说明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LLM-first 但非 LLM-authoritative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 可做对话状态追踪和槽位更新建议；库存事实、状态迁移、选点与提交仍由确定性控制面负责。</w:t>
            </w:r>
          </w:p>
        </w:tc>
      </w:tr>
      <w:tr>
        <w:tc>
          <w:tcPr>
            <w:tcW w:type="dxa" w:w="2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确定性与 LLM 双路径意图理解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高频表达由本地规则快速处理，复杂上下文由 LLM 辅助；模型不可用时仍能运行。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连续多目标意图向量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把时延、成本、质量、安全、均衡、碎片、本地性和网络偏好映射到真实调度权重。</w:t>
            </w:r>
          </w:p>
        </w:tc>
      </w:tr>
      <w:tr>
        <w:tc>
          <w:tcPr>
            <w:tcW w:type="dxa" w:w="2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算力与网络联合决策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选点同时考虑 CPU/GPU、成本、可靠性、负载、碎片、局部性、网络和安全。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拓扑感知模型增强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LSTM 与 GraphSAGE 可融合进入网络稳定性评分；缺少模型或分布外输入时透明降级。</w:t>
            </w:r>
          </w:p>
        </w:tc>
      </w:tr>
      <w:tr>
        <w:tc>
          <w:tcPr>
            <w:tcW w:type="dxa" w:w="2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人工确认工具边界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Hermes 可以草拟、仿真、解释和优化，但正式下发必须显式授权。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反馈驱动双闭环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执行记录驱动 PolicyOptimizer 自动调权，用户自然语言反馈驱动偏好权重更新。</w:t>
            </w:r>
          </w:p>
        </w:tc>
      </w:tr>
      <w:tr>
        <w:tc>
          <w:tcPr>
            <w:tcW w:type="dxa" w:w="2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统一工具面</w:t>
            </w:r>
          </w:p>
        </w:tc>
        <w:tc>
          <w:tcPr>
            <w:tcW w:type="dxa" w:w="67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Dashboard、进程内 Hermes、HTTP 与 MCP adapter 共用 TianjunToolService 契约。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可观测与可追溯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策略对象保留需求、权重、网络快照、拓扑证据、预期效果、风险与解释。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1"/>
      </w:pPr>
      <w:r>
        <w:t>5. Hermes 功能清单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能力域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主要功能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关键输出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会话与意图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新建/继续聊天会话、槽位跟踪、短确认解析、覆盖与清空约束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UserRequirement、questions、dialogue_status</w:t>
            </w:r>
          </w:p>
        </w:tc>
      </w:tr>
      <w:tr>
        <w:tc>
          <w:tcPr>
            <w:tcW w:type="dxa" w:w="17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集群感知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读取节点、在线状态、资源余量、路径画像、模型状态</w:t>
            </w:r>
          </w:p>
        </w:tc>
        <w:tc>
          <w:tcPr>
            <w:tcW w:type="dxa" w:w="3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cluster state、report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策略生成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构造任务画像、过滤不可行节点、生成推荐策略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policy、task、decision</w:t>
            </w:r>
          </w:p>
        </w:tc>
      </w:tr>
      <w:tr>
        <w:tc>
          <w:tcPr>
            <w:tcW w:type="dxa" w:w="17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调度评分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九项指标归一化、多目标权重、硬约束、软偏好</w:t>
            </w:r>
          </w:p>
        </w:tc>
        <w:tc>
          <w:tcPr>
            <w:tcW w:type="dxa" w:w="3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weights、metric_scores、total_score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仿真与解释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预演推荐策略，给出时延、成本、SLA、安全与风险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simulation、expected_effect、explanation</w:t>
            </w:r>
          </w:p>
        </w:tc>
      </w:tr>
      <w:tr>
        <w:tc>
          <w:tcPr>
            <w:tcW w:type="dxa" w:w="17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正式下发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显式确认后提交策略任务或调度 pending 任务</w:t>
            </w:r>
          </w:p>
        </w:tc>
        <w:tc>
          <w:tcPr>
            <w:tcW w:type="dxa" w:w="3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lease、submitted_task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执行回传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上报进度、结果、成本、错误、健康度与性能因子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progress、execution record</w:t>
            </w:r>
          </w:p>
        </w:tc>
      </w:tr>
      <w:tr>
        <w:tc>
          <w:tcPr>
            <w:tcW w:type="dxa" w:w="17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反馈优化</w:t>
            </w:r>
          </w:p>
        </w:tc>
        <w:tc>
          <w:tcPr>
            <w:tcW w:type="dxa" w:w="42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解析用户自然语言反馈，生成新的指标偏好并重算策略</w:t>
            </w:r>
          </w:p>
        </w:tc>
        <w:tc>
          <w:tcPr>
            <w:tcW w:type="dxa" w:w="34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preference_delta、optimized policy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外部接入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Dashboard、HTTP、MCP、CloudSimPlus、真实节点 Agent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统一工具契约与状态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1"/>
      </w:pPr>
      <w:r>
        <w:t>6. 代码变更范围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文件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7"/>
              </w:rPr>
              <w:t>本次变更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src/tianjun/core/policy.py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为 UserRequirement 增加 priority_vector、metric_preferences、slot_confidence；扩展反馈目标类型。</w:t>
            </w:r>
          </w:p>
        </w:tc>
      </w:tr>
      <w:tr>
        <w:tc>
          <w:tcPr>
            <w:tcW w:type="dxa" w:w="30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src/tianjun/policy/generator.py</w:t>
            </w:r>
          </w:p>
        </w:tc>
        <w:tc>
          <w:tcPr>
            <w:tcW w:type="dxa" w:w="6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扩展隐式业务识别、地域别名和模糊纠错；新增向量映射、槽位置信度与反馈累积。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src/tianjun/policy/feedback.py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修复反馈键脱节，增加真实 METRIC_KEYS 映射、反馈维度与幅度感知。</w:t>
            </w:r>
          </w:p>
        </w:tc>
      </w:tr>
      <w:tr>
        <w:tc>
          <w:tcPr>
            <w:tcW w:type="dxa" w:w="30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src/tianjun/policy/clarifier.py</w:t>
            </w:r>
          </w:p>
        </w:tc>
        <w:tc>
          <w:tcPr>
            <w:tcW w:type="dxa" w:w="6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追问按调度影响排序；地域不可用时优先询问是否放宽。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src/tianjun/scheduling/engine.py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在 _derive_task_weights() 中叠加 task.intent_weights。</w:t>
            </w:r>
          </w:p>
        </w:tc>
      </w:tr>
      <w:tr>
        <w:tc>
          <w:tcPr>
            <w:tcW w:type="dxa" w:w="30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src/tianjun/domain/task.py</w:t>
            </w:r>
          </w:p>
        </w:tc>
        <w:tc>
          <w:tcPr>
            <w:tcW w:type="dxa" w:w="6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任务结构增加 intent_weights，并进入序列化。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src/tianjun/scenarios/fixtures.py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恢复任务时读取 intent_weights，保持持久化兼容。</w:t>
            </w:r>
          </w:p>
        </w:tc>
      </w:tr>
      <w:tr>
        <w:tc>
          <w:tcPr>
            <w:tcW w:type="dxa" w:w="30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src/tianjun/chat/runtime.py</w:t>
            </w:r>
          </w:p>
        </w:tc>
        <w:tc>
          <w:tcPr>
            <w:tcW w:type="dxa" w:w="6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LLM 槽位 schema 支持 priority_vector，并做范围校验。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src/tianjun/application/control_plane.py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追问接入在线节点上下文；新增反馈目标进入优化流程。</w:t>
            </w:r>
          </w:p>
        </w:tc>
      </w:tr>
      <w:tr>
        <w:tc>
          <w:tcPr>
            <w:tcW w:type="dxa" w:w="30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src/tianjun/domain/node.py</w:t>
            </w:r>
          </w:p>
        </w:tc>
        <w:tc>
          <w:tcPr>
            <w:tcW w:type="dxa" w:w="63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补充城市到 service region 的映射。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tests/test_hermes_optimization.py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新增七组 Hermes 优化回归用例。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1"/>
      </w:pPr>
      <w:r>
        <w:t>7. 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AF4EE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6B4D"/>
                <w:sz w:val="20"/>
              </w:rPr>
              <w:t xml:space="preserve">自动化验证  </w:t>
            </w:r>
            <w:r>
              <w:rPr>
                <w:rFonts w:ascii="Calibri" w:hAnsi="Calibri" w:eastAsia="Microsoft YaHei"/>
                <w:color w:val="000000"/>
                <w:sz w:val="20"/>
              </w:rPr>
              <w:t>已安装 pytest 开发依赖并运行 python -m pytest：10 passed in 0.08s。另运行 python -m compileall -q src tests，未发现语法错误。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960"/>
        <w:gridCol w:w="160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验证项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覆盖内容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63A5F"/>
                <w:sz w:val="18"/>
              </w:rPr>
              <w:t>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隐式工作负载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在线问答、embedding、批量打标签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地域识别</w:t>
            </w:r>
          </w:p>
        </w:tc>
        <w:tc>
          <w:tcPr>
            <w:tcW w:type="dxa" w:w="59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苏州、cd、成嘟纠错、武汉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优先级向量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低时延且不能超预算进入多个真实评分指标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槽位置信度</w:t>
            </w:r>
          </w:p>
        </w:tc>
        <w:tc>
          <w:tcPr>
            <w:tcW w:type="dxa" w:w="59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缺失推理时延时置信度下降，显式补充后提升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反馈调权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反馈键均落入真实 METRIC_KEYS，程度词形成不同幅度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反馈落地</w:t>
            </w:r>
          </w:p>
        </w:tc>
        <w:tc>
          <w:tcPr>
            <w:tcW w:type="dxa" w:w="59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balance 偏好进入 Task.intent_weights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主动追问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地域无在线节点时优先询问放宽地域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18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已有拓扑测试</w:t>
            </w:r>
          </w:p>
        </w:tc>
        <w:tc>
          <w:tcPr>
            <w:tcW w:type="dxa" w:w="596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物理邻居、service region 过滤</w:t>
            </w:r>
          </w:p>
        </w:tc>
        <w:tc>
          <w:tcPr>
            <w:tcW w:type="dxa" w:w="1600"/>
            <w:shd w:fill="FBFCF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7DEE7"/>
              <w:left w:val="single" w:sz="4" w:space="0" w:color="D7DEE7"/>
              <w:bottom w:val="single" w:sz="4" w:space="0" w:color="D7DEE7"/>
              <w:right w:val="single" w:sz="4" w:space="0" w:color="D7DEE7"/>
              <w:insideH w:val="single" w:sz="4" w:space="0" w:color="D7DEE7"/>
              <w:insideV w:val="single" w:sz="4" w:space="0" w:color="D7DEE7"/>
            </w:tcBorders>
          </w:tcPr>
          <w:p>
            <w:pPr>
              <w:spacing w:after="0" w:line="247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</w:t>
            </w:r>
          </w:p>
        </w:tc>
      </w:tr>
    </w:tbl>
    <w:p>
      <w:pPr>
        <w:keepNext w:val="0"/>
        <w:spacing w:before="0" w:after="6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</w:r>
    </w:p>
    <w:p>
      <w:pPr>
        <w:pStyle w:val="Heading1"/>
      </w:pPr>
      <w:r>
        <w:t>8. 后续研究建议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本次优化完成了可运行、可解释的工程底座。若后续需要形成论文或实验章节，建议把重点放在能够量化比较的方向，而不是继续扩充规则数量。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0"/>
        </w:rPr>
        <w:t>主动澄清的信息增益实验：对每个待询问槽位做反事实填充，比较候选节点集合、排名稳定性、SLA 达标率和对话轮数。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0"/>
        </w:rPr>
        <w:t>priority_vector 学习：对比规则映射、小分类模型、LLM few-shot 和人工标注向量，评估调度收益与解释一致性。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0"/>
        </w:rPr>
        <w:t>slot_confidence 校准：使用历史会话与最终调度结果做可靠性图、Brier Score 或 Expected Calibration Error 对比。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0"/>
        </w:rPr>
        <w:t>反馈幅度个性化：研究用户对“稍微”“太慢”“无法接受”等表达的个体差异，并使用历史偏好做在线校准。</w:t>
      </w:r>
    </w:p>
    <w:p>
      <w:pPr>
        <w:spacing w:after="8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0"/>
        </w:rPr>
        <w:t>真实遥测替换：逐步用真实探测时延、链路利用率和节点监控替换当前仿真或合成特征，验证模型分布偏移策略。</w:t>
      </w:r>
    </w:p>
    <w:p>
      <w:pPr>
        <w:pStyle w:val="Heading1"/>
      </w:pPr>
      <w:r>
        <w:t>9. 最终结论</w:t>
      </w:r>
    </w:p>
    <w:p>
      <w:pPr>
        <w:keepNext w:val="0"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163A5F"/>
          <w:sz w:val="22"/>
        </w:rPr>
        <w:t>Hermes 的最佳优化方向不是把更多决定交给 LLM，而是让自然语言意图以结构化、连续、可校验的方式进入确定性调度内核。本次改动完成了这一关键连接：用户的复合目标能够进入真实评分，反馈能够落到真实指标，置信度能够反映任务差异，追问能够优先处理最影响可行性的约束。与此同时，原有的工具安全边界、仿真预演和人工确认机制保持不变。</w:t>
      </w:r>
    </w:p>
    <w:p>
      <w:pPr>
        <w:keepNext w:val="0"/>
        <w:spacing w:before="0" w:after="120" w:line="264" w:lineRule="auto"/>
        <w:jc w:val="right"/>
      </w:pPr>
      <w:r>
        <w:rPr>
          <w:rFonts w:ascii="Calibri" w:hAnsi="Calibri" w:eastAsia="Microsoft YaHei"/>
          <w:b w:val="0"/>
          <w:i/>
          <w:color w:val="5A6470"/>
          <w:sz w:val="18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A6470"/>
        <w:sz w:val="18"/>
      </w:rPr>
      <w:t xml:space="preserve">第 </w:t>
    </w:r>
    <w:fldSimple w:instr="PAGE"/>
    <w:r>
      <w:rPr>
        <w:rFonts w:ascii="Calibri" w:hAnsi="Calibri" w:eastAsia="Microsoft YaHei"/>
        <w:color w:val="5A64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5A6470"/>
        <w:sz w:val="17"/>
      </w:rPr>
      <w:t>TIANJUN ENGINE  /  HERMES OPTIMIZATION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72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使用设计评估与优化说明</dc:title>
  <dc:subject>天钧引擎 Hermes 优化评估、实际落地改动与创新功能说明</dc:subject>
  <dc:creator>Tianjun Optimization Workspace</dc:creator>
  <cp:keywords>Hermes, Tianjun, 算力网络, 调度, 意图理解, 反馈闭环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