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社会实践</w:t>
      </w:r>
      <w:r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  <w:lang w:val="en-US" w:eastAsia="zh-CN"/>
        </w:rPr>
        <w:t>目的</w:t>
      </w:r>
      <w:r>
        <w:rPr>
          <w:rFonts w:hint="eastAsia"/>
          <w:b/>
          <w:sz w:val="28"/>
          <w:szCs w:val="28"/>
        </w:rPr>
        <w:t>和意义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目的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：分析钻石公主号在抗疫行动中的情况。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：基于SEIR模型，通过收集钻石公主号现有的信息，分析冠状病毒的传播特点，利用Python和origin等软件进行结果输出。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在此次社会实践中，坚定融入抗击新冠肺炎的战线中来，针对全国抗击新冠肺炎疫情这一重大战役，结合自身专业知识，围绕“新冠肺炎疫情防控”主题，开展社会调查。</w:t>
      </w:r>
    </w:p>
    <w:p>
      <w:pPr>
        <w:spacing w:line="360" w:lineRule="auto"/>
        <w:ind w:firstLine="42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社会调查中发现，在疫情的全球化趋势已经形成的背景之下，全球各国都开始抗疫。其中，从一艘度假轮船在2月1日确诊一例新冠肺炎开始，全球疫情和钻石公主号开始逐渐引起了人们的注意，在这次实践中，将通过网络上各种信息的汲取，运用数据分析和数据挖掘的手段来进行实验性的预测。实验围绕从钻石公主号确诊到3月1日全员下船整个过程。得出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结果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：新型冠状病毒的危害严重，外力管控力度对冠状病毒的控制有很大作用。</w:t>
      </w:r>
    </w:p>
    <w:p>
      <w:pPr>
        <w:spacing w:line="360" w:lineRule="auto"/>
        <w:ind w:firstLine="420" w:firstLineChars="0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社会实践所开展的内容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本次实践主要根据钻石公主号的事情经过和建立的数学模型公式等，对钻石公主号的R0值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superscript"/>
          <w:lang w:val="en-US" w:eastAsia="zh-CN" w:bidi="ar"/>
        </w:rPr>
        <w:t>[1]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和管控力度值（模型中自定义的参数值）进行实验推测。</w:t>
      </w: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 背景数据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以下背景数据均来自各大新闻网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superscript"/>
          <w:lang w:val="en-US" w:eastAsia="zh-CN" w:bidi="ar"/>
        </w:rPr>
        <w:t>[2]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2020年1月20日，载有2666名乘客和1045名船员的“钻石公主号”由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"https://baike.baidu.com/item/%E6%A8%AA%E6%BB%A8/1313657" \t "https://baike.baidu.com/item/%E9%92%BB%E7%9F%B3%E5%85%AC%E4%B8%BB%E5%8F%B7/_blank"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横滨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出发，于1月25日抵达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"https://baike.baidu.com/item/%E9%A6%99%E6%B8%AF/128775" \t "https://baike.baidu.com/item/%E9%92%BB%E7%9F%B3%E5%85%AC%E4%B8%BB%E5%8F%B7/_blank"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香港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，在此停留一天、部分乘客上下船后，邮轮继续前往越南、中国台湾、日本冲绳等地，原计划于2月4日返回横滨</w:t>
      </w:r>
      <w:bookmarkStart w:id="0" w:name="ref_[9]_489215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2020年2月1日，香港特区政府通报，一名此前下船的80岁香港男性乘客确诊感染新型冠状病毒。受此消息影响，“钻石公主号”提前返回横滨，并于2月3日晚间开始接受日本厚生劳动省的检疫。</w:t>
      </w:r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据老翁口述，只在1月17号停留深圳四个小时，然后飞往日本，此外并未下船。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钻石公主号包括船员和客人，一共3711人，国籍多而复杂，在表1中的数据显示收集到的随着时间推进的累计确诊人数表格。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1" w:name="_GoBack"/>
      <w:bookmarkEnd w:id="1"/>
    </w:p>
    <w:tbl>
      <w:tblPr>
        <w:tblStyle w:val="5"/>
        <w:tblW w:w="4186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222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2月份日期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累计确诊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705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center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表1 钻石公主号累计感染表</w:t>
      </w: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2、SEIR建模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建模思路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superscript"/>
          <w:lang w:val="en-US" w:eastAsia="zh-CN" w:bidi="ar"/>
        </w:rPr>
        <w:t>[3]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,建立SEIR模型，S是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易感者 (Susceptible)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E是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暴露者 (Exposed)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I是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感病者 (Infectious)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R是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康复者 (Recovered)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SEIR模型的特点是具有潜伏期，而此次疫情的潜伏期是具有传染性的。</w:t>
      </w:r>
    </w:p>
    <w:p>
      <w:pPr>
        <w:ind w:firstLine="420" w:firstLine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272405" cy="1848485"/>
            <wp:effectExtent l="0" t="0" r="4445" b="18415"/>
            <wp:docPr id="1" name="图片 1" descr="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图1 SEIR模型图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模型含有四类人群，如图1所示。假设康复者恢复的概率是γ，感染者接触的人数是r，易感染者的感染概率是β，暴露者传染给易感染者的概率是β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，暴露者每天接触的人数是r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，疫情管控及救护系数为c，假设此系数为关于有效隔离程度、医疗防护手段强度的象征，暴露者的获病率为α，N为人口总数。有以下模型公式 (1-4)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[3]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。</w:t>
      </w:r>
    </w:p>
    <w:p>
      <w:pPr>
        <w:jc w:val="both"/>
        <w:rPr>
          <w:rFonts w:hint="default" w:ascii="宋体" w:hAnsi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S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= S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- r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β</w:t>
      </w:r>
      <w:r>
        <w:rPr>
          <w:rFonts w:hint="eastAsia" w:ascii="宋体" w:hAnsi="宋体" w:cs="宋体"/>
          <w:sz w:val="30"/>
          <w:szCs w:val="30"/>
          <w:lang w:val="en-US" w:eastAsia="zh-CN"/>
        </w:rPr>
        <w:t>I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S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/ N - r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β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2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E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S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/ N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(1)</w:t>
      </w:r>
    </w:p>
    <w:p>
      <w:pPr>
        <w:jc w:val="both"/>
        <w:rPr>
          <w:rFonts w:hint="default" w:ascii="宋体" w:hAnsi="宋体" w:cs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E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= E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- r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β</w:t>
      </w:r>
      <w:r>
        <w:rPr>
          <w:rFonts w:hint="eastAsia" w:ascii="宋体" w:hAnsi="宋体" w:cs="宋体"/>
          <w:sz w:val="30"/>
          <w:szCs w:val="30"/>
          <w:lang w:val="en-US" w:eastAsia="zh-CN"/>
        </w:rPr>
        <w:t>I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S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/ N - </w:t>
      </w:r>
      <w:r>
        <w:rPr>
          <w:rFonts w:hint="eastAsia" w:ascii="宋体" w:hAnsi="宋体" w:eastAsia="宋体" w:cs="宋体"/>
          <w:sz w:val="30"/>
          <w:szCs w:val="30"/>
          <w:vertAlign w:val="baseline"/>
          <w:lang w:val="en-US" w:eastAsia="zh-CN"/>
        </w:rPr>
        <w:t>α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E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+ r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β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2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E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S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/ N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(2)</w:t>
      </w:r>
    </w:p>
    <w:p>
      <w:pPr>
        <w:jc w:val="both"/>
        <w:rPr>
          <w:rFonts w:hint="default" w:ascii="宋体" w:hAnsi="宋体" w:cs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I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= I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+ </w:t>
      </w:r>
      <w:r>
        <w:rPr>
          <w:rFonts w:hint="eastAsia" w:ascii="宋体" w:hAnsi="宋体" w:eastAsia="宋体" w:cs="宋体"/>
          <w:sz w:val="30"/>
          <w:szCs w:val="30"/>
          <w:vertAlign w:val="baseline"/>
          <w:lang w:val="en-US" w:eastAsia="zh-CN"/>
        </w:rPr>
        <w:t>α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E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-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γ</w:t>
      </w:r>
      <w:r>
        <w:rPr>
          <w:rFonts w:hint="eastAsia" w:ascii="宋体" w:hAnsi="宋体" w:cs="宋体"/>
          <w:sz w:val="30"/>
          <w:szCs w:val="30"/>
          <w:lang w:val="en-US" w:eastAsia="zh-CN"/>
        </w:rPr>
        <w:t>I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c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(3)</w:t>
      </w:r>
    </w:p>
    <w:p>
      <w:pPr>
        <w:jc w:val="both"/>
        <w:rPr>
          <w:rFonts w:hint="default" w:ascii="宋体" w:hAnsi="宋体" w:cs="宋体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R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= R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 xml:space="preserve"> +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γ</w:t>
      </w:r>
      <w:r>
        <w:rPr>
          <w:rFonts w:hint="eastAsia" w:ascii="宋体" w:hAnsi="宋体" w:cs="宋体"/>
          <w:sz w:val="30"/>
          <w:szCs w:val="30"/>
          <w:lang w:val="en-US" w:eastAsia="zh-CN"/>
        </w:rPr>
        <w:t>I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i-1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>c</w:t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baseline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(4)</w:t>
      </w:r>
    </w:p>
    <w:p>
      <w:pPr>
        <w:jc w:val="center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jc w:val="center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jc w:val="center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jc w:val="center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jc w:val="center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确定方程相关系数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计算相关系数及概率，首先有以下公式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[4]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vertAlign w:val="baseline"/>
          <w:lang w:val="en-US" w:eastAsia="zh-CN"/>
        </w:rPr>
        <w:t>α</w:t>
      </w:r>
      <w:r>
        <w:rPr>
          <w:rFonts w:hint="eastAsia"/>
          <w:sz w:val="30"/>
          <w:szCs w:val="30"/>
          <w:lang w:val="en-US" w:eastAsia="zh-CN"/>
        </w:rPr>
        <w:t>= I</w:t>
      </w:r>
      <w:r>
        <w:rPr>
          <w:rFonts w:hint="eastAsia"/>
          <w:sz w:val="30"/>
          <w:szCs w:val="30"/>
          <w:vertAlign w:val="subscript"/>
          <w:lang w:val="en-US" w:eastAsia="zh-CN"/>
        </w:rPr>
        <w:t xml:space="preserve">i </w:t>
      </w:r>
      <w:r>
        <w:rPr>
          <w:rFonts w:hint="eastAsia"/>
          <w:sz w:val="30"/>
          <w:szCs w:val="30"/>
          <w:lang w:val="en-US" w:eastAsia="zh-CN"/>
        </w:rPr>
        <w:t>/E</w:t>
      </w:r>
      <w:r>
        <w:rPr>
          <w:rFonts w:hint="eastAsia"/>
          <w:sz w:val="30"/>
          <w:szCs w:val="30"/>
          <w:vertAlign w:val="subscript"/>
          <w:lang w:val="en-US" w:eastAsia="zh-CN"/>
        </w:rPr>
        <w:t>i</w:t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/>
          <w:sz w:val="28"/>
          <w:szCs w:val="28"/>
          <w:vertAlign w:val="subscript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(5)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γ</w:t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= 1/D</w:t>
      </w:r>
      <w:r>
        <w:rPr>
          <w:rFonts w:hint="eastAsia" w:ascii="宋体" w:hAnsi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(6)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I</w:t>
      </w:r>
      <w:r>
        <w:rPr>
          <w:rFonts w:hint="eastAsia" w:ascii="宋体" w:hAnsi="宋体" w:cs="宋体"/>
          <w:sz w:val="30"/>
          <w:szCs w:val="30"/>
          <w:vertAlign w:val="subscript"/>
          <w:lang w:val="en-US" w:eastAsia="zh-CN"/>
        </w:rPr>
        <w:t>(t)</w:t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= e</w:t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>(</w:t>
      </w:r>
      <w:r>
        <w:rPr>
          <w:rFonts w:hint="eastAsia" w:ascii="宋体" w:hAnsi="宋体" w:eastAsia="宋体" w:cs="宋体"/>
          <w:sz w:val="30"/>
          <w:szCs w:val="30"/>
          <w:vertAlign w:val="superscript"/>
          <w:lang w:val="en-US" w:eastAsia="zh-CN"/>
        </w:rPr>
        <w:t>β</w:t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>-</w:t>
      </w:r>
      <w:r>
        <w:rPr>
          <w:rFonts w:hint="eastAsia" w:ascii="宋体" w:hAnsi="宋体" w:eastAsia="宋体" w:cs="宋体"/>
          <w:sz w:val="30"/>
          <w:szCs w:val="30"/>
          <w:vertAlign w:val="superscript"/>
          <w:lang w:val="en-US" w:eastAsia="zh-CN"/>
        </w:rPr>
        <w:t>γ</w:t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 xml:space="preserve">)*I  </w:t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30"/>
          <w:szCs w:val="30"/>
          <w:vertAlign w:val="superscript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(7)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做以下假设，因为钻石公主号空间狭小，人员密集，船内大部分客舱无阳台，且开启了中央空调，所以假设钻石公主号上所有人均有可能转化为暴露者，在这个前提下可以根据公式(5)得出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α=0.189。D是病程，由新闻网给出得数据，D一般在15-35天，取中位数25，由公式(6)计算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γ=0.04 。假设疫情管控及救护系数为c=7。假设r=3，r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=15，因为暴露者可能没有被隔离，暴露者有无感染症状，所以会出现难以判断的情况。利用origin软件通过公式(7)和表1的数据进行非线性拟合算得感染系数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β= 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0.13563，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β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= 0.03646如图2和图3 。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4690110" cy="4161155"/>
            <wp:effectExtent l="0" t="0" r="15240" b="10795"/>
            <wp:docPr id="6" name="图片 6" descr="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k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宋体" w:hAnsi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图2 k=3时的拟合系数图</w:t>
      </w:r>
    </w:p>
    <w:p>
      <w:pPr>
        <w:numPr>
          <w:ilvl w:val="0"/>
          <w:numId w:val="0"/>
        </w:numPr>
        <w:jc w:val="both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4828540" cy="3954780"/>
            <wp:effectExtent l="0" t="0" r="10160" b="7620"/>
            <wp:docPr id="7" name="图片 7" descr="k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图3 k=15时的拟合系数图</w:t>
      </w: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4、估算再生数R0范围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估算R0首先有以下公式</w:t>
      </w:r>
      <w:r>
        <w:rPr>
          <w:rFonts w:hint="eastAsia"/>
          <w:vertAlign w:val="superscript"/>
          <w:lang w:val="en-US" w:eastAsia="zh-CN"/>
        </w:rPr>
        <w:t>[5-6]</w:t>
      </w:r>
      <w:r>
        <w:rPr>
          <w:rFonts w:hint="eastAsia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R0 = 1 + </w:t>
      </w:r>
      <w:r>
        <w:rPr>
          <w:rFonts w:hint="eastAsia" w:ascii="宋体" w:hAnsi="宋体" w:eastAsia="宋体" w:cs="宋体"/>
          <w:lang w:val="en-US" w:eastAsia="zh-CN"/>
        </w:rPr>
        <w:t>λ</w:t>
      </w:r>
      <w:r>
        <w:rPr>
          <w:rFonts w:hint="eastAsia" w:ascii="宋体" w:hAnsi="宋体" w:cs="宋体"/>
          <w:lang w:val="en-US" w:eastAsia="zh-CN"/>
        </w:rPr>
        <w:t xml:space="preserve"> * T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（8）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λ</w:t>
      </w:r>
      <w:r>
        <w:rPr>
          <w:rFonts w:hint="eastAsia" w:ascii="宋体" w:hAnsi="宋体" w:cs="宋体"/>
          <w:lang w:val="en-US" w:eastAsia="zh-CN"/>
        </w:rPr>
        <w:t xml:space="preserve"> = ln(Y(t)/t)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（9）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T = Y(t)/2/t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（10）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T为每两名患者出现的时间间隔，Y(t)为t日出现的累计疫情患者总数。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假设以2月8日出现累计疫情64例为Y取值，Y(t)=64，且假设T的取值在这里是成立的。那么，接下来在于确定第一例感染上的时间。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第一种情况，假设第一例确诊患者，就是零号感染者，那么假设患者口述是成立的（在上文背景数据中有提起），患者是在1月17号在深圳感染然后去往日本并上船。则</w:t>
      </w:r>
      <w:r>
        <w:rPr>
          <w:rFonts w:hint="eastAsia" w:ascii="宋体" w:hAnsi="宋体" w:eastAsia="宋体" w:cs="宋体"/>
          <w:lang w:val="en-US" w:eastAsia="zh-CN"/>
        </w:rPr>
        <w:t>λ</w:t>
      </w:r>
      <w:r>
        <w:rPr>
          <w:rFonts w:hint="eastAsia" w:ascii="宋体" w:hAnsi="宋体" w:cs="宋体"/>
          <w:lang w:val="en-US" w:eastAsia="zh-CN"/>
        </w:rPr>
        <w:t xml:space="preserve"> = ln(Y(23)/23) = 1.0235 ，T = Y(23)/2/23 = 1.3913，在由公式（8）计算得R0 = 2.424 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第二种情况，假设第一例确诊患者是上船后被传染的，根据疫情肺炎的潜伏期在2-14天，取得中位值7天，因为潜伏者同样带有传染性，且可能不会出现感染症状，假设第一例传染者和第一例感染者感染时间差不多相同的情况下，在确诊的7天前既是1月25日（背景数据中提及），钻石公主号游轮刚好停靠在香港岸上一天允许乘客自由下落后反船。则第一个感染者很有可能是在香港将病毒带上船。则</w:t>
      </w:r>
      <w:r>
        <w:rPr>
          <w:rFonts w:hint="eastAsia" w:ascii="宋体" w:hAnsi="宋体" w:eastAsia="宋体" w:cs="宋体"/>
          <w:lang w:val="en-US" w:eastAsia="zh-CN"/>
        </w:rPr>
        <w:t>λ</w:t>
      </w:r>
      <w:r>
        <w:rPr>
          <w:rFonts w:hint="eastAsia" w:ascii="宋体" w:hAnsi="宋体" w:cs="宋体"/>
          <w:lang w:val="en-US" w:eastAsia="zh-CN"/>
        </w:rPr>
        <w:t xml:space="preserve"> = ln(Y(15)/15) = 1.4506 ， T = Y(15)/2/15 = 2.1333，在由公式（8）计算得R0 = 4.094 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社会实践结果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实践中还同时翻阅参考了关于SEIR模型的文献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vertAlign w:val="superscript"/>
          <w:lang w:val="en-US" w:eastAsia="zh-CN"/>
        </w:rPr>
        <w:t>[7-8]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  <w:t>，通过这些思路进行思考，实践，然后得出的结果如下。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  <w:t>结果一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：根据R0值估算的范围为，R0 = 2.424-4.094，当R0值大于1的时候，传染病毒就会威胁到人类的生死存亡，值越大证明对我们的危险同样越大，我们应该积极做好防护措施，幸好钻石公主号游轮上的抗疫已经结束，但是全球的抗疫或刚刚开始，在经济全球化的今天，恐慌情绪的传染性同样不比新型冠状病毒要差。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  <w:t>结果二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：经过利用SEIR模型公式计算，在Python上用代码复现这个模型，通过控制系数c来证明在疫情下，疫情管控及时有效隔离的重要性。系数c表明在传染过程中各种对疫情控制的手段。</w:t>
      </w:r>
    </w:p>
    <w:p>
      <w:pPr>
        <w:spacing w:line="360" w:lineRule="auto"/>
        <w:ind w:left="84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3583305" cy="2385060"/>
            <wp:effectExtent l="0" t="0" r="17145" b="15240"/>
            <wp:docPr id="11" name="图片 11" descr="c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=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center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 c=7时的预测走势图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图4显示的是在有效控制下的疫情走势。此时c=7 。</w:t>
      </w:r>
    </w:p>
    <w:p>
      <w:pPr>
        <w:spacing w:line="360" w:lineRule="auto"/>
        <w:jc w:val="both"/>
        <w:rPr>
          <w:rFonts w:hint="eastAsia"/>
          <w:sz w:val="24"/>
          <w:lang w:val="en-US" w:eastAsia="zh-CN"/>
        </w:rPr>
      </w:pPr>
    </w:p>
    <w:p>
      <w:pPr>
        <w:spacing w:line="360" w:lineRule="auto"/>
        <w:ind w:left="840" w:leftChars="0" w:firstLine="420" w:firstLineChars="0"/>
        <w:jc w:val="both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4083050" cy="2562225"/>
            <wp:effectExtent l="0" t="0" r="12700" b="9525"/>
            <wp:docPr id="13" name="图片 13" descr="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=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图5 c=1时的预测走势图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图5显示的是疫情控制力度不够的情况，此时c=1 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结论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基于以上的两个结果，可以得出结论，首先，疫情的危害对我们真的很大，病毒是我们人类的一场灾难，应该引起重视，珍爱生命。其次，有效的管控隔离在疫情中能起到非常有效的作用，我觉得不单止是依靠政府，依靠医疗机构的发力，每个国家的人民同样是面对这场灾难能够有效发力的一份子，在没有特效药和疫苗的情况下，政府有管控，医疗有保障，人民有自觉性是战胜这场灾难的首要因素，积极带好口罩，避免去人流密集的地方聚集，做好出行报备，回国自我隔离等，都是这次疫情我们能为国家抗疫的贡献。</w:t>
      </w:r>
    </w:p>
    <w:p>
      <w:pPr>
        <w:spacing w:line="360" w:lineRule="auto"/>
        <w:ind w:left="420" w:leftChars="0" w:firstLine="420" w:firstLineChars="0"/>
        <w:jc w:val="both"/>
        <w:rPr>
          <w:rFonts w:hint="default"/>
          <w:sz w:val="24"/>
          <w:lang w:val="en-US" w:eastAsia="zh-C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实践</w:t>
      </w:r>
      <w:r>
        <w:rPr>
          <w:rFonts w:hint="eastAsia"/>
          <w:b/>
          <w:sz w:val="28"/>
          <w:szCs w:val="28"/>
        </w:rPr>
        <w:t>设计</w:t>
      </w:r>
      <w:r>
        <w:rPr>
          <w:rFonts w:hint="eastAsia"/>
          <w:b/>
          <w:sz w:val="28"/>
          <w:szCs w:val="28"/>
          <w:lang w:val="en-US" w:eastAsia="zh-CN"/>
        </w:rPr>
        <w:t>总结和</w:t>
      </w:r>
      <w:r>
        <w:rPr>
          <w:rFonts w:hint="eastAsia"/>
          <w:b/>
          <w:sz w:val="28"/>
          <w:szCs w:val="28"/>
        </w:rPr>
        <w:t>体会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通过这次社会实践，我体会到了国家的强大，社会主义的优越性，在习近平总书记的带领下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关于疫情防控的重要讲话和重要精神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的重要性。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此之下，通过社会实践，给与自己一个自由的发挥空间去模仿，学习，创造，学习到了很多有用的工具和解决问题的方法。但是同时也知道了自己还有很多不足的地方要去继续加强，比如此次实验数据的准确性，数字是否精确，公式模型是否足够合理，拟合过程是否有误差，假设是否真的成立。这些不足和疑惑对于实验的有效性和严谨性是一个非常大的考验，我还需要继续学习，企图离真相更加接近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</w:rPr>
      </w:pP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"https://kns.cnki.net/kns/popup/knetsearchNew.aspx?sdb=CJFQ&amp;sfield=%e4%bd%9c%e8%80%85&amp;skey=%e5%91%a8%e6%b6%9b&amp;scode=06549836&amp;acode=06549836" \t "https://kns.cnki.net/kns/brief/knet"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周涛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"https://kns.cnki.net/kns/popup/knetsearchNew.aspx?sdb=CJFQ&amp;sfield=%e4%bd%9c%e8%80%85&amp;skey=%e5%88%98%e6%9d%83%e8%be%89&amp;scode=43709603&amp;acode=43709603" \t "https://kns.cnki.net/kns/brief/knet" </w:instrTex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刘权辉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"https://kns.cnki.net/kns/brief/javascript:void(0)" </w:instrTex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杨紫陌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.新型冠状病毒感染肺炎基本再生数的初步预测.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"https://kns.cnki.net/kns/NaviBridge.aspx?bt=1&amp;DBCode=CJFD&amp;BaseID=ZZXZ&amp;UnitCode=&amp;NaviLink=%e4%b8%ad%e5%9b%bd%e5%be%aa%e8%af%81%e5%8c%bb%e5%ad%a6%e6%9d%82%e5%bf%97" \t "https://kns.cnki.net/kns/brief/_blank"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中国循证医学杂志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[J].2020,20(3)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钻石公主号百度百科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"https://kns.cnki.net/kns/popup/knetsearchNew.aspx?sdb=CJFQ&amp;sfield=%e4%bd%9c%e8%80%85&amp;skey=%e8%80%bf%e8%be%89&amp;scode=33065276&amp;acode=33065276" \t "https://kns.cnki.net/kns/brief/knet"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耿辉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"https://kns.cnki.net/kns/popup/knetsearchNew.aspx?sdb=CJFQ&amp;sfield=%e4%bd%9c%e8%80%85&amp;skey=%e5%be%90%e5%ae%89%e5%ae%9a&amp;scode=07776643&amp;acode=07776643" \t "https://kns.cnki.net/kns/brief/knet" </w:instrTex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徐安定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"https://kns.cnki.net/kns/popup/knetsearchNew.aspx?sdb=CJFQ&amp;sfield=%e4%bd%9c%e8%80%85&amp;skey=%e7%8e%8b%e6%99%93%e8%89%b3&amp;scode=09075745&amp;acode=09075745" \t "https://kns.cnki.net/kns/brief/knet" </w:instrTex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王晓艳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.基于SEIR模型分析相关干预措施在新型冠状病毒肺炎疫情中的作用.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"https://kns.cnki.net/kns/NaviBridge.aspx?bt=1&amp;DBCode=CJFD&amp;BaseID=JNDX&amp;UnitCode=&amp;NaviLink=%e6%9a%a8%e5%8d%97%e5%a4%a7%e5%ad%a6%e5%ad%a6%e6%8a%a5(%e8%87%aa%e7%84%b6%e7%a7%91%e5%ad%a6%e4%b8%8e%e5%8c%bb%e5%ad%a6%e7%89%88)" \t "https://kns.cnki.net/kns/brief/_blank"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暨南大学学报(自然科学与医学版)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[J].2020,41(2)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丁香园论坛.基于SEIR优化模型和AI对公共卫生干预下的中国COVID-19爆发趋势预测 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"https://kns.cnki.net/kns/popup/knetsearchNew.aspx?sdb=CJFQ&amp;sfield=%e4%bd%9c%e8%80%85&amp;skey=%e5%b4%94%e7%8e%89%e7%be%8e&amp;scode=38869983&amp;acode=38869983" \t "https://kns.cnki.net/kns/brief/knet"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崔玉美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"https://kns.cnki.net/kns/popup/knetsearchNew.aspx?sdb=CJFQ&amp;sfield=%e4%bd%9c%e8%80%85&amp;skey=%e9%99%88%e5%a7%97%e5%a7%97&amp;scode=17304688&amp;acode=17304688" \t "https://kns.cnki.net/kns/brief/knet" </w:instrTex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陈姗姗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"https://kns.cnki.net/kns/popup/knetsearchNew.aspx?sdb=CJFQ&amp;sfield=%e4%bd%9c%e8%80%85&amp;skey=%e5%82%85%e6%96%b0%e6%a5%9a&amp;scode=08479294&amp;acode=08479294" \t "https://kns.cnki.net/kns/brief/knet" </w:instrTex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傅新楚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.几类传染病模型中基本再生数的计算.复杂系统与复杂性科学[J].2017,14(4)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蔡洁;贾浩源;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王珂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.基于SEIR模型对武汉市新型冠状病毒肺炎疫情发展趋势预测简.山东医药[J].2020,60(6)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曹盛力;冯沛华;时朋朋.修正SEIR传染病动力学模型应用于湖北省2019冠状病毒病（COVID-19）疫情预测和评估.浙江大学学报(医学版)[J].2020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"https://kns.cnki.net/kns/popup/knetsearchNew.aspx?sdb=CJFQ&amp;sfield=%e4%bd%9c%e8%80%85&amp;skey=%e8%8c%83%e5%a6%82%e5%9b%bd&amp;scode=08982794&amp;acode=08982794" \t "https://kns.cnki.net/kns/brief/knet"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范如国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"https://kns.cnki.net/kns/popup/knetsearchNew.aspx?sdb=CJFQ&amp;sfield=%e4%bd%9c%e8%80%85&amp;skey=%e7%8e%8b%e5%a5%95%e5%8d%9a&amp;scode=43591208&amp;acode=43591208" \t "https://kns.cnki.net/kns/brief/knet" </w:instrTex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王奕博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"https://kns.cnki.net/kns/popup/knetsearchNew.aspx?sdb=CJFQ&amp;sfield=%e4%bd%9c%e8%80%85&amp;skey=%e7%bd%97%e6%98%8e&amp;scode=17553491&amp;acode=17553491" \t "https://kns.cnki.net/kns/brief/knet" </w:instrTex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罗明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.基于SEIR的新型肺炎传播模型及拐点预测分析.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"https://kns.cnki.net/kns/NaviBridge.aspx?bt=1&amp;DBCode=CJFD&amp;BaseID=DKDX&amp;UnitCode=&amp;NaviLink=%e7%94%b5%e5%ad%90%e7%a7%91%e6%8a%80%e5%a4%a7%e5%ad%a6%e5%ad%a6%e6%8a%a5" \t "https://kns.cnki.net/kns/brief/_blank"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电子科技大学学报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[J].2020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382F"/>
    <w:multiLevelType w:val="multilevel"/>
    <w:tmpl w:val="15CB38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B92BC22"/>
    <w:multiLevelType w:val="singleLevel"/>
    <w:tmpl w:val="6B92BC2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70785907"/>
    <w:multiLevelType w:val="singleLevel"/>
    <w:tmpl w:val="7078590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B21C7"/>
    <w:rsid w:val="0FEC0B46"/>
    <w:rsid w:val="10E20425"/>
    <w:rsid w:val="123B21C7"/>
    <w:rsid w:val="13D52C1C"/>
    <w:rsid w:val="21D32ED1"/>
    <w:rsid w:val="3CF24DB7"/>
    <w:rsid w:val="58EA7725"/>
    <w:rsid w:val="765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2021-03-01T07:31:00Z</dcterms:created>
  <dc:creator>Administrator</dc:creator>
  <cp:lastModifiedBy>Administrator</cp:lastModifiedBy>
  <dcterms:modified xsi:type="dcterms:W3CDTF">2021-03-01T07:36:42Z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