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Mobile Pain Management Clinic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Colorado ranks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in the nation for opioid abuse (Jesse Paul, 2016). Colorado has experienced an increase of overdose death rates in every county, except one in Colorado with Denver initially being the most prevalent.  CDPHE reports that the use of prescription opioid drugs has the potential to lead to patient abuse of these medications, addiction, and diversion, with death rates of nearly 6 per 100,000 people compared to the death rates of heroin (2 per 100,000 people).  Opioid prescription abuse has increased costs of excessive health care utilization. So our aim is to implement a  multidisciplinary approach to managing prescription opioid abuse through reduction of prescription and improved management of individuals with a history of opioid abuse. A study by Deyo et al 2009 showed that &gt;50% of the prescriptions of opioids are patients with chronic lower back pain.  Our approach is to establish a team of mobile pain management specialists partnered with Denver-Health targeting 1000 patients with chronic lower back pain.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for program implementation in a 3-year timeframe: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b w:val="1"/>
          <w:u w:val="single"/>
          <w:rtl w:val="0"/>
        </w:rPr>
        <w:t xml:space="preserve"> Year 1</w:t>
      </w:r>
      <w:r w:rsidDel="00000000" w:rsidR="00000000" w:rsidRPr="00000000">
        <w:rPr>
          <w:rFonts w:ascii="Times New Roman" w:cs="Times New Roman" w:eastAsia="Times New Roman" w:hAnsi="Times New Roman"/>
          <w:rtl w:val="0"/>
        </w:rPr>
        <w:t xml:space="preserve">: We build a mobile pain management specialist’s team consisting of medical professionals such as pain specialists, physical therapists, nurses, and psychologists. If necessary specialized population healthcare professionals such as OBGYN and occupational health therapists will be consulted as needed.</w:t>
      </w: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consultation appointment agenda includes: </w:t>
      </w:r>
    </w:p>
    <w:p w:rsidR="00000000" w:rsidDel="00000000" w:rsidP="00000000" w:rsidRDefault="00000000" w:rsidRPr="00000000" w14:paraId="00000007">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patient medical history, health literacy and mental health assessment</w:t>
      </w:r>
    </w:p>
    <w:p w:rsidR="00000000" w:rsidDel="00000000" w:rsidP="00000000" w:rsidRDefault="00000000" w:rsidRPr="00000000" w14:paraId="00000008">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alternative therapies for pain management. </w:t>
      </w:r>
    </w:p>
    <w:p w:rsidR="00000000" w:rsidDel="00000000" w:rsidP="00000000" w:rsidRDefault="00000000" w:rsidRPr="00000000" w14:paraId="00000009">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and pain assessments will help diagnose severity of pain and allow professionals to create alternative treatment plans based on individual patient need </w:t>
      </w:r>
    </w:p>
    <w:p w:rsidR="00000000" w:rsidDel="00000000" w:rsidP="00000000" w:rsidRDefault="00000000" w:rsidRPr="00000000" w14:paraId="0000000A">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back</w:t>
      </w:r>
      <w:r w:rsidDel="00000000" w:rsidR="00000000" w:rsidRPr="00000000">
        <w:rPr>
          <w:rtl w:val="0"/>
        </w:rPr>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the patient goes to the ER, ER doctor consults with our specialized Pain Management Team. The pain management team will treat the patient, patient gets discharged. Pain management team will travel to the patient for follow-up to supplement standard care à reduce near term hospital readmissions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Year 2</w:t>
      </w:r>
      <w:r w:rsidDel="00000000" w:rsidR="00000000" w:rsidRPr="00000000">
        <w:rPr>
          <w:rFonts w:ascii="Times New Roman" w:cs="Times New Roman" w:eastAsia="Times New Roman" w:hAnsi="Times New Roman"/>
          <w:rtl w:val="0"/>
        </w:rPr>
        <w:t xml:space="preserve">: Partner with project ECHO to train primary care providers to educate patients on pain management using our appointment agenda.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Year 3</w:t>
      </w:r>
      <w:r w:rsidDel="00000000" w:rsidR="00000000" w:rsidRPr="00000000">
        <w:rPr>
          <w:rFonts w:ascii="Times New Roman" w:cs="Times New Roman" w:eastAsia="Times New Roman" w:hAnsi="Times New Roman"/>
          <w:rtl w:val="0"/>
        </w:rPr>
        <w:t xml:space="preserve">: Pain management for more serious cases, if PCP cannot adequately manage case or patient needs more attention, than our pain management specialists will be called in.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w:t>
      </w:r>
      <w:r w:rsidDel="00000000" w:rsidR="00000000" w:rsidRPr="00000000">
        <w:rPr>
          <w:rFonts w:ascii="Times New Roman" w:cs="Times New Roman" w:eastAsia="Times New Roman" w:hAnsi="Times New Roman"/>
        </w:rPr>
        <w:drawing>
          <wp:inline distB="19050" distT="19050" distL="19050" distR="19050">
            <wp:extent cx="2712094" cy="2005013"/>
            <wp:effectExtent b="0" l="0" r="0" t="0"/>
            <wp:docPr descr="bdgt1.jpg" id="1" name="image2.jpg"/>
            <a:graphic>
              <a:graphicData uri="http://schemas.openxmlformats.org/drawingml/2006/picture">
                <pic:pic>
                  <pic:nvPicPr>
                    <pic:cNvPr descr="bdgt1.jpg" id="0" name="image2.jpg"/>
                    <pic:cNvPicPr preferRelativeResize="0"/>
                  </pic:nvPicPr>
                  <pic:blipFill>
                    <a:blip r:embed="rId6"/>
                    <a:srcRect b="0" l="0" r="0" t="0"/>
                    <a:stretch>
                      <a:fillRect/>
                    </a:stretch>
                  </pic:blipFill>
                  <pic:spPr>
                    <a:xfrm>
                      <a:off x="0" y="0"/>
                      <a:ext cx="2712094" cy="2005013"/>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763127" cy="2005013"/>
            <wp:effectExtent b="0" l="0" r="0" t="0"/>
            <wp:docPr descr="bdgt23.jpg" id="2" name="image1.jpg"/>
            <a:graphic>
              <a:graphicData uri="http://schemas.openxmlformats.org/drawingml/2006/picture">
                <pic:pic>
                  <pic:nvPicPr>
                    <pic:cNvPr descr="bdgt23.jpg" id="0" name="image1.jpg"/>
                    <pic:cNvPicPr preferRelativeResize="0"/>
                  </pic:nvPicPr>
                  <pic:blipFill>
                    <a:blip r:embed="rId7"/>
                    <a:srcRect b="0" l="0" r="0" t="0"/>
                    <a:stretch>
                      <a:fillRect/>
                    </a:stretch>
                  </pic:blipFill>
                  <pic:spPr>
                    <a:xfrm>
                      <a:off x="0" y="0"/>
                      <a:ext cx="2763127"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2c3e50"/>
          <w:highlight w:val="white"/>
        </w:rPr>
      </w:pPr>
      <w:r w:rsidDel="00000000" w:rsidR="00000000" w:rsidRPr="00000000">
        <w:rPr>
          <w:rFonts w:ascii="Times New Roman" w:cs="Times New Roman" w:eastAsia="Times New Roman" w:hAnsi="Times New Roman"/>
          <w:b w:val="1"/>
          <w:color w:val="2c3e50"/>
          <w:highlight w:val="white"/>
          <w:rtl w:val="0"/>
        </w:rPr>
        <w:t xml:space="preserve">References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Acupuncture Association of Colorado. Retrieved November 12, 2016, from </w:t>
      </w:r>
      <w:hyperlink r:id="rId8">
        <w:r w:rsidDel="00000000" w:rsidR="00000000" w:rsidRPr="00000000">
          <w:rPr>
            <w:rFonts w:ascii="Times New Roman" w:cs="Times New Roman" w:eastAsia="Times New Roman" w:hAnsi="Times New Roman"/>
            <w:color w:val="1155cc"/>
            <w:sz w:val="20"/>
            <w:szCs w:val="20"/>
            <w:u w:val="single"/>
            <w:rtl w:val="0"/>
          </w:rPr>
          <w:t xml:space="preserve">http://acucol.com/http/acucol.com/acupuncturists-area</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Centers for Medicare and Medicaid Services. Federally Qualified Health Centers. Retrieved November 12, 2016, from https://www.cms.gov/Center/Provider-Type/Federally-Qualified-Health-Centers-FQHC-Center.html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Daley, J. (2016, February 16). Colorado drug overdoses up in almost every county and ahead of national average. Retrieved November 12, 2016, from http://www.cpr.org/news/story/colorado-drug-overdoses-almost-every-county-and-ahead-national-average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Denver Health. (2016). Retrieved November 12, 2016, from </w:t>
      </w:r>
      <w:hyperlink r:id="rId9">
        <w:r w:rsidDel="00000000" w:rsidR="00000000" w:rsidRPr="00000000">
          <w:rPr>
            <w:rFonts w:ascii="Times New Roman" w:cs="Times New Roman" w:eastAsia="Times New Roman" w:hAnsi="Times New Roman"/>
            <w:color w:val="1155cc"/>
            <w:sz w:val="20"/>
            <w:szCs w:val="20"/>
            <w:highlight w:val="white"/>
            <w:u w:val="single"/>
            <w:rtl w:val="0"/>
          </w:rPr>
          <w:t xml:space="preserve">http://www.denverhealth.org</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Goldberg, J. (2016, July 30). Hypnosis and Mental Health. WebMD  Retrieved July 30, 2016 from </w:t>
      </w:r>
      <w:hyperlink r:id="rId10">
        <w:r w:rsidDel="00000000" w:rsidR="00000000" w:rsidRPr="00000000">
          <w:rPr>
            <w:rFonts w:ascii="Times New Roman" w:cs="Times New Roman" w:eastAsia="Times New Roman" w:hAnsi="Times New Roman"/>
            <w:color w:val="1155cc"/>
            <w:sz w:val="20"/>
            <w:szCs w:val="20"/>
            <w:highlight w:val="white"/>
            <w:u w:val="single"/>
            <w:rtl w:val="0"/>
          </w:rPr>
          <w:t xml:space="preserve">http://www.webmd.com/anxiety-panic/guide/mental-health-hypnotherapy?page=2</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Hahn, K. L. (2011). Strategies to prevent Opioid misuse, abuse, and diversion that may also reduce the associated costs. </w:t>
      </w:r>
      <w:r w:rsidDel="00000000" w:rsidR="00000000" w:rsidRPr="00000000">
        <w:rPr>
          <w:rFonts w:ascii="Times New Roman" w:cs="Times New Roman" w:eastAsia="Times New Roman" w:hAnsi="Times New Roman"/>
          <w:i w:val="1"/>
          <w:sz w:val="20"/>
          <w:szCs w:val="20"/>
          <w:rtl w:val="0"/>
        </w:rPr>
        <w:t xml:space="preserve">American Health and Drug Benefits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(2), 107–114. Retrieved from https://www.ncbi.nlm.nih.gov/pmc/articles/PMC4106581/</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Longo, D. L., Volkow, N. D., &amp; McLellan, A. T. (2016). Opioid abuse in chronic pain — misconceptions and mitigation strategies. </w:t>
      </w:r>
      <w:r w:rsidDel="00000000" w:rsidR="00000000" w:rsidRPr="00000000">
        <w:rPr>
          <w:rFonts w:ascii="Times New Roman" w:cs="Times New Roman" w:eastAsia="Times New Roman" w:hAnsi="Times New Roman"/>
          <w:i w:val="1"/>
          <w:sz w:val="20"/>
          <w:szCs w:val="20"/>
          <w:rtl w:val="0"/>
        </w:rPr>
        <w:t xml:space="preserve">New England Journal of Medicine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374</w:t>
      </w:r>
      <w:r w:rsidDel="00000000" w:rsidR="00000000" w:rsidRPr="00000000">
        <w:rPr>
          <w:rFonts w:ascii="Times New Roman" w:cs="Times New Roman" w:eastAsia="Times New Roman" w:hAnsi="Times New Roman"/>
          <w:sz w:val="20"/>
          <w:szCs w:val="20"/>
          <w:rtl w:val="0"/>
        </w:rPr>
        <w:t xml:space="preserve">(13), 1253–1263. doi:10.1056/nejmra1507771</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Mobile health Apps interactive tool. (2016, April 4). Retrieved November 12, 2016, from </w:t>
      </w:r>
      <w:hyperlink r:id="rId11">
        <w:r w:rsidDel="00000000" w:rsidR="00000000" w:rsidRPr="00000000">
          <w:rPr>
            <w:rFonts w:ascii="Times New Roman" w:cs="Times New Roman" w:eastAsia="Times New Roman" w:hAnsi="Times New Roman"/>
            <w:color w:val="1155cc"/>
            <w:sz w:val="20"/>
            <w:szCs w:val="20"/>
            <w:highlight w:val="white"/>
            <w:u w:val="single"/>
            <w:rtl w:val="0"/>
          </w:rPr>
          <w:t xml:space="preserve">https://www.ftc.gov/tips-advice/business-center/guidance/mobile-health-apps-interactive-tool</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Pain Management Center (2016). Pain management center. Retrieved November 12, 2016, from </w:t>
      </w:r>
      <w:hyperlink r:id="rId12">
        <w:r w:rsidDel="00000000" w:rsidR="00000000" w:rsidRPr="00000000">
          <w:rPr>
            <w:rFonts w:ascii="Times New Roman" w:cs="Times New Roman" w:eastAsia="Times New Roman" w:hAnsi="Times New Roman"/>
            <w:color w:val="1155cc"/>
            <w:sz w:val="20"/>
            <w:szCs w:val="20"/>
            <w:u w:val="single"/>
            <w:rtl w:val="0"/>
          </w:rPr>
          <w:t xml:space="preserve">https://stanfordhealthcare.org/medical-clinics/pain-management.html</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Pfizer. (2002). Newest Vital Sign Toolkit. Retrieved November 12, 2016, from Pfizer, </w:t>
      </w:r>
      <w:hyperlink r:id="rId13">
        <w:r w:rsidDel="00000000" w:rsidR="00000000" w:rsidRPr="00000000">
          <w:rPr>
            <w:rFonts w:ascii="Times New Roman" w:cs="Times New Roman" w:eastAsia="Times New Roman" w:hAnsi="Times New Roman"/>
            <w:color w:val="1155cc"/>
            <w:sz w:val="20"/>
            <w:szCs w:val="20"/>
            <w:highlight w:val="white"/>
            <w:u w:val="single"/>
            <w:rtl w:val="0"/>
          </w:rPr>
          <w:t xml:space="preserve">http://www.pfizer.com/health/literacy/public_policy_researchers/nvs_toolkit</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Project ECHO Colorado. (2015, September 26). Retrieved November 12, 2016, from https://echocolorado.org/partners-2/</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sz w:val="20"/>
          <w:szCs w:val="20"/>
          <w:shd w:fill="fafbfb" w:val="clear"/>
        </w:rPr>
      </w:pPr>
      <w:r w:rsidDel="00000000" w:rsidR="00000000" w:rsidRPr="00000000">
        <w:rPr>
          <w:rFonts w:ascii="Times New Roman" w:cs="Times New Roman" w:eastAsia="Times New Roman" w:hAnsi="Times New Roman"/>
          <w:sz w:val="20"/>
          <w:szCs w:val="20"/>
          <w:rtl w:val="0"/>
        </w:rPr>
        <w:t xml:space="preserve">Rowbotham, M. C. (2012). </w:t>
      </w:r>
      <w:r w:rsidDel="00000000" w:rsidR="00000000" w:rsidRPr="00000000">
        <w:rPr>
          <w:rFonts w:ascii="Times New Roman" w:cs="Times New Roman" w:eastAsia="Times New Roman" w:hAnsi="Times New Roman"/>
          <w:i w:val="1"/>
          <w:sz w:val="20"/>
          <w:szCs w:val="20"/>
          <w:rtl w:val="0"/>
        </w:rPr>
        <w:t xml:space="preserve">What alternatives are there to the use of opioid analgesics in the treatment of chronic pain in light of existing evidence and its limitations?</w:t>
      </w:r>
      <w:r w:rsidDel="00000000" w:rsidR="00000000" w:rsidRPr="00000000">
        <w:rPr>
          <w:rFonts w:ascii="Times New Roman" w:cs="Times New Roman" w:eastAsia="Times New Roman" w:hAnsi="Times New Roman"/>
          <w:sz w:val="20"/>
          <w:szCs w:val="20"/>
          <w:rtl w:val="0"/>
        </w:rPr>
        <w:t xml:space="preserve"> Retrieved from http://www.fda.gov/downloads/drugs/newsevents/ucm307837.pdf</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sz w:val="20"/>
          <w:szCs w:val="20"/>
          <w:shd w:fill="fafbfb" w:val="clear"/>
        </w:rPr>
      </w:pPr>
      <w:r w:rsidDel="00000000" w:rsidR="00000000" w:rsidRPr="00000000">
        <w:rPr>
          <w:rFonts w:ascii="Times New Roman" w:cs="Times New Roman" w:eastAsia="Times New Roman" w:hAnsi="Times New Roman"/>
          <w:sz w:val="20"/>
          <w:szCs w:val="20"/>
          <w:rtl w:val="0"/>
        </w:rPr>
        <w:t xml:space="preserve">Stanaway, N. (2016, May 23). Community Paramedic Program Cuts Mental Health Patient Call Volume. Retrieved November 12, 2016, from EMS, </w:t>
      </w:r>
      <w:hyperlink r:id="rId14">
        <w:r w:rsidDel="00000000" w:rsidR="00000000" w:rsidRPr="00000000">
          <w:rPr>
            <w:rFonts w:ascii="Times New Roman" w:cs="Times New Roman" w:eastAsia="Times New Roman" w:hAnsi="Times New Roman"/>
            <w:color w:val="1155cc"/>
            <w:sz w:val="20"/>
            <w:szCs w:val="20"/>
            <w:u w:val="single"/>
            <w:rtl w:val="0"/>
          </w:rPr>
          <w:t xml:space="preserve">https://www.ems1.com/community-paramedicine/articles/93357048-Community-paramedic-program-cuts-mental-health-patient-call-volume/</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sz w:val="20"/>
          <w:szCs w:val="20"/>
          <w:shd w:fill="fafbfb"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333333"/>
          <w:sz w:val="20"/>
          <w:szCs w:val="20"/>
          <w:shd w:fill="fafbfb" w:val="clear"/>
        </w:rPr>
      </w:pPr>
      <w:r w:rsidDel="00000000" w:rsidR="00000000" w:rsidRPr="00000000">
        <w:rPr>
          <w:rFonts w:ascii="Times New Roman" w:cs="Times New Roman" w:eastAsia="Times New Roman" w:hAnsi="Times New Roman"/>
          <w:color w:val="333333"/>
          <w:sz w:val="20"/>
          <w:szCs w:val="20"/>
          <w:shd w:fill="fafbfb" w:val="clear"/>
          <w:rtl w:val="0"/>
        </w:rPr>
        <w:t xml:space="preserve">Stanos S. Focused review of interdisciplinary pain rehabilitation programs for chronic pain management. </w:t>
      </w:r>
      <w:r w:rsidDel="00000000" w:rsidR="00000000" w:rsidRPr="00000000">
        <w:rPr>
          <w:rFonts w:ascii="Times New Roman" w:cs="Times New Roman" w:eastAsia="Times New Roman" w:hAnsi="Times New Roman"/>
          <w:i w:val="1"/>
          <w:color w:val="333333"/>
          <w:sz w:val="20"/>
          <w:szCs w:val="20"/>
          <w:shd w:fill="fafbfb" w:val="clear"/>
          <w:rtl w:val="0"/>
        </w:rPr>
        <w:t xml:space="preserve">Curr Pain Headache Rep</w:t>
      </w:r>
      <w:r w:rsidDel="00000000" w:rsidR="00000000" w:rsidRPr="00000000">
        <w:rPr>
          <w:rFonts w:ascii="Times New Roman" w:cs="Times New Roman" w:eastAsia="Times New Roman" w:hAnsi="Times New Roman"/>
          <w:color w:val="333333"/>
          <w:sz w:val="20"/>
          <w:szCs w:val="20"/>
          <w:shd w:fill="fafbfb" w:val="clear"/>
          <w:rtl w:val="0"/>
        </w:rPr>
        <w:t xml:space="preserve">. 2012;16:147-152.</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sz w:val="20"/>
          <w:szCs w:val="20"/>
          <w:shd w:fill="fafbfb" w:val="clear"/>
        </w:rPr>
      </w:pPr>
      <w:r w:rsidDel="00000000" w:rsidR="00000000" w:rsidRPr="00000000">
        <w:rPr>
          <w:rFonts w:ascii="Times New Roman" w:cs="Times New Roman" w:eastAsia="Times New Roman" w:hAnsi="Times New Roman"/>
          <w:sz w:val="20"/>
          <w:szCs w:val="20"/>
          <w:rtl w:val="0"/>
        </w:rPr>
        <w:t xml:space="preserve">Strategies to Reduce Prescription Drug Abuse Lessons Learned from the ACAP SUD Collaborative. (2015). . Retrieved from http://www.communityplans.net/portals/0/fact%20sheets/ACAP_Substance_Use_Disorder_Toolkit.pdf</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Sullivan, M. D., Edlund, M. J., Zhang, L., Unützer, J., &amp; Wells, K. B. (2006). Association between mental health disorders, problem drug use, and regular prescription Opioid use. </w:t>
      </w:r>
      <w:r w:rsidDel="00000000" w:rsidR="00000000" w:rsidRPr="00000000">
        <w:rPr>
          <w:rFonts w:ascii="Times New Roman" w:cs="Times New Roman" w:eastAsia="Times New Roman" w:hAnsi="Times New Roman"/>
          <w:i w:val="1"/>
          <w:sz w:val="20"/>
          <w:szCs w:val="20"/>
          <w:highlight w:val="white"/>
          <w:rtl w:val="0"/>
        </w:rPr>
        <w:t xml:space="preserve">Archives of Internal Medicine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166</w:t>
      </w:r>
      <w:r w:rsidDel="00000000" w:rsidR="00000000" w:rsidRPr="00000000">
        <w:rPr>
          <w:rFonts w:ascii="Times New Roman" w:cs="Times New Roman" w:eastAsia="Times New Roman" w:hAnsi="Times New Roman"/>
          <w:sz w:val="20"/>
          <w:szCs w:val="20"/>
          <w:highlight w:val="white"/>
          <w:rtl w:val="0"/>
        </w:rPr>
        <w:t xml:space="preserve">(19), 2087. doi:10.1001/archinte.166.19.2087</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Health Law Firm (2011, December ). Recent Changes to Florida’s Pain Management Laws 2011-2012. Retrieved November 12, 2016, from The Health Law Firm, </w:t>
      </w:r>
      <w:hyperlink r:id="rId15">
        <w:r w:rsidDel="00000000" w:rsidR="00000000" w:rsidRPr="00000000">
          <w:rPr>
            <w:rFonts w:ascii="Times New Roman" w:cs="Times New Roman" w:eastAsia="Times New Roman" w:hAnsi="Times New Roman"/>
            <w:color w:val="1155cc"/>
            <w:sz w:val="20"/>
            <w:szCs w:val="20"/>
            <w:u w:val="single"/>
            <w:rtl w:val="0"/>
          </w:rPr>
          <w:t xml:space="preserve">http://www.thehealthlawfirm.com/resources/health-law-articles-and-documents/florida-pain-management-laws.html</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Turk DC, Stanos SP, Palermo ™, et al. (2010). Interdisciplinary Pain Management, Glenview, IL: American Pain Society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Turk DC, Wilson HD, Cahana A. (2011)  Treatment of chronic non-cancer pain. Lancet.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sectPr>
      <w:headerReference r:id="rId16" w:type="default"/>
      <w:pgSz w:h="15840" w:w="12240" w:orient="portrait"/>
      <w:pgMar w:bottom="1440" w:top="1440" w:left="990" w:right="8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Bridget Balkaran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Diana Ir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Mayra Gallegos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Nicholas Tomlinson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tc.gov/tips-advice/business-center/guidance/mobile-health-apps-interactive-tool" TargetMode="External"/><Relationship Id="rId10" Type="http://schemas.openxmlformats.org/officeDocument/2006/relationships/hyperlink" Target="http://www.webmd.com/anxiety-panic/guide/mental-health-hypnotherapy?page=2" TargetMode="External"/><Relationship Id="rId13" Type="http://schemas.openxmlformats.org/officeDocument/2006/relationships/hyperlink" Target="http://www.pfizer.com/health/literacy/public_policy_researchers/nvs_toolkit" TargetMode="External"/><Relationship Id="rId12" Type="http://schemas.openxmlformats.org/officeDocument/2006/relationships/hyperlink" Target="https://stanfordhealthcare.org/medical-clinics/pain-manag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nverhealth.org" TargetMode="External"/><Relationship Id="rId15" Type="http://schemas.openxmlformats.org/officeDocument/2006/relationships/hyperlink" Target="http://www.thehealthlawfirm.com/resources/health-law-articles-and-documents/florida-pain-management-laws.html" TargetMode="External"/><Relationship Id="rId14" Type="http://schemas.openxmlformats.org/officeDocument/2006/relationships/hyperlink" Target="https://www.ems1.com/community-paramedicine/articles/93357048-Community-paramedic-program-cuts-mental-health-patient-call-volume/"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acucol.com/http/acucol.com/acupuncturists-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