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Ind w:w="0" w:type="dxa"/>
        <w:tblBorders>
          <w:top w:val="single" w:color="DFDFDF" w:sz="2" w:space="0"/>
          <w:left w:val="single" w:color="DFDFDF" w:sz="2" w:space="0"/>
          <w:bottom w:val="single" w:color="DFDFDF" w:sz="2" w:space="0"/>
          <w:right w:val="single" w:color="DFDFDF" w:sz="2" w:space="0"/>
          <w:insideH w:val="none" w:color="auto" w:sz="0" w:space="0"/>
          <w:insideV w:val="none" w:color="auto" w:sz="0" w:space="0"/>
        </w:tblBorders>
        <w:shd w:val="clear" w:color="auto" w:fill="131417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962"/>
        <w:gridCol w:w="4504"/>
      </w:tblGrid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131417"/>
            <w:tcMar>
              <w:top w:w="100" w:type="dxa"/>
              <w:left w:w="60" w:type="dxa"/>
              <w:bottom w:w="100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FFFFFF" w:themeColor="background1"/>
                <w:spacing w:val="2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bg1"/>
                  </w14:solidFill>
                </w14:textFill>
              </w:rPr>
              <w:t>MVC(Model View Controller)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131417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00" w:afterAutospacing="0"/>
              <w:ind w:left="0" w:right="0"/>
              <w:jc w:val="center"/>
              <w:textAlignment w:val="baseline"/>
              <w:rPr>
                <w:rFonts w:hint="default" w:ascii="Times New Roman" w:hAnsi="Times New Roman" w:cs="Times New Roman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b/>
                <w:bCs/>
                <w:i w:val="0"/>
                <w:iCs w:val="0"/>
                <w:caps w:val="0"/>
                <w:color w:val="FFFFFF" w:themeColor="background1"/>
                <w:spacing w:val="2"/>
                <w:sz w:val="28"/>
                <w:szCs w:val="28"/>
                <w:bdr w:val="none" w:color="auto" w:sz="0" w:space="0"/>
                <w:vertAlign w:val="baseline"/>
                <w14:textFill>
                  <w14:solidFill>
                    <w14:schemeClr w14:val="bg1"/>
                  </w14:solidFill>
                </w14:textFill>
              </w:rPr>
              <w:t>MVVM(Model View ViewModel)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131417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kern w:val="0"/>
                <w:sz w:val="28"/>
                <w:szCs w:val="28"/>
                <w:bdr w:val="none" w:color="auto" w:sz="0" w:space="0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Oldest android app architecture.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131417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kern w:val="0"/>
                <w:sz w:val="28"/>
                <w:szCs w:val="28"/>
                <w:bdr w:val="none" w:color="auto" w:sz="0" w:space="0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Industry-recognized architecture pattern for applications.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131417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kern w:val="0"/>
                <w:sz w:val="28"/>
                <w:szCs w:val="28"/>
                <w:bdr w:val="none" w:color="auto" w:sz="0" w:space="0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User Inputs are handled by the </w:t>
            </w:r>
            <w:r>
              <w:rPr>
                <w:rStyle w:val="5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Controller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kern w:val="0"/>
                <w:sz w:val="28"/>
                <w:szCs w:val="28"/>
                <w:bdr w:val="none" w:color="auto" w:sz="0" w:space="0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131417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kern w:val="0"/>
                <w:sz w:val="28"/>
                <w:szCs w:val="28"/>
                <w:bdr w:val="none" w:color="auto" w:sz="0" w:space="0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The </w:t>
            </w:r>
            <w:r>
              <w:rPr>
                <w:rStyle w:val="5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View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kern w:val="0"/>
                <w:sz w:val="28"/>
                <w:szCs w:val="28"/>
                <w:bdr w:val="none" w:color="auto" w:sz="0" w:space="0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takes the input from the user and acts as the entry point of the application.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131417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131417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Style w:val="5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Controller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kern w:val="0"/>
                <w:sz w:val="28"/>
                <w:szCs w:val="28"/>
                <w:bdr w:val="none" w:color="auto" w:sz="0" w:space="0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and </w:t>
            </w:r>
            <w:r>
              <w:rPr>
                <w:rStyle w:val="5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View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kern w:val="0"/>
                <w:sz w:val="28"/>
                <w:szCs w:val="28"/>
                <w:bdr w:val="none" w:color="auto" w:sz="0" w:space="0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exist with the one-to-many relationship. One </w:t>
            </w:r>
            <w:r>
              <w:rPr>
                <w:rStyle w:val="5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Controller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kern w:val="0"/>
                <w:sz w:val="28"/>
                <w:szCs w:val="28"/>
                <w:bdr w:val="none" w:color="auto" w:sz="0" w:space="0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can select different </w:t>
            </w:r>
            <w:r>
              <w:rPr>
                <w:rStyle w:val="5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View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kern w:val="0"/>
                <w:sz w:val="28"/>
                <w:szCs w:val="28"/>
                <w:bdr w:val="none" w:color="auto" w:sz="0" w:space="0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based upon required operation.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131417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kern w:val="0"/>
                <w:sz w:val="28"/>
                <w:szCs w:val="28"/>
                <w:bdr w:val="none" w:color="auto" w:sz="0" w:space="0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Multiple </w:t>
            </w:r>
            <w:r>
              <w:rPr>
                <w:rStyle w:val="5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View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kern w:val="0"/>
                <w:sz w:val="28"/>
                <w:szCs w:val="28"/>
                <w:bdr w:val="none" w:color="auto" w:sz="0" w:space="0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can be mapped with single </w:t>
            </w:r>
            <w:r>
              <w:rPr>
                <w:rStyle w:val="5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ViewModel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kern w:val="0"/>
                <w:sz w:val="28"/>
                <w:szCs w:val="28"/>
                <w:bdr w:val="none" w:color="auto" w:sz="0" w:space="0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and thus, the one-to-many relationship exists between </w:t>
            </w:r>
            <w:r>
              <w:rPr>
                <w:rStyle w:val="5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View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kern w:val="0"/>
                <w:sz w:val="28"/>
                <w:szCs w:val="28"/>
                <w:bdr w:val="none" w:color="auto" w:sz="0" w:space="0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 and </w:t>
            </w:r>
            <w:r>
              <w:rPr>
                <w:rStyle w:val="5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ViewModel.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131417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kern w:val="0"/>
                <w:sz w:val="28"/>
                <w:szCs w:val="28"/>
                <w:bdr w:val="none" w:color="auto" w:sz="0" w:space="0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The </w:t>
            </w:r>
            <w:r>
              <w:rPr>
                <w:rStyle w:val="5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View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kern w:val="0"/>
                <w:sz w:val="28"/>
                <w:szCs w:val="28"/>
                <w:bdr w:val="none" w:color="auto" w:sz="0" w:space="0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has no knowledge about the </w:t>
            </w:r>
            <w:r>
              <w:rPr>
                <w:rStyle w:val="5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Controller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kern w:val="0"/>
                <w:sz w:val="28"/>
                <w:szCs w:val="28"/>
                <w:bdr w:val="none" w:color="auto" w:sz="0" w:space="0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131417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kern w:val="0"/>
                <w:sz w:val="28"/>
                <w:szCs w:val="28"/>
                <w:bdr w:val="none" w:color="auto" w:sz="0" w:space="0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The </w:t>
            </w:r>
            <w:r>
              <w:rPr>
                <w:rStyle w:val="5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View 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kern w:val="0"/>
                <w:sz w:val="28"/>
                <w:szCs w:val="28"/>
                <w:bdr w:val="none" w:color="auto" w:sz="0" w:space="0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has reference to the </w:t>
            </w:r>
            <w:r>
              <w:rPr>
                <w:rStyle w:val="5"/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ViewModel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kern w:val="0"/>
                <w:sz w:val="28"/>
                <w:szCs w:val="28"/>
                <w:bdr w:val="none" w:color="auto" w:sz="0" w:space="0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131417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kern w:val="0"/>
                <w:sz w:val="28"/>
                <w:szCs w:val="28"/>
                <w:bdr w:val="none" w:color="auto" w:sz="0" w:space="0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This architecture has high dependency on the Android APIs. 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131417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kern w:val="0"/>
                <w:sz w:val="28"/>
                <w:szCs w:val="28"/>
                <w:bdr w:val="none" w:color="auto" w:sz="0" w:space="0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Has low or no dependency on the Android APIs.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131417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kern w:val="0"/>
                <w:sz w:val="28"/>
                <w:szCs w:val="28"/>
                <w:bdr w:val="none" w:color="auto" w:sz="0" w:space="0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Difficult to make changes and modify the app features as the code layers are tightly coupoled.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131417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kern w:val="0"/>
                <w:sz w:val="28"/>
                <w:szCs w:val="28"/>
                <w:bdr w:val="none" w:color="auto" w:sz="0" w:space="0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Easy to make changes in application. Howerver, if data binding logic is too complex, it will be a little harder to debug the application.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131417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kern w:val="0"/>
                <w:sz w:val="28"/>
                <w:szCs w:val="28"/>
                <w:bdr w:val="none" w:color="auto" w:sz="0" w:space="0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Limited support to Unit testing.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131417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kern w:val="0"/>
                <w:sz w:val="28"/>
                <w:szCs w:val="28"/>
                <w:bdr w:val="none" w:color="auto" w:sz="0" w:space="0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Unit testability is highest in this architecture.</w:t>
            </w:r>
          </w:p>
        </w:tc>
      </w:tr>
      <w:tr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131417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kern w:val="0"/>
                <w:sz w:val="28"/>
                <w:szCs w:val="28"/>
                <w:bdr w:val="none" w:color="auto" w:sz="0" w:space="0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It does not follow modular and single responsibility principle.</w:t>
            </w:r>
          </w:p>
        </w:tc>
        <w:tc>
          <w:tcPr>
            <w:tcW w:w="0" w:type="auto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131417"/>
            <w:tcMar>
              <w:top w:w="140" w:type="dxa"/>
              <w:left w:w="100" w:type="dxa"/>
              <w:bottom w:w="140" w:type="dxa"/>
              <w:right w:w="10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FFFFFF" w:themeColor="background1"/>
                <w:spacing w:val="2"/>
                <w:kern w:val="0"/>
                <w:sz w:val="28"/>
                <w:szCs w:val="28"/>
                <w:bdr w:val="none" w:color="auto" w:sz="0" w:space="0"/>
                <w:lang w:val="en-US" w:eastAsia="zh-CN" w:bidi="ar"/>
                <w14:textFill>
                  <w14:solidFill>
                    <w14:schemeClr w14:val="bg1"/>
                  </w14:solidFill>
                </w14:textFill>
              </w:rPr>
              <w:t>Follows modular and single responsibility principle.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25159C"/>
    <w:rsid w:val="31DC6E5B"/>
    <w:rsid w:val="6625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258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2024-04-26T10:08:00Z</dcterms:created>
  <dc:creator>google1576764626</dc:creator>
  <cp:lastModifiedBy>google1576764626</cp:lastModifiedBy>
  <dcterms:modified xsi:type="dcterms:W3CDTF">2024-04-26T14:27:27Z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E64A2418A74D439F92EA5DC27CA9F6A2_11</vt:lpwstr>
  </property>
</Properties>
</file>