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A24" w:rsidRDefault="006D7A24" w:rsidP="006D7A24">
      <w:pPr>
        <w:jc w:val="both"/>
        <w:rPr>
          <w:sz w:val="28"/>
          <w:szCs w:val="28"/>
        </w:rPr>
      </w:pPr>
      <w:r>
        <w:rPr>
          <w:noProof/>
          <w:lang w:eastAsia="fr-FR"/>
        </w:rPr>
        <w:drawing>
          <wp:inline distT="0" distB="0" distL="0" distR="0" wp14:anchorId="780E569E" wp14:editId="591DEDB3">
            <wp:extent cx="1450800" cy="752400"/>
            <wp:effectExtent l="0" t="0" r="0" b="0"/>
            <wp:docPr id="4241"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 name="Picture 12" descr="imag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0800" cy="752400"/>
                    </a:xfrm>
                    <a:prstGeom prst="rect">
                      <a:avLst/>
                    </a:prstGeom>
                    <a:noFill/>
                    <a:ln>
                      <a:noFill/>
                    </a:ln>
                    <a:extLst/>
                  </pic:spPr>
                </pic:pic>
              </a:graphicData>
            </a:graphic>
          </wp:inline>
        </w:drawing>
      </w:r>
      <w:bookmarkStart w:id="0" w:name="_GoBack"/>
      <w:bookmarkEnd w:id="0"/>
    </w:p>
    <w:p w:rsidR="006F4945" w:rsidRPr="002F042C" w:rsidRDefault="00AC4808" w:rsidP="002F042C">
      <w:pPr>
        <w:jc w:val="center"/>
        <w:rPr>
          <w:sz w:val="28"/>
          <w:szCs w:val="28"/>
        </w:rPr>
      </w:pPr>
      <w:r w:rsidRPr="002F042C">
        <w:rPr>
          <w:sz w:val="28"/>
          <w:szCs w:val="28"/>
        </w:rPr>
        <w:t>Optimiser les économies d’Energie après la pose d’un VARILUM</w:t>
      </w:r>
    </w:p>
    <w:p w:rsidR="00AC4808" w:rsidRDefault="00AC4808"/>
    <w:p w:rsidR="00AC4808" w:rsidRDefault="00AC4808">
      <w:r>
        <w:t>Après l’installation d’un VARILUM, il est nécessaire d’en optimiser l’efficacité et de trouver un compromis entre besoin d’éclairement et économies.</w:t>
      </w:r>
    </w:p>
    <w:p w:rsidR="002F042C" w:rsidRDefault="002F042C"/>
    <w:p w:rsidR="00AC4808" w:rsidRDefault="00AC4808" w:rsidP="00AC4808">
      <w:pPr>
        <w:pStyle w:val="Paragraphedeliste"/>
        <w:numPr>
          <w:ilvl w:val="0"/>
          <w:numId w:val="1"/>
        </w:numPr>
      </w:pPr>
      <w:r>
        <w:t>Position du Commutateur en fonction de la puissance de l’Armoire EP</w:t>
      </w:r>
    </w:p>
    <w:p w:rsidR="00AC4808" w:rsidRDefault="00AC4808">
      <w:r>
        <w:t>A titre indicatif, nous conseillons selon la puissance d’armoire d’atteindre les niveaux d’abaissement de tension suivants :</w:t>
      </w:r>
    </w:p>
    <w:tbl>
      <w:tblPr>
        <w:tblStyle w:val="Grilledutableau"/>
        <w:tblW w:w="5621" w:type="dxa"/>
        <w:tblInd w:w="1726" w:type="dxa"/>
        <w:tblLook w:val="04A0" w:firstRow="1" w:lastRow="0" w:firstColumn="1" w:lastColumn="0" w:noHBand="0" w:noVBand="1"/>
      </w:tblPr>
      <w:tblGrid>
        <w:gridCol w:w="2077"/>
        <w:gridCol w:w="1559"/>
        <w:gridCol w:w="1985"/>
      </w:tblGrid>
      <w:tr w:rsidR="00AC4808" w:rsidTr="00AC4808">
        <w:tc>
          <w:tcPr>
            <w:tcW w:w="2077" w:type="dxa"/>
          </w:tcPr>
          <w:p w:rsidR="00AC4808" w:rsidRDefault="00AC4808" w:rsidP="002D0D65">
            <w:pPr>
              <w:jc w:val="center"/>
            </w:pPr>
            <w:r>
              <w:t>Position commutateur</w:t>
            </w:r>
          </w:p>
        </w:tc>
        <w:tc>
          <w:tcPr>
            <w:tcW w:w="1559" w:type="dxa"/>
          </w:tcPr>
          <w:p w:rsidR="00AC4808" w:rsidRDefault="00AC4808" w:rsidP="002D0D65">
            <w:pPr>
              <w:jc w:val="center"/>
            </w:pPr>
            <w:r>
              <w:t>Economies</w:t>
            </w:r>
          </w:p>
          <w:p w:rsidR="00AC4808" w:rsidRDefault="00AC4808" w:rsidP="002D0D65">
            <w:pPr>
              <w:jc w:val="center"/>
            </w:pPr>
            <w:r>
              <w:t>Potentielles (%)</w:t>
            </w:r>
          </w:p>
        </w:tc>
        <w:tc>
          <w:tcPr>
            <w:tcW w:w="1985" w:type="dxa"/>
          </w:tcPr>
          <w:p w:rsidR="00AC4808" w:rsidRDefault="00AC4808" w:rsidP="002D0D65">
            <w:pPr>
              <w:jc w:val="center"/>
            </w:pPr>
            <w:r>
              <w:t>Puissance de l’armoire EP</w:t>
            </w:r>
          </w:p>
          <w:p w:rsidR="00AC4808" w:rsidRDefault="00AC4808" w:rsidP="002D0D65">
            <w:pPr>
              <w:jc w:val="center"/>
            </w:pPr>
            <w:r>
              <w:t>(</w:t>
            </w:r>
            <w:proofErr w:type="spellStart"/>
            <w:r>
              <w:t>kVA</w:t>
            </w:r>
            <w:proofErr w:type="spellEnd"/>
            <w:r>
              <w:t>)</w:t>
            </w:r>
          </w:p>
        </w:tc>
      </w:tr>
      <w:tr w:rsidR="00AC4808" w:rsidTr="00AC4808">
        <w:tc>
          <w:tcPr>
            <w:tcW w:w="2077" w:type="dxa"/>
          </w:tcPr>
          <w:p w:rsidR="00AC4808" w:rsidRDefault="00AC4808" w:rsidP="002D0D65">
            <w:pPr>
              <w:jc w:val="center"/>
            </w:pPr>
            <w:r>
              <w:t xml:space="preserve">By </w:t>
            </w:r>
            <w:proofErr w:type="spellStart"/>
            <w:r>
              <w:t>pass</w:t>
            </w:r>
            <w:proofErr w:type="spellEnd"/>
          </w:p>
        </w:tc>
        <w:tc>
          <w:tcPr>
            <w:tcW w:w="1559" w:type="dxa"/>
          </w:tcPr>
          <w:p w:rsidR="00AC4808" w:rsidRDefault="00AC4808" w:rsidP="00AC4808">
            <w:pPr>
              <w:jc w:val="center"/>
            </w:pPr>
            <w:r>
              <w:t>0</w:t>
            </w:r>
          </w:p>
        </w:tc>
        <w:tc>
          <w:tcPr>
            <w:tcW w:w="1985" w:type="dxa"/>
          </w:tcPr>
          <w:p w:rsidR="00AC4808" w:rsidRDefault="00AC4808" w:rsidP="002D0D65">
            <w:pPr>
              <w:jc w:val="center"/>
            </w:pPr>
          </w:p>
        </w:tc>
      </w:tr>
      <w:tr w:rsidR="00AC4808" w:rsidTr="00AC4808">
        <w:tc>
          <w:tcPr>
            <w:tcW w:w="2077" w:type="dxa"/>
          </w:tcPr>
          <w:p w:rsidR="00AC4808" w:rsidRDefault="00AC4808" w:rsidP="002D0D65">
            <w:pPr>
              <w:jc w:val="center"/>
            </w:pPr>
            <w:r>
              <w:t>- 20 V</w:t>
            </w:r>
          </w:p>
        </w:tc>
        <w:tc>
          <w:tcPr>
            <w:tcW w:w="1559" w:type="dxa"/>
          </w:tcPr>
          <w:p w:rsidR="00AC4808" w:rsidRDefault="00AC4808" w:rsidP="002D0D65">
            <w:pPr>
              <w:jc w:val="center"/>
            </w:pPr>
            <w:r>
              <w:t>17</w:t>
            </w:r>
          </w:p>
        </w:tc>
        <w:tc>
          <w:tcPr>
            <w:tcW w:w="1985" w:type="dxa"/>
          </w:tcPr>
          <w:p w:rsidR="00AC4808" w:rsidRDefault="00B76D48" w:rsidP="002D0D65">
            <w:pPr>
              <w:jc w:val="center"/>
            </w:pPr>
            <w:r>
              <w:t>10</w:t>
            </w:r>
            <w:r w:rsidR="00AC4808">
              <w:t xml:space="preserve"> à 12</w:t>
            </w:r>
          </w:p>
        </w:tc>
      </w:tr>
      <w:tr w:rsidR="00AC4808" w:rsidTr="00AC4808">
        <w:tc>
          <w:tcPr>
            <w:tcW w:w="2077" w:type="dxa"/>
          </w:tcPr>
          <w:p w:rsidR="00AC4808" w:rsidRDefault="00AC4808" w:rsidP="002D0D65">
            <w:pPr>
              <w:jc w:val="center"/>
            </w:pPr>
            <w:r>
              <w:t>- 25 V</w:t>
            </w:r>
          </w:p>
        </w:tc>
        <w:tc>
          <w:tcPr>
            <w:tcW w:w="1559" w:type="dxa"/>
          </w:tcPr>
          <w:p w:rsidR="00AC4808" w:rsidRDefault="00AC4808" w:rsidP="002D0D65">
            <w:pPr>
              <w:jc w:val="center"/>
            </w:pPr>
            <w:r>
              <w:t>20</w:t>
            </w:r>
          </w:p>
        </w:tc>
        <w:tc>
          <w:tcPr>
            <w:tcW w:w="1985" w:type="dxa"/>
          </w:tcPr>
          <w:p w:rsidR="00AC4808" w:rsidRDefault="00B76D48" w:rsidP="002D0D65">
            <w:pPr>
              <w:jc w:val="center"/>
            </w:pPr>
            <w:r>
              <w:t>10</w:t>
            </w:r>
            <w:r w:rsidR="00AC4808">
              <w:t xml:space="preserve"> à 12</w:t>
            </w:r>
          </w:p>
        </w:tc>
      </w:tr>
      <w:tr w:rsidR="00AC4808" w:rsidTr="00AC4808">
        <w:tc>
          <w:tcPr>
            <w:tcW w:w="2077" w:type="dxa"/>
          </w:tcPr>
          <w:p w:rsidR="00AC4808" w:rsidRDefault="00AC4808" w:rsidP="002D0D65">
            <w:pPr>
              <w:jc w:val="center"/>
            </w:pPr>
            <w:r>
              <w:t>- 35 V</w:t>
            </w:r>
          </w:p>
        </w:tc>
        <w:tc>
          <w:tcPr>
            <w:tcW w:w="1559" w:type="dxa"/>
          </w:tcPr>
          <w:p w:rsidR="00AC4808" w:rsidRDefault="00AC4808" w:rsidP="002D0D65">
            <w:pPr>
              <w:jc w:val="center"/>
            </w:pPr>
            <w:r>
              <w:t>25 à 30</w:t>
            </w:r>
          </w:p>
        </w:tc>
        <w:tc>
          <w:tcPr>
            <w:tcW w:w="1985" w:type="dxa"/>
          </w:tcPr>
          <w:p w:rsidR="00AC4808" w:rsidRDefault="00AC4808" w:rsidP="00B76D48">
            <w:pPr>
              <w:jc w:val="center"/>
            </w:pPr>
            <w:r>
              <w:t xml:space="preserve">5 à </w:t>
            </w:r>
            <w:r w:rsidR="00B76D48">
              <w:t>10</w:t>
            </w:r>
          </w:p>
        </w:tc>
      </w:tr>
      <w:tr w:rsidR="00AC4808" w:rsidTr="00AC4808">
        <w:tc>
          <w:tcPr>
            <w:tcW w:w="2077" w:type="dxa"/>
          </w:tcPr>
          <w:p w:rsidR="00AC4808" w:rsidRDefault="00AC4808" w:rsidP="002D0D65">
            <w:pPr>
              <w:jc w:val="center"/>
            </w:pPr>
            <w:r>
              <w:t>- 45 V</w:t>
            </w:r>
          </w:p>
        </w:tc>
        <w:tc>
          <w:tcPr>
            <w:tcW w:w="1559" w:type="dxa"/>
          </w:tcPr>
          <w:p w:rsidR="00AC4808" w:rsidRDefault="00AC4808" w:rsidP="002D0D65">
            <w:pPr>
              <w:jc w:val="center"/>
            </w:pPr>
            <w:r>
              <w:t>30 à +</w:t>
            </w:r>
          </w:p>
        </w:tc>
        <w:tc>
          <w:tcPr>
            <w:tcW w:w="1985" w:type="dxa"/>
          </w:tcPr>
          <w:p w:rsidR="00AC4808" w:rsidRDefault="00AC4808" w:rsidP="002D0D65">
            <w:pPr>
              <w:jc w:val="center"/>
            </w:pPr>
            <w:r>
              <w:t>&lt; 4</w:t>
            </w:r>
          </w:p>
        </w:tc>
      </w:tr>
    </w:tbl>
    <w:p w:rsidR="00AC4808" w:rsidRDefault="00AC4808" w:rsidP="00AC4808"/>
    <w:p w:rsidR="00B76D48" w:rsidRDefault="00B76D48" w:rsidP="00AC4808">
      <w:r>
        <w:t xml:space="preserve">Bien entendu, ces </w:t>
      </w:r>
      <w:r w:rsidR="002F042C">
        <w:t>positions</w:t>
      </w:r>
      <w:r>
        <w:t xml:space="preserve"> </w:t>
      </w:r>
      <w:r w:rsidR="002F042C">
        <w:t>doivent éventuellement tenir compte</w:t>
      </w:r>
      <w:r>
        <w:t xml:space="preserve"> des longueurs des réseaux.</w:t>
      </w:r>
    </w:p>
    <w:p w:rsidR="002F042C" w:rsidRDefault="002F042C" w:rsidP="00AC4808"/>
    <w:p w:rsidR="00AC4808" w:rsidRDefault="00AC4808" w:rsidP="00AC4808">
      <w:pPr>
        <w:pStyle w:val="Paragraphedeliste"/>
        <w:numPr>
          <w:ilvl w:val="0"/>
          <w:numId w:val="1"/>
        </w:numPr>
      </w:pPr>
      <w:r>
        <w:t>Maintenance Prédictive</w:t>
      </w:r>
    </w:p>
    <w:p w:rsidR="00AC4808" w:rsidRDefault="00AC4808" w:rsidP="00AC4808">
      <w:r>
        <w:t>Du fait de son mode de fonctionnement (allumage à froid à tension abaissée), un nombre (aléatoire) de lampes peut ne pas s’allumer aux différentes positions du commutateur.</w:t>
      </w:r>
    </w:p>
    <w:p w:rsidR="00AC4808" w:rsidRDefault="00AC4808" w:rsidP="00AC4808">
      <w:r>
        <w:t>Prenons l’exemple concret observé dans une commune :</w:t>
      </w:r>
    </w:p>
    <w:p w:rsidR="00AC4808" w:rsidRDefault="00AC4808" w:rsidP="00AC4808">
      <w:r>
        <w:t>Le réseau de lampes est constitué de 32 lampes SHP et de 20 lampes Ballons Fluo</w:t>
      </w:r>
      <w:r w:rsidR="00B76D48">
        <w:t xml:space="preserve"> (puissance de l’armoire = 10.2 </w:t>
      </w:r>
      <w:proofErr w:type="spellStart"/>
      <w:r w:rsidR="00B76D48">
        <w:t>kVA</w:t>
      </w:r>
      <w:proofErr w:type="spellEnd"/>
      <w:r w:rsidR="00B76D48">
        <w:t>)</w:t>
      </w:r>
      <w:r>
        <w:t>.</w:t>
      </w:r>
    </w:p>
    <w:p w:rsidR="00AC4808" w:rsidRDefault="00AC4808" w:rsidP="00AC4808"/>
    <w:tbl>
      <w:tblPr>
        <w:tblStyle w:val="Grilledutableau"/>
        <w:tblW w:w="0" w:type="auto"/>
        <w:tblInd w:w="2176" w:type="dxa"/>
        <w:tblLook w:val="04A0" w:firstRow="1" w:lastRow="0" w:firstColumn="1" w:lastColumn="0" w:noHBand="0" w:noVBand="1"/>
      </w:tblPr>
      <w:tblGrid>
        <w:gridCol w:w="2367"/>
        <w:gridCol w:w="2355"/>
      </w:tblGrid>
      <w:tr w:rsidR="00AC4808" w:rsidTr="00AC4808">
        <w:tc>
          <w:tcPr>
            <w:tcW w:w="2367" w:type="dxa"/>
          </w:tcPr>
          <w:p w:rsidR="00AC4808" w:rsidRDefault="00AC4808" w:rsidP="002D0D65">
            <w:pPr>
              <w:jc w:val="center"/>
            </w:pPr>
            <w:r>
              <w:t>Position commutateur</w:t>
            </w:r>
          </w:p>
        </w:tc>
        <w:tc>
          <w:tcPr>
            <w:tcW w:w="2355" w:type="dxa"/>
          </w:tcPr>
          <w:p w:rsidR="00AC4808" w:rsidRDefault="00AC4808" w:rsidP="002D0D65">
            <w:pPr>
              <w:jc w:val="center"/>
            </w:pPr>
            <w:r>
              <w:t>Lampes qui ne fonctionnent pas</w:t>
            </w:r>
          </w:p>
        </w:tc>
      </w:tr>
      <w:tr w:rsidR="00AC4808" w:rsidTr="00AC4808">
        <w:tc>
          <w:tcPr>
            <w:tcW w:w="2367" w:type="dxa"/>
          </w:tcPr>
          <w:p w:rsidR="00AC4808" w:rsidRDefault="00AC4808" w:rsidP="002D0D65">
            <w:pPr>
              <w:jc w:val="center"/>
            </w:pPr>
            <w:r>
              <w:t xml:space="preserve">By </w:t>
            </w:r>
            <w:proofErr w:type="spellStart"/>
            <w:r>
              <w:t>pass</w:t>
            </w:r>
            <w:proofErr w:type="spellEnd"/>
          </w:p>
        </w:tc>
        <w:tc>
          <w:tcPr>
            <w:tcW w:w="2355" w:type="dxa"/>
          </w:tcPr>
          <w:p w:rsidR="00AC4808" w:rsidRDefault="00AC4808" w:rsidP="002D0D65">
            <w:pPr>
              <w:jc w:val="center"/>
            </w:pPr>
            <w:r>
              <w:t>./.</w:t>
            </w:r>
          </w:p>
        </w:tc>
      </w:tr>
      <w:tr w:rsidR="00AC4808" w:rsidTr="00AC4808">
        <w:tc>
          <w:tcPr>
            <w:tcW w:w="2367" w:type="dxa"/>
          </w:tcPr>
          <w:p w:rsidR="00AC4808" w:rsidRDefault="00AC4808" w:rsidP="002D0D65">
            <w:pPr>
              <w:jc w:val="center"/>
            </w:pPr>
            <w:r>
              <w:t>- 20 V</w:t>
            </w:r>
          </w:p>
        </w:tc>
        <w:tc>
          <w:tcPr>
            <w:tcW w:w="2355" w:type="dxa"/>
          </w:tcPr>
          <w:p w:rsidR="00AC4808" w:rsidRDefault="00AC4808" w:rsidP="002D0D65">
            <w:pPr>
              <w:jc w:val="center"/>
            </w:pPr>
            <w:r>
              <w:t>./.</w:t>
            </w:r>
          </w:p>
        </w:tc>
      </w:tr>
      <w:tr w:rsidR="00AC4808" w:rsidTr="00AC4808">
        <w:tc>
          <w:tcPr>
            <w:tcW w:w="2367" w:type="dxa"/>
          </w:tcPr>
          <w:p w:rsidR="00AC4808" w:rsidRDefault="00AC4808" w:rsidP="002D0D65">
            <w:pPr>
              <w:jc w:val="center"/>
            </w:pPr>
            <w:r>
              <w:t>- 25 V</w:t>
            </w:r>
          </w:p>
        </w:tc>
        <w:tc>
          <w:tcPr>
            <w:tcW w:w="2355" w:type="dxa"/>
          </w:tcPr>
          <w:p w:rsidR="00AC4808" w:rsidRDefault="00AC4808" w:rsidP="002D0D65">
            <w:pPr>
              <w:jc w:val="center"/>
            </w:pPr>
            <w:r>
              <w:t>./.</w:t>
            </w:r>
          </w:p>
        </w:tc>
      </w:tr>
      <w:tr w:rsidR="00AC4808" w:rsidTr="00AC4808">
        <w:tc>
          <w:tcPr>
            <w:tcW w:w="2367" w:type="dxa"/>
          </w:tcPr>
          <w:p w:rsidR="00AC4808" w:rsidRDefault="00AC4808" w:rsidP="002D0D65">
            <w:pPr>
              <w:jc w:val="center"/>
            </w:pPr>
            <w:r>
              <w:t>- 35 V</w:t>
            </w:r>
          </w:p>
        </w:tc>
        <w:tc>
          <w:tcPr>
            <w:tcW w:w="2355" w:type="dxa"/>
          </w:tcPr>
          <w:p w:rsidR="00AC4808" w:rsidRDefault="00AC4808" w:rsidP="002D0D65">
            <w:pPr>
              <w:jc w:val="center"/>
            </w:pPr>
            <w:r>
              <w:t>2 BF</w:t>
            </w:r>
          </w:p>
        </w:tc>
      </w:tr>
      <w:tr w:rsidR="00AC4808" w:rsidTr="00AC4808">
        <w:tc>
          <w:tcPr>
            <w:tcW w:w="2367" w:type="dxa"/>
          </w:tcPr>
          <w:p w:rsidR="00AC4808" w:rsidRDefault="00AC4808" w:rsidP="002D0D65">
            <w:pPr>
              <w:jc w:val="center"/>
            </w:pPr>
            <w:r>
              <w:t>- 45 V</w:t>
            </w:r>
          </w:p>
        </w:tc>
        <w:tc>
          <w:tcPr>
            <w:tcW w:w="2355" w:type="dxa"/>
          </w:tcPr>
          <w:p w:rsidR="00AC4808" w:rsidRDefault="00AC4808" w:rsidP="002D0D65">
            <w:pPr>
              <w:jc w:val="center"/>
            </w:pPr>
            <w:r>
              <w:t>2 BF &amp; 8 SHP</w:t>
            </w:r>
          </w:p>
        </w:tc>
      </w:tr>
    </w:tbl>
    <w:p w:rsidR="00AC4808" w:rsidRDefault="00AC4808" w:rsidP="00AC4808"/>
    <w:p w:rsidR="00AC4808" w:rsidRDefault="00AC4808" w:rsidP="00AC4808">
      <w:r>
        <w:lastRenderedPageBreak/>
        <w:t xml:space="preserve">5 % de lampes ne s’allument pas </w:t>
      </w:r>
      <w:proofErr w:type="gramStart"/>
      <w:r>
        <w:t>à</w:t>
      </w:r>
      <w:proofErr w:type="gramEnd"/>
      <w:r>
        <w:t xml:space="preserve"> – 35 V et 20 % à – 45 V.</w:t>
      </w:r>
    </w:p>
    <w:p w:rsidR="00B76D48" w:rsidRDefault="00B76D48" w:rsidP="00AC4808">
      <w:r>
        <w:t xml:space="preserve">Au vu des économies potentielles supplémentaires (beaucoup plus importantes que le coût du </w:t>
      </w:r>
      <w:proofErr w:type="spellStart"/>
      <w:r>
        <w:t>relamping</w:t>
      </w:r>
      <w:proofErr w:type="spellEnd"/>
      <w:r>
        <w:t xml:space="preserve">), il peut être judicieux de faire une Maintenance Prédictive pour les 10 points en dysfonctionnement en – 45 V pour un fonctionnement optimal </w:t>
      </w:r>
      <w:proofErr w:type="gramStart"/>
      <w:r>
        <w:t>à</w:t>
      </w:r>
      <w:proofErr w:type="gramEnd"/>
      <w:r>
        <w:t xml:space="preserve"> – 35 V.</w:t>
      </w:r>
    </w:p>
    <w:p w:rsidR="00B76D48" w:rsidRDefault="00B76D48" w:rsidP="00AC4808">
      <w:r>
        <w:t>Il est à noter que la durée de vie moyenne d’une SHP est de 5-6 ans, les lampes à changer sont les lampes qui seront à remplacer dans les 1 à 2 ans en pleine puissance (principe de la Maintenance Prédictive).</w:t>
      </w:r>
    </w:p>
    <w:p w:rsidR="002F042C" w:rsidRDefault="002F042C" w:rsidP="00AC4808"/>
    <w:p w:rsidR="00B76D48" w:rsidRDefault="00B76D48" w:rsidP="00B76D48">
      <w:pPr>
        <w:pStyle w:val="Paragraphedeliste"/>
        <w:numPr>
          <w:ilvl w:val="0"/>
          <w:numId w:val="1"/>
        </w:numPr>
      </w:pPr>
      <w:r>
        <w:t>Cas des ballasts</w:t>
      </w:r>
    </w:p>
    <w:p w:rsidR="00B76D48" w:rsidRDefault="00B76D48" w:rsidP="00B76D48">
      <w:pPr>
        <w:ind w:left="708"/>
      </w:pPr>
      <w:r>
        <w:t>3-1) Types de ballasts</w:t>
      </w:r>
    </w:p>
    <w:p w:rsidR="00B76D48" w:rsidRDefault="00B76D48" w:rsidP="00B76D48">
      <w:r>
        <w:t>Les Ballasts électroniques compensent l’abaissement de tension et donc on ne peut espérer faire des économies sur les points équipés de ce type de ballasts.</w:t>
      </w:r>
    </w:p>
    <w:p w:rsidR="00B76D48" w:rsidRDefault="00B76D48" w:rsidP="00B76D48">
      <w:r>
        <w:t>Il est de peu d’intérêt d’équiper en VARILUM une armoire d’Eclairage Public qui gère de grandes quantités de points munis de ce type de ballast.</w:t>
      </w:r>
    </w:p>
    <w:p w:rsidR="00B76D48" w:rsidRDefault="00B76D48" w:rsidP="00B76D48">
      <w:r>
        <w:t>S’il ne s’agit que de quelques points lumineux sur le total, attendre la fin de vie des ballasts électroniques pour les remplacer par des ferromagnétiques.</w:t>
      </w:r>
    </w:p>
    <w:p w:rsidR="00B76D48" w:rsidRDefault="00B76D48" w:rsidP="00B76D48">
      <w:pPr>
        <w:ind w:left="708"/>
      </w:pPr>
      <w:r>
        <w:t>3-2) Remplacement des ballasts</w:t>
      </w:r>
    </w:p>
    <w:p w:rsidR="00B76D48" w:rsidRDefault="00B76D48" w:rsidP="00B76D48">
      <w:r>
        <w:t xml:space="preserve">Après la pose d’un VARILUM, outre certaines lampes on peut être amené à remplacer des ballasts </w:t>
      </w:r>
      <w:r w:rsidR="002F042C">
        <w:t>ferromagnétiques en fin de vie.</w:t>
      </w:r>
    </w:p>
    <w:p w:rsidR="002F042C" w:rsidRDefault="002F042C" w:rsidP="00B76D48"/>
    <w:p w:rsidR="00B76D48" w:rsidRDefault="00B76D48" w:rsidP="00B76D48">
      <w:pPr>
        <w:pStyle w:val="Paragraphedeliste"/>
        <w:numPr>
          <w:ilvl w:val="0"/>
          <w:numId w:val="1"/>
        </w:numPr>
      </w:pPr>
      <w:r>
        <w:t>Les différents types de lampes</w:t>
      </w:r>
    </w:p>
    <w:p w:rsidR="00B76D48" w:rsidRDefault="00B76D48" w:rsidP="00B76D48">
      <w:r>
        <w:t xml:space="preserve">Peuvent être abaissés en tension, les lampes à </w:t>
      </w:r>
      <w:r w:rsidR="002F042C">
        <w:t>v</w:t>
      </w:r>
      <w:r>
        <w:t>apeur de mer</w:t>
      </w:r>
      <w:r w:rsidR="002F042C">
        <w:t>c</w:t>
      </w:r>
      <w:r>
        <w:t xml:space="preserve">ure, les tubes fluo et </w:t>
      </w:r>
      <w:proofErr w:type="gramStart"/>
      <w:r>
        <w:t xml:space="preserve">les </w:t>
      </w:r>
      <w:r w:rsidR="002F042C">
        <w:t>s</w:t>
      </w:r>
      <w:r>
        <w:t>odium</w:t>
      </w:r>
      <w:proofErr w:type="gramEnd"/>
      <w:r>
        <w:t xml:space="preserve"> </w:t>
      </w:r>
      <w:r w:rsidR="002F042C">
        <w:t>h</w:t>
      </w:r>
      <w:r>
        <w:t xml:space="preserve">aute (et </w:t>
      </w:r>
      <w:r w:rsidR="002F042C">
        <w:t>b</w:t>
      </w:r>
      <w:r>
        <w:t xml:space="preserve">asses) </w:t>
      </w:r>
      <w:r w:rsidR="002F042C">
        <w:t>p</w:t>
      </w:r>
      <w:r>
        <w:t>ression.</w:t>
      </w:r>
    </w:p>
    <w:p w:rsidR="00B76D48" w:rsidRDefault="00B76D48" w:rsidP="00B76D48">
      <w:r>
        <w:t>L’abaissement de tension n’est pa</w:t>
      </w:r>
      <w:r w:rsidR="002F042C">
        <w:t>s recommandé pour des lampes à i</w:t>
      </w:r>
      <w:r>
        <w:t xml:space="preserve">odures </w:t>
      </w:r>
      <w:r w:rsidR="002F042C">
        <w:t>métalliques</w:t>
      </w:r>
      <w:r>
        <w:t xml:space="preserve"> de P &lt; 400 W.</w:t>
      </w:r>
    </w:p>
    <w:p w:rsidR="002F042C" w:rsidRDefault="002F042C" w:rsidP="00B76D48">
      <w:r>
        <w:t>Au vu des enjeux économiques, on peut être amené à remplacer les iodures métalliques (si peu nombreuses) sur le réseau.</w:t>
      </w:r>
    </w:p>
    <w:p w:rsidR="002F042C" w:rsidRDefault="002F042C" w:rsidP="00B76D48">
      <w:r>
        <w:t xml:space="preserve">Si l’abaissement de tension induit un abaissement de luminosité non acceptable, il est possible d’augmenter la puissance de l’un ou l’autre point lumineux pour lequel on souhaite un niveau d’éclairement supérieur (lieu </w:t>
      </w:r>
      <w:proofErr w:type="spellStart"/>
      <w:r>
        <w:t>accidentogène</w:t>
      </w:r>
      <w:proofErr w:type="spellEnd"/>
      <w:r>
        <w:t>).</w:t>
      </w:r>
    </w:p>
    <w:p w:rsidR="002F042C" w:rsidRDefault="002F042C" w:rsidP="00B76D48"/>
    <w:p w:rsidR="00B76D48" w:rsidRDefault="00B76D48" w:rsidP="00B76D48"/>
    <w:p w:rsidR="00AC4808" w:rsidRDefault="00AC4808"/>
    <w:sectPr w:rsidR="00AC4808" w:rsidSect="006D7A24">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C83"/>
    <w:multiLevelType w:val="hybridMultilevel"/>
    <w:tmpl w:val="24A42D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808"/>
    <w:rsid w:val="002F042C"/>
    <w:rsid w:val="006D7A24"/>
    <w:rsid w:val="006F4945"/>
    <w:rsid w:val="00AC4808"/>
    <w:rsid w:val="00B7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C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C4808"/>
    <w:pPr>
      <w:ind w:left="720"/>
      <w:contextualSpacing/>
    </w:pPr>
  </w:style>
  <w:style w:type="paragraph" w:styleId="Textedebulles">
    <w:name w:val="Balloon Text"/>
    <w:basedOn w:val="Normal"/>
    <w:link w:val="TextedebullesCar"/>
    <w:uiPriority w:val="99"/>
    <w:semiHidden/>
    <w:unhideWhenUsed/>
    <w:rsid w:val="006D7A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A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C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C4808"/>
    <w:pPr>
      <w:ind w:left="720"/>
      <w:contextualSpacing/>
    </w:pPr>
  </w:style>
  <w:style w:type="paragraph" w:styleId="Textedebulles">
    <w:name w:val="Balloon Text"/>
    <w:basedOn w:val="Normal"/>
    <w:link w:val="TextedebullesCar"/>
    <w:uiPriority w:val="99"/>
    <w:semiHidden/>
    <w:unhideWhenUsed/>
    <w:rsid w:val="006D7A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A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454</Words>
  <Characters>2500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FRB</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FRB</dc:creator>
  <cp:lastModifiedBy>FRB</cp:lastModifiedBy>
  <cp:revision>3</cp:revision>
  <dcterms:created xsi:type="dcterms:W3CDTF">2015-04-19T12:10:00Z</dcterms:created>
  <dcterms:modified xsi:type="dcterms:W3CDTF">2015-04-19T12:36:00Z</dcterms:modified>
</cp:coreProperties>
</file>