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F4E5F"/>
          <w:sz w:val="44"/>
          <w:szCs w:val="44"/>
        </w:rPr>
        <w:t xml:space="preserve">Data Dictionary &amp;</w:t>
      </w:r>
    </w:p>
    <w:p>
      <w:pPr>
        <w:spacing w:after="200"/>
        <w:jc w:val="center"/>
      </w:pPr>
      <w:r>
        <w:rPr>
          <w:b/>
          <w:bCs/>
          <w:color w:val="1F4E5F"/>
          <w:sz w:val="44"/>
          <w:szCs w:val="44"/>
        </w:rPr>
        <w:t xml:space="preserve">Source Schema Specification</w:t>
      </w:r>
    </w:p>
    <w:p>
      <w:pPr>
        <w:spacing w:after="800"/>
        <w:jc w:val="center"/>
      </w:pPr>
      <w:r>
        <w:rPr>
          <w:i/>
          <w:iCs/>
          <w:color w:val="595959"/>
          <w:sz w:val="22"/>
          <w:szCs w:val="22"/>
        </w:rPr>
        <w:t xml:space="preserve">Companion document to the Risk Data Reconciliation &amp; Limit Monitoring Tool PRD</w:t>
      </w:r>
    </w:p>
    <w:p>
      <w:pPr>
        <w:pageBreakBefore/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</w:pPr>
      <w:r>
        <w:t xml:space="preserve">1. Purpose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This document defines the canonical (target) data schema, the raw schema of each simulated source system, the field-level mapping between them, and the design of intentionally planted data-quality issues used to demonstrate reconciliation logic realistically.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This directly addresses the core real-world challenge in multi-source reconciliation: source systems almost never share column names, units, or formats. The mapping layer defined here is what allows the reconciliation engine to remain source-agnostic.</w:t>
      </w:r>
    </w:p>
    <w:p>
      <w:pPr>
        <w:pStyle w:val="Heading1"/>
      </w:pPr>
      <w:r>
        <w:t xml:space="preserve">2. Canonical (Target) Schema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Every raw source file is normalized into this schema before any reconciliation logic runs. Reconciliation, limit-checking, and root-cause logic operate only against this schema — never against raw source columns.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4060"/>
        <w:gridCol w:w="2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trade_id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Unique trade identifier, used as the reconciliation join 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TR10045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counterparty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Name of the counterparty to the trade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Acme Capital LLC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asset_class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Broad asset 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FX, Rates, Credit, Equity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notional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float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Standardized to raw USD units (not millions)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12500000.00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currency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ISO 4217 currency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USD, EUR, JPY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trade_date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Standardized to ISO format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2026-06-15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source_system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Tag identifying originating source — added during normalization, not present in raw files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front_office, risk_system</w:t>
            </w:r>
          </w:p>
        </w:tc>
      </w:tr>
    </w:tbl>
    <w:p>
      <w:pPr>
        <w:pStyle w:val="Heading1"/>
      </w:pPr>
      <w:r>
        <w:t xml:space="preserve">3. Source System Schemas (Raw, As Received)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These two files simulate the real-world condition that the same trade population is reported with different column names, units, and date conventions depending on the originating system.</w:t>
      </w:r>
    </w:p>
    <w:p>
      <w:pPr>
        <w:pStyle w:val="Heading2"/>
      </w:pPr>
      <w:r>
        <w:t xml:space="preserve">3.1 Source A — Front Office Extract (front_office_positions.csv)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Raw 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Raw Type/Format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TradeRef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Maps to canonical trade_id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ClientName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Maps to canonical counterparty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Product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Maps to canonical asset_class; values may use different labels than risk_system (e.g. 'FXFwd' vs 'FX')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Notional_USD_mm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float, millions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Must multiply by 1,000,000 to reach canonical units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Maps to canonical currency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TradeDt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DD/MM/YYYY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Must be parsed and reformatted to ISO for canonical trade_date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DeskComment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Present only in this source — dropped during normalization (extra/unused field)</w:t>
            </w:r>
          </w:p>
        </w:tc>
      </w:tr>
    </w:tbl>
    <w:p>
      <w:pPr>
        <w:spacing w:after="160"/>
      </w:pPr>
      <w:r>
        <w:rPr>
          <w:i/>
          <w:iCs/>
          <w:sz w:val="22"/>
          <w:szCs w:val="22"/>
        </w:rPr>
        <w:t xml:space="preserve">Sample raw row: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4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TradeRef,ClientName,Product,Notional_USD_mm,Ccy,TradeDt,DeskComment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TR10045,Acme Capital LLC,FXFwd,12.5,USD,15/06/2026,manual booking</w:t>
            </w:r>
          </w:p>
        </w:tc>
      </w:tr>
    </w:tbl>
    <w:p>
      <w:pPr>
        <w:pStyle w:val="Heading2"/>
      </w:pPr>
      <w:r>
        <w:t xml:space="preserve">3.2 Source B — Risk System Extract (risk_system_positions.csv)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Raw 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Raw Type/Format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trade_id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Already matches canonical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counterparty_name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Maps to canonical counterparty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risk_class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Maps to canonical asset_class — value vocabulary differs from Front Office (e.g. 'FX' vs 'FXFwd')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notional_usd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float, raw units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Already in canonical units — no conversion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currency_code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Maps to canonical currency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value_date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YYYY-MM-DD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Already ISO format — maps to canonical trade_date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risk_limit_flag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Present only in this source — dropped during normalization (system-internal flag, superseded by our own limit check)</w:t>
            </w:r>
          </w:p>
        </w:tc>
      </w:tr>
    </w:tbl>
    <w:p>
      <w:pPr>
        <w:spacing w:after="160"/>
      </w:pPr>
      <w:r>
        <w:rPr>
          <w:i/>
          <w:iCs/>
          <w:sz w:val="22"/>
          <w:szCs w:val="22"/>
        </w:rPr>
        <w:t xml:space="preserve">Sample raw row: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4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trade_id,counterparty_name,risk_class,notional_usd,currency_code,value_date,risk_limit_flag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TR10045,Acme Capital LLC,FX,12480000.00,USD,2026-06-15,FALSE</w:t>
            </w:r>
          </w:p>
        </w:tc>
      </w:tr>
    </w:tbl>
    <w:p>
      <w:pPr>
        <w:spacing w:after="160"/>
      </w:pPr>
      <w:r>
        <w:rPr>
          <w:i w:val="false"/>
          <w:iCs w:val="false"/>
          <w:sz w:val="22"/>
          <w:szCs w:val="22"/>
        </w:rPr>
        <w:t xml:space="preserve">Note the deliberate value break above: Front Office reports 12.5mm USD (12,500,000) while Risk System reports 12,480,000 — a $20,000 / 0.16% difference, designed to sit just inside or outside the tolerance threshold depending on the configured cutoff (see Reconciliation &amp; Control Logic Specification).</w:t>
      </w:r>
    </w:p>
    <w:p>
      <w:pPr>
        <w:pStyle w:val="Heading1"/>
      </w:pPr>
      <w:r>
        <w:t xml:space="preserve">4. Source-to-Canonical Mapping Configs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Rather than hardcoding column logic per source inside the reconciliation engine, each source has its own declarative mapping file. Adding a new source system means adding a new mapping file — zero changes to core logic.</w:t>
      </w:r>
    </w:p>
    <w:p>
      <w:pPr>
        <w:pStyle w:val="Heading2"/>
      </w:pPr>
      <w:r>
        <w:t xml:space="preserve">4.1 front_office_mapping.json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4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"source_name": "front_office",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"column_map":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"TradeRef": "trade_id",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"ClientName": "counterparty",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"Product": "asset_class",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"Notional_USD_mm": "notional",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"Ccy": "currency",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"TradeDt": "trade_date"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"unit_conversions": { "notional": { "multiply_by": 1000000 }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"date_format": "%d/%m/%Y",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"asset_class_vocab": { "FXFwd": "FX", "IRS": "Rates", "CDS": "Credit", "EQSwap": "Equity"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"drop_columns": ["DeskComment"]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4.2 risk_system_mapping.json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4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"source_name": "risk_system",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"column_map":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"trade_id": "trade_id",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"counterparty_name": "counterparty",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"risk_class": "asset_class",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"notional_usd": "notional",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"currency_code": "currency",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"value_date": "trade_date"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"unit_conversions": {},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"date_format": "%Y-%m-%d",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"asset_class_vocab": { "FX": "FX", "Rates": "Rates", "Credit": "Credit", "Equity": "Equity"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"drop_columns": ["risk_limit_flag"]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rPr>
          <w:i w:val="false"/>
          <w:iCs w:val="false"/>
          <w:sz w:val="22"/>
          <w:szCs w:val="22"/>
        </w:rPr>
        <w:t xml:space="preserve">The normalization function is generic: it reads any mapping config and any raw file, and returns a canonical dataframe. This is the resolution to the 'different CSVs have different dimensions and column names' problem — the mapping config is the single place that knowledge lives, not scattered throughout the codebase.</w:t>
      </w:r>
    </w:p>
    <w:p>
      <w:pPr>
        <w:pStyle w:val="Heading1"/>
      </w:pPr>
      <w:r>
        <w:t xml:space="preserve">5. Limits Reference Table (limits.csv)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A small reference table defining the maximum allowable notional exposure per counterparty, used by the limit-monitoring module.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counterparty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asset_class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max_notional_usd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Acme Capital LLC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15,000,000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Beacon Partners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25,000,000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Cresta Holdings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Credit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10,000,000</w:t>
            </w:r>
          </w:p>
        </w:tc>
      </w:tr>
    </w:tbl>
    <w:p>
      <w:pPr>
        <w:pStyle w:val="Heading1"/>
      </w:pPr>
      <w:r>
        <w:t xml:space="preserve">6. Planted Data-Quality Issues (Design for Demo Realism)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The sample dataset deliberately includes the following issue types, each mapped to a specific root-cause classification rule (see Reconciliation &amp; Control Logic Specification, Section 3):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Issue 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It's Planted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Root-Cause Tag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Missing record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Trade present in Front Office, absent from Risk System (simulates a booking/feed delay)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Timing lag / unbooked trade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Small value break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Notional differs by &lt;0.5% between sources (rounding/rate timing)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Stale price / FX rate timing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Large value break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Notional differs by &gt;5% (simulates fat-finger entry)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entry error — escalate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Currency mismatch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Same trade_id, different currency code across sources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FX/currency reference data difference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Limit breach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Reconciled notional for one counterparty deliberately set above its limits.csv threshold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N/A — flagged as limit breach, not a reconciliation break</w:t>
            </w:r>
          </w:p>
        </w:tc>
      </w:tr>
    </w:tbl>
    <w:p>
      <w:pPr>
        <w:pStyle w:val="Heading1"/>
      </w:pPr>
      <w:r>
        <w:t xml:space="preserve">7. Extensibility Note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Adding a third source (e.g. a Finance/ledger extract) requires only: (1) a new raw CSV, (2) a new mapping JSON file following the same structure as Sections 4.1/4.2. No change to the normalization function, reconciliation engine, limit checker, or root-cause logic is required. This property is called out explicitly because it is the kind of design decision an interviewer is likely to probe — and demonstrating it live (e.g. by adding a third file on the spot) is a strong differentiator.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595959"/>
        <w:sz w:val="16"/>
        <w:szCs w:val="16"/>
      </w:rPr>
      <w:t xml:space="preserve">Data Dictionary &amp; Source Schema Specification</w:t>
    </w:r>
    <w:r>
      <w:rPr>
        <w:color w:val="595959"/>
        <w:sz w:val="16"/>
        <w:szCs w:val="16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5F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2026-06-29T19:56:21.487Z</dcterms:created>
  <dcterms:modified xsi:type="dcterms:W3CDTF">2026-06-29T19:56:21.487Z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