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b/>
          <w:bCs/>
          <w:color w:val="1F4E5F"/>
          <w:sz w:val="44"/>
          <w:szCs w:val="44"/>
        </w:rPr>
        <w:t xml:space="preserve">Reconciliation &amp;</w:t>
      </w:r>
    </w:p>
    <w:p>
      <w:pPr>
        <w:spacing w:after="200"/>
        <w:jc w:val="center"/>
      </w:pPr>
      <w:r>
        <w:rPr>
          <w:b/>
          <w:bCs/>
          <w:color w:val="1F4E5F"/>
          <w:sz w:val="44"/>
          <w:szCs w:val="44"/>
        </w:rPr>
        <w:t xml:space="preserve">Control Logic Specification</w:t>
      </w:r>
    </w:p>
    <w:p>
      <w:pPr>
        <w:spacing w:after="800"/>
        <w:jc w:val="center"/>
      </w:pPr>
      <w:r>
        <w:rPr>
          <w:i/>
          <w:iCs/>
          <w:color w:val="595959"/>
          <w:sz w:val="22"/>
          <w:szCs w:val="22"/>
        </w:rPr>
        <w:t xml:space="preserve">Matching rules, thresholds, root-cause logic, and commentary templates</w:t>
      </w:r>
    </w:p>
    <w:p>
      <w:pPr>
        <w:pageBreakBefore/>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pageBreakBefore/>
      </w:pPr>
    </w:p>
    <w:p>
      <w:pPr>
        <w:pStyle w:val="Heading1"/>
      </w:pPr>
      <w:r>
        <w:t xml:space="preserve">1. Purpose</w:t>
      </w:r>
    </w:p>
    <w:p>
      <w:pPr>
        <w:spacing w:after="160"/>
      </w:pPr>
      <w:r>
        <w:rPr>
          <w:i w:val="false"/>
          <w:iCs w:val="false"/>
          <w:sz w:val="22"/>
          <w:szCs w:val="22"/>
        </w:rPr>
        <w:t xml:space="preserve">This document defines the precise control logic applied once both source files have been normalized into the canonical schema (see Data Dictionary &amp; Source Schema Specification). It is the rulebook the reconciliation engine executes — every output the engine produces should be traceable to a rule defined here.</w:t>
      </w:r>
    </w:p>
    <w:p>
      <w:pPr>
        <w:pStyle w:val="Heading1"/>
      </w:pPr>
      <w:r>
        <w:t xml:space="preserve">2. Reconciliation Logic</w:t>
      </w:r>
    </w:p>
    <w:p>
      <w:pPr>
        <w:pStyle w:val="Heading2"/>
      </w:pPr>
      <w:r>
        <w:t xml:space="preserve">2.1 Matching Key</w:t>
      </w:r>
    </w:p>
    <w:p>
      <w:pPr>
        <w:spacing w:after="160"/>
      </w:pPr>
      <w:r>
        <w:rPr>
          <w:i w:val="false"/>
          <w:iCs w:val="false"/>
          <w:sz w:val="22"/>
          <w:szCs w:val="22"/>
        </w:rPr>
        <w:t xml:space="preserve">Records are matched across sources using trade_id as the join key, since it uniquely identifies a trade and is present (under different raw names) in both sources.</w:t>
      </w:r>
    </w:p>
    <w:p>
      <w:pPr>
        <w:pStyle w:val="Heading2"/>
      </w:pPr>
      <w:r>
        <w:t xml:space="preserve">2.2 Break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tcPr>
          <w:p>
            <w:r>
              <w:rPr>
                <w:b/>
                <w:bCs/>
                <w:color w:val="FFFFFF"/>
                <w:sz w:val="19"/>
                <w:szCs w:val="19"/>
              </w:rPr>
              <w:t xml:space="preserve">Category</w:t>
            </w:r>
          </w:p>
        </w:tc>
        <w:tc>
          <w:tcPr>
            <w:tcW w:type="dxa" w:w="696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tcPr>
          <w:p>
            <w:r>
              <w:rPr>
                <w:b/>
                <w:bCs/>
                <w:color w:val="FFFFFF"/>
                <w:sz w:val="19"/>
                <w:szCs w:val="19"/>
              </w:rPr>
              <w:t xml:space="preserve">Definition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Missing — Front Office Only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trade_id exists in the Front Office extract but not in the Risk System extract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Missing — Risk System Only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trade_id exists in the Risk System extract but not in the Front Office extract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Value Break</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trade_id exists in both, but notional differs by more than the configured tolerance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Currency Break</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trade_id exists in both, notional matches within tolerance, but currency codes differ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Clean Match</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trade_id exists in both, notional within tolerance, currency matches</w:t>
            </w:r>
          </w:p>
        </w:tc>
      </w:tr>
    </w:tbl>
    <w:p>
      <w:pPr>
        <w:pStyle w:val="Heading2"/>
      </w:pPr>
      <w:r>
        <w:t xml:space="preserve">2.3 Tolerance Threshold</w:t>
      </w:r>
    </w:p>
    <w:p>
      <w:pPr>
        <w:spacing w:after="160"/>
      </w:pPr>
      <w:r>
        <w:rPr>
          <w:i w:val="false"/>
          <w:iCs w:val="false"/>
          <w:sz w:val="22"/>
          <w:szCs w:val="22"/>
        </w:rPr>
        <w:t xml:space="preserve">Default tolerance: 1% of notional, configurable per run. Differences at or below this threshold are treated as immaterial (e.g. rounding) and logged as Clean Match. Differences above this threshold are logged as Value Break and routed to root-cause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2"/>
              <w:left w:val="single" w:color="999999" w:sz="2"/>
              <w:bottom w:val="single" w:color="999999" w:sz="2"/>
              <w:right w:val="single" w:color="999999" w:sz="2"/>
            </w:tcBorders>
            <w:shd w:fill="F4F4F4" w:val="clear"/>
            <w:tcMar>
              <w:top w:type="dxa" w:w="160"/>
              <w:left w:type="dxa" w:w="200"/>
              <w:bottom w:type="dxa" w:w="160"/>
              <w:right w:type="dxa" w:w="200"/>
            </w:tcMar>
          </w:tcPr>
          <w:p>
            <w:pPr>
              <w:spacing w:after="0"/>
            </w:pPr>
            <w:r>
              <w:rPr>
                <w:rFonts w:ascii="Consolas" w:cs="Consolas" w:eastAsia="Consolas" w:hAnsi="Consolas"/>
                <w:sz w:val="18"/>
                <w:szCs w:val="18"/>
              </w:rPr>
              <w:t xml:space="preserve">TOLERANCE_PCT = 0.01  # 1% — configurable, not hardcoded inline</w:t>
            </w:r>
          </w:p>
          <w:p>
            <w:pPr>
              <w:spacing w:after="0"/>
            </w:pPr>
            <w:r>
              <w:rPr>
                <w:rFonts w:ascii="Consolas" w:cs="Consolas" w:eastAsia="Consolas" w:hAnsi="Consolas"/>
                <w:sz w:val="18"/>
                <w:szCs w:val="18"/>
              </w:rPr>
              <w:t xml:space="preserve">is_value_break = abs(fo_notional - rs_notional) / fo_notional &gt; TOLERANCE_PCT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5F" w:sz="4"/>
              <w:left w:val="single" w:color="1F4E5F" w:sz="4"/>
              <w:bottom w:val="single" w:color="1F4E5F" w:sz="4"/>
              <w:right w:val="single" w:color="1F4E5F" w:sz="4"/>
            </w:tcBorders>
            <w:shd w:fill="DCE9EE" w:val="clear"/>
            <w:tcMar>
              <w:top w:type="dxa" w:w="160"/>
              <w:left w:type="dxa" w:w="200"/>
              <w:bottom w:type="dxa" w:w="160"/>
              <w:right w:type="dxa" w:w="200"/>
            </w:tcMar>
          </w:tcPr>
          <w:p>
            <w:r>
              <w:rPr>
                <w:i/>
                <w:iCs/>
                <w:color w:val="1F1F1F"/>
                <w:sz w:val="21"/>
                <w:szCs w:val="21"/>
              </w:rPr>
              <w:t xml:space="preserve">Design note: tolerance is intentionally a named, configurable constant rather than a magic number buried in conditional logic — mirroring how a real control would document and justify its threshold rather than embedding it silently in code.</w:t>
            </w:r>
          </w:p>
        </w:tc>
      </w:tr>
    </w:tbl>
    <w:p>
      <w:pPr>
        <w:pStyle w:val="Heading1"/>
      </w:pPr>
      <w:r>
        <w:t xml:space="preserve">3. Root-Cause Classification Rules</w:t>
      </w:r>
    </w:p>
    <w:p>
      <w:pPr>
        <w:spacing w:after="160"/>
      </w:pPr>
      <w:r>
        <w:rPr>
          <w:i w:val="false"/>
          <w:iCs w:val="false"/>
          <w:sz w:val="22"/>
          <w:szCs w:val="22"/>
        </w:rPr>
        <w:t xml:space="preserve">Classification is deterministic and rules-based — every tag maps to an explicit, inspectable condition. This is a deliberate design choice: in a risk/compliance context, an unexplainable model output is a liability, not a feature.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600"/>
        <w:gridCol w:w="3060"/>
      </w:tblGrid>
      <w:tr>
        <w:tc>
          <w:tcPr>
            <w:tcW w:type="dxa" w:w="270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tcPr>
          <w:p>
            <w:r>
              <w:rPr>
                <w:b/>
                <w:bCs/>
                <w:color w:val="FFFFFF"/>
                <w:sz w:val="19"/>
                <w:szCs w:val="19"/>
              </w:rPr>
              <w:t xml:space="preserve">Condition</w:t>
            </w:r>
          </w:p>
        </w:tc>
        <w:tc>
          <w:tcPr>
            <w:tcW w:type="dxa" w:w="360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tcPr>
          <w:p>
            <w:r>
              <w:rPr>
                <w:b/>
                <w:bCs/>
                <w:color w:val="FFFFFF"/>
                <w:sz w:val="19"/>
                <w:szCs w:val="19"/>
              </w:rPr>
              <w:t xml:space="preserve">Logic</w:t>
            </w:r>
          </w:p>
        </w:tc>
        <w:tc>
          <w:tcPr>
            <w:tcW w:type="dxa" w:w="306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tcPr>
          <w:p>
            <w:r>
              <w:rPr>
                <w:b/>
                <w:bCs/>
                <w:color w:val="FFFFFF"/>
                <w:sz w:val="19"/>
                <w:szCs w:val="19"/>
              </w:rPr>
              <w:t xml:space="preserve">Root-Cause Tag</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Missing on one side, trade_date within last 1 business day</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Recently booked trade likely not yet propagated to the other system</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Timing Lag</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Missing on one side, trade_date older than 1 business day</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Trade should have propagated by now and did not</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Unbooked / Feed Failure — Escalate</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Value break, difference ≤ 5%, currency matches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Small variance consistent with rate/price timing differences between systems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Stale Price / Rate Timing</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Value break, difference &gt; 5%</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Magnitude inconsistent with normal timing variance; suggests manual entry error</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Data Entry Error — Escalate</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Currency codes differ between sources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Reference data inconsistency between systems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FX / Reference Data Mismatch</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None of the above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No rule matched — do not force a guess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Unclassified — Manual Review</w:t>
            </w:r>
          </w:p>
        </w:tc>
      </w:tr>
    </w:tbl>
    <w:p>
      <w:pPr>
        <w:spacing w:after="160"/>
      </w:pPr>
      <w:r>
        <w:rPr>
          <w:i/>
          <w:iCs/>
          <w:sz w:val="22"/>
          <w:szCs w:val="22"/>
        </w:rPr>
        <w:t xml:space="preserve">The final fallback row is intentional: when no rule confidently applies, the system says so explicitly rather than forcing an answer. An interviewer is likely to respect this more than a system that always produces a confident-sounding but unjustified tag.</w:t>
      </w:r>
    </w:p>
    <w:p>
      <w:pPr>
        <w:pStyle w:val="Heading1"/>
      </w:pPr>
      <w:r>
        <w:t xml:space="preserve">4. Limit Monitoring Logic</w:t>
      </w:r>
    </w:p>
    <w:p>
      <w:pPr>
        <w:pStyle w:val="ListParagraph"/>
        <w:numPr>
          <w:ilvl w:val="0"/>
          <w:numId w:val="2"/>
        </w:numPr>
        <w:spacing w:after="100"/>
      </w:pPr>
      <w:r>
        <w:rPr>
          <w:sz w:val="22"/>
          <w:szCs w:val="22"/>
        </w:rPr>
        <w:t xml:space="preserve">For each counterparty + asset_class combination, sum notional across reconciled (matched, clean or tolerated) trades.</w:t>
      </w:r>
    </w:p>
    <w:p>
      <w:pPr>
        <w:pStyle w:val="ListParagraph"/>
        <w:numPr>
          <w:ilvl w:val="0"/>
          <w:numId w:val="2"/>
        </w:numPr>
        <w:spacing w:after="100"/>
      </w:pPr>
      <w:r>
        <w:rPr>
          <w:sz w:val="22"/>
          <w:szCs w:val="22"/>
        </w:rPr>
        <w:t xml:space="preserve">Compare the summed exposure against the corresponding row in limits.csv.</w:t>
      </w:r>
    </w:p>
    <w:p>
      <w:pPr>
        <w:pStyle w:val="ListParagraph"/>
        <w:numPr>
          <w:ilvl w:val="0"/>
          <w:numId w:val="2"/>
        </w:numPr>
        <w:spacing w:after="100"/>
      </w:pPr>
      <w:r>
        <w:rPr>
          <w:sz w:val="22"/>
          <w:szCs w:val="22"/>
        </w:rPr>
        <w:t xml:space="preserve">If exposure exceeds max_notional_usd, flag as Limit Breach with the overage amount and percentage.</w:t>
      </w:r>
    </w:p>
    <w:p>
      <w:pPr>
        <w:pStyle w:val="ListParagraph"/>
        <w:numPr>
          <w:ilvl w:val="0"/>
          <w:numId w:val="2"/>
        </w:numPr>
        <w:spacing w:after="100"/>
      </w:pPr>
      <w:r>
        <w:rPr>
          <w:sz w:val="22"/>
          <w:szCs w:val="22"/>
        </w:rPr>
        <w:t xml:space="preserve">Limit breaches are logged independently of reconciliation breaks — a trade can be a clean match and still contribute to a limit breach at the counterparty level.</w:t>
      </w:r>
    </w:p>
    <w:p>
      <w:pPr>
        <w:pStyle w:val="Heading1"/>
      </w:pPr>
      <w:r>
        <w:t xml:space="preserve">5. Commentary Generation Templates</w:t>
      </w:r>
    </w:p>
    <w:p>
      <w:pPr>
        <w:spacing w:after="160"/>
      </w:pPr>
      <w:r>
        <w:rPr>
          <w:i w:val="false"/>
          <w:iCs w:val="false"/>
          <w:sz w:val="22"/>
          <w:szCs w:val="22"/>
        </w:rPr>
        <w:t xml:space="preserve">Each break type maps to a plain-English template, populated with the specific break's data. Templates are deliberately simple and literal — this is templated text generation, not free-form generative text, which keeps every sentence auditable back to its inputs.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tcPr>
          <w:p>
            <w:r>
              <w:rPr>
                <w:b/>
                <w:bCs/>
                <w:color w:val="FFFFFF"/>
                <w:sz w:val="19"/>
                <w:szCs w:val="19"/>
              </w:rPr>
              <w:t xml:space="preserve">Break Type</w:t>
            </w:r>
          </w:p>
        </w:tc>
        <w:tc>
          <w:tcPr>
            <w:tcW w:type="dxa" w:w="666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tcPr>
          <w:p>
            <w:r>
              <w:rPr>
                <w:b/>
                <w:bCs/>
                <w:color w:val="FFFFFF"/>
                <w:sz w:val="19"/>
                <w:szCs w:val="19"/>
              </w:rPr>
              <w:t xml:space="preserve">Template</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Timing Lag</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"Trade {trade_id} ({counterparty}) present in {source_present} only as of {trade_date}; likely timing lag, expected to clear within 1 business day."</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Stale Price / Rate Timing</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"Notional variance of {pct}% identified for trade {trade_id} ({counterparty}); within range consistent with rate timing differences between source systems."</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Data Entry Error</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"Material notional variance of {pct}% identified for trade {trade_id} ({counterparty}); escalated for data entry verification per SOP."</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Limit Breach</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"Aggregate {asset_class} exposure to {counterparty} of {exposure} exceeds approved limit of {limit} by {overage}%; escalated to Risk Coverage."</w:t>
            </w:r>
          </w:p>
        </w:tc>
      </w:tr>
    </w:tbl>
    <w:p>
      <w:pPr>
        <w:pStyle w:val="Heading1"/>
      </w:pPr>
      <w:r>
        <w:t xml:space="preserve">6. Issue Log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tcPr>
          <w:p>
            <w:r>
              <w:rPr>
                <w:b/>
                <w:bCs/>
                <w:color w:val="FFFFFF"/>
                <w:sz w:val="19"/>
                <w:szCs w:val="19"/>
              </w:rPr>
              <w:t xml:space="preserve">Field</w:t>
            </w:r>
          </w:p>
        </w:tc>
        <w:tc>
          <w:tcPr>
            <w:tcW w:type="dxa" w:w="160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tcPr>
          <w:p>
            <w:r>
              <w:rPr>
                <w:b/>
                <w:bCs/>
                <w:color w:val="FFFFFF"/>
                <w:sz w:val="19"/>
                <w:szCs w:val="19"/>
              </w:rPr>
              <w:t xml:space="preserve">Type</w:t>
            </w:r>
          </w:p>
        </w:tc>
        <w:tc>
          <w:tcPr>
            <w:tcW w:type="dxa" w:w="556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tcPr>
          <w:p>
            <w:r>
              <w:rPr>
                <w:b/>
                <w:bCs/>
                <w:color w:val="FFFFFF"/>
                <w:sz w:val="19"/>
                <w:szCs w:val="19"/>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sz w:val="19"/>
                <w:szCs w:val="19"/>
              </w:rPr>
              <w:t xml:space="preserve">break_id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string</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Unique identifier for the logged issue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sz w:val="19"/>
                <w:szCs w:val="19"/>
              </w:rPr>
              <w:t xml:space="preserve">trade_id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string</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Related trade, if applicable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sz w:val="19"/>
                <w:szCs w:val="19"/>
              </w:rPr>
              <w:t xml:space="preserve">break_type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string</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Missing / Value Break / Currency Break / Limit Breach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sz w:val="19"/>
                <w:szCs w:val="19"/>
              </w:rPr>
              <w:t xml:space="preserve">root_cause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string</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Tag from Section 3</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sz w:val="19"/>
                <w:szCs w:val="19"/>
              </w:rPr>
              <w:t xml:space="preserve">commentary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string</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Generated stakeholder-facing summary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sz w:val="19"/>
                <w:szCs w:val="19"/>
              </w:rPr>
              <w:t xml:space="preserve">status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string</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Open / Escalated / Resolved — defaults to Open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b w:val="false"/>
                <w:bCs w:val="false"/>
                <w:sz w:val="19"/>
                <w:szCs w:val="19"/>
              </w:rPr>
              <w:t xml:space="preserve">date_identified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date</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19"/>
                <w:szCs w:val="19"/>
              </w:rPr>
              <w:t xml:space="preserve">Run date the issue was first logged</w:t>
            </w:r>
          </w:p>
        </w:tc>
      </w:tr>
    </w:tbl>
    <w:p>
      <w:pPr>
        <w:pStyle w:val="Heading1"/>
      </w:pPr>
      <w:r>
        <w:t xml:space="preserve">7. Pipeline Execution Order</w:t>
      </w:r>
    </w:p>
    <w:p>
      <w:pPr>
        <w:pStyle w:val="ListParagraph"/>
        <w:numPr>
          <w:ilvl w:val="0"/>
          <w:numId w:val="2"/>
        </w:numPr>
        <w:spacing w:after="100"/>
      </w:pPr>
      <w:r>
        <w:rPr>
          <w:sz w:val="22"/>
          <w:szCs w:val="22"/>
        </w:rPr>
        <w:t xml:space="preserve">Load mapping configs for each source.</w:t>
      </w:r>
    </w:p>
    <w:p>
      <w:pPr>
        <w:pStyle w:val="ListParagraph"/>
        <w:numPr>
          <w:ilvl w:val="0"/>
          <w:numId w:val="2"/>
        </w:numPr>
        <w:spacing w:after="100"/>
      </w:pPr>
      <w:r>
        <w:rPr>
          <w:sz w:val="22"/>
          <w:szCs w:val="22"/>
        </w:rPr>
        <w:t xml:space="preserve">Normalize each raw source file into the canonical schema.</w:t>
      </w:r>
    </w:p>
    <w:p>
      <w:pPr>
        <w:pStyle w:val="ListParagraph"/>
        <w:numPr>
          <w:ilvl w:val="0"/>
          <w:numId w:val="2"/>
        </w:numPr>
        <w:spacing w:after="100"/>
      </w:pPr>
      <w:r>
        <w:rPr>
          <w:sz w:val="22"/>
          <w:szCs w:val="22"/>
        </w:rPr>
        <w:t xml:space="preserve">Run reconciliation matching (Section 2).</w:t>
      </w:r>
    </w:p>
    <w:p>
      <w:pPr>
        <w:pStyle w:val="ListParagraph"/>
        <w:numPr>
          <w:ilvl w:val="0"/>
          <w:numId w:val="2"/>
        </w:numPr>
        <w:spacing w:after="100"/>
      </w:pPr>
      <w:r>
        <w:rPr>
          <w:sz w:val="22"/>
          <w:szCs w:val="22"/>
        </w:rPr>
        <w:t xml:space="preserve">Run limit monitoring on reconciled exposures (Section 4).</w:t>
      </w:r>
    </w:p>
    <w:p>
      <w:pPr>
        <w:pStyle w:val="ListParagraph"/>
        <w:numPr>
          <w:ilvl w:val="0"/>
          <w:numId w:val="2"/>
        </w:numPr>
        <w:spacing w:after="100"/>
      </w:pPr>
      <w:r>
        <w:rPr>
          <w:sz w:val="22"/>
          <w:szCs w:val="22"/>
        </w:rPr>
        <w:t xml:space="preserve">Apply root-cause classification to each break (Section 3).</w:t>
      </w:r>
    </w:p>
    <w:p>
      <w:pPr>
        <w:pStyle w:val="ListParagraph"/>
        <w:numPr>
          <w:ilvl w:val="0"/>
          <w:numId w:val="2"/>
        </w:numPr>
        <w:spacing w:after="100"/>
      </w:pPr>
      <w:r>
        <w:rPr>
          <w:sz w:val="22"/>
          <w:szCs w:val="22"/>
        </w:rPr>
        <w:t xml:space="preserve">Generate commentary for each break/breach (Section 5).</w:t>
      </w:r>
    </w:p>
    <w:p>
      <w:pPr>
        <w:pStyle w:val="ListParagraph"/>
        <w:numPr>
          <w:ilvl w:val="0"/>
          <w:numId w:val="2"/>
        </w:numPr>
        <w:spacing w:after="100"/>
      </w:pPr>
      <w:r>
        <w:rPr>
          <w:sz w:val="22"/>
          <w:szCs w:val="22"/>
        </w:rPr>
        <w:t xml:space="preserve">Write issue log (Section 6) and summary Excel report.</w:t>
      </w:r>
    </w:p>
    <w:p>
      <w:pPr>
        <w:pStyle w:val="ListParagraph"/>
        <w:numPr>
          <w:ilvl w:val="0"/>
          <w:numId w:val="2"/>
        </w:numPr>
        <w:spacing w:after="100"/>
      </w:pPr>
      <w:r>
        <w:rPr>
          <w:sz w:val="22"/>
          <w:szCs w:val="22"/>
        </w:rPr>
        <w:t xml:space="preserve">(Downstream, outside Python) Refresh Tableau dashboard from issue log output.</w:t>
      </w:r>
    </w:p>
    <w:p>
      <w:pPr>
        <w:pStyle w:val="Heading1"/>
      </w:pPr>
      <w:r>
        <w:t xml:space="preserve">8. Anticipated Interview Questions on This Logic</w:t>
      </w:r>
    </w:p>
    <w:p>
      <w:pPr>
        <w:pStyle w:val="ListParagraph"/>
        <w:numPr>
          <w:ilvl w:val="0"/>
          <w:numId w:val="3"/>
        </w:numPr>
        <w:spacing w:after="100"/>
      </w:pPr>
      <w:r>
        <w:rPr>
          <w:sz w:val="22"/>
          <w:szCs w:val="22"/>
        </w:rPr>
        <w:t xml:space="preserve">"What happens if both sources are missing the same trade entirely?" — Out of scope by design: if a trade appears in neither source, there is nothing to reconcile against; this would only surface via a separate completeness check against a third source of truth (e.g. a trade booking system), which is a noted extensibility point.</w:t>
      </w:r>
    </w:p>
    <w:p>
      <w:pPr>
        <w:pStyle w:val="ListParagraph"/>
        <w:numPr>
          <w:ilvl w:val="0"/>
          <w:numId w:val="3"/>
        </w:numPr>
        <w:spacing w:after="100"/>
      </w:pPr>
      <w:r>
        <w:rPr>
          <w:sz w:val="22"/>
          <w:szCs w:val="22"/>
        </w:rPr>
        <w:t xml:space="preserve">"Why rules-based and not ML for root cause?" — Explainability and auditability are more valuable than marginal accuracy gains in a control process; every tag must be defensible to an auditor or regulator.</w:t>
      </w:r>
    </w:p>
    <w:p>
      <w:pPr>
        <w:pStyle w:val="ListParagraph"/>
        <w:numPr>
          <w:ilvl w:val="0"/>
          <w:numId w:val="3"/>
        </w:numPr>
        <w:spacing w:after="100"/>
      </w:pPr>
      <w:r>
        <w:rPr>
          <w:sz w:val="22"/>
          <w:szCs w:val="22"/>
        </w:rPr>
        <w:t xml:space="preserve">"How would you tune the tolerance threshold in production?" — It would be calibrated against historical break data and signed off by risk/control owners, not set arbitrarily — this project uses a reasonable illustrative default.</w:t>
      </w:r>
    </w:p>
    <w:p>
      <w:pPr>
        <w:pStyle w:val="ListParagraph"/>
        <w:numPr>
          <w:ilvl w:val="0"/>
          <w:numId w:val="3"/>
        </w:numPr>
        <w:spacing w:after="100"/>
      </w:pPr>
      <w:r>
        <w:rPr>
          <w:sz w:val="22"/>
          <w:szCs w:val="22"/>
        </w:rPr>
        <w:t xml:space="preserve">"What's your false positive/negative risk?" — On synthetic data the rules are tuned to the planted scenarios; in production this would require backtesting against a labeled history of real breaks before being trusted to triage rather than just assist.</w:t>
      </w:r>
    </w:p>
    <w:sectPr>
      <w:headerReference w:type="default" r:id="rId7"/>
      <w:footerReference w:type="default" r:id="rId8"/>
      <w:pgSz w:w="12240" w:h="15840"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color w:val="595959"/>
        <w:sz w:val="16"/>
        <w:szCs w:val="16"/>
      </w:rPr>
      <w:t xml:space="preserve">Reconciliation &amp; Control Logic Specification</w:t>
    </w:r>
    <w:r>
      <w:rPr>
        <w:color w:val="595959"/>
        <w:sz w:val="16"/>
        <w:szCs w:val="16"/>
      </w:rPr>
      <w:t xml:space="preserve">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460" w:hanging="3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1F1F"/>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5F" w:sz="6" w:space="4"/>
      </w:pBdr>
      <w:spacing w:after="200" w:before="360"/>
      <w:outlineLvl w:val="0"/>
    </w:pPr>
    <w:rPr>
      <w:rFonts w:ascii="Arial" w:cs="Arial" w:eastAsia="Arial" w:hAnsi="Arial"/>
      <w:b/>
      <w:bCs/>
      <w:color w:val="1F4E5F"/>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1F4E5F"/>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59595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2026-06-29T19:57:22.731Z</dcterms:created>
  <dcterms:modified xsi:type="dcterms:W3CDTF">2026-06-29T19:57:22.732Z</dcterms:modified>
</cp:coreProperties>
</file>

<file path=docProps/custom.xml><?xml version="1.0" encoding="utf-8"?>
<Properties xmlns="http://schemas.openxmlformats.org/officeDocument/2006/custom-properties" xmlns:vt="http://schemas.openxmlformats.org/officeDocument/2006/docPropsVTypes"/>
</file>