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35B" w:rsidRPr="003E5A48" w:rsidRDefault="00C2035B" w:rsidP="00C2035B">
      <w:pPr>
        <w:pStyle w:val="NormalWeb"/>
        <w:jc w:val="both"/>
        <w:rPr>
          <w:rFonts w:ascii="Andalus" w:hAnsi="Andalus" w:cs="Andalus"/>
          <w:b/>
          <w:bCs/>
          <w:iCs/>
          <w:u w:val="single"/>
        </w:rPr>
      </w:pPr>
      <w:r w:rsidRPr="003E5A48">
        <w:rPr>
          <w:rFonts w:ascii="Andalus" w:hAnsi="Andalus" w:cs="Andalus"/>
          <w:b/>
          <w:bCs/>
          <w:iCs/>
          <w:u w:val="single"/>
        </w:rPr>
        <w:t>Nuestros servicios:</w:t>
      </w:r>
    </w:p>
    <w:p w:rsidR="00C2035B" w:rsidRPr="003E5A48" w:rsidRDefault="00C2035B" w:rsidP="00C2035B">
      <w:pPr>
        <w:pStyle w:val="NormalWeb"/>
        <w:numPr>
          <w:ilvl w:val="0"/>
          <w:numId w:val="2"/>
        </w:numPr>
        <w:jc w:val="both"/>
        <w:rPr>
          <w:rFonts w:ascii="Andalus" w:hAnsi="Andalus" w:cs="Andalus"/>
          <w:bCs/>
          <w:iCs/>
        </w:rPr>
      </w:pPr>
      <w:r w:rsidRPr="003E5A48">
        <w:rPr>
          <w:rFonts w:ascii="Andalus" w:hAnsi="Andalus" w:cs="Andalus"/>
          <w:b/>
          <w:bCs/>
          <w:iCs/>
        </w:rPr>
        <w:t xml:space="preserve">AREA CIVIL  </w:t>
      </w:r>
    </w:p>
    <w:p w:rsidR="00C2035B" w:rsidRPr="003E5A48" w:rsidRDefault="00C2035B" w:rsidP="00C2035B">
      <w:pPr>
        <w:pStyle w:val="NormalWeb"/>
        <w:jc w:val="both"/>
        <w:rPr>
          <w:rFonts w:ascii="Andalus" w:hAnsi="Andalus" w:cs="Andalus"/>
          <w:bCs/>
          <w:iCs/>
        </w:rPr>
      </w:pPr>
      <w:r w:rsidRPr="003E5A48">
        <w:rPr>
          <w:rFonts w:ascii="Andalus" w:hAnsi="Andalus" w:cs="Andalus"/>
          <w:b/>
          <w:bCs/>
          <w:iCs/>
          <w:lang w:val="es-ES_tradnl"/>
        </w:rPr>
        <w:t>1.-</w:t>
      </w:r>
      <w:r w:rsidRPr="003E5A48">
        <w:rPr>
          <w:rFonts w:ascii="Andalus" w:hAnsi="Andalus" w:cs="Andalus"/>
          <w:b/>
          <w:bCs/>
          <w:iCs/>
          <w:lang w:val="es-ES_tradnl"/>
        </w:rPr>
        <w:tab/>
      </w:r>
      <w:proofErr w:type="gramStart"/>
      <w:r w:rsidRPr="003E5A48">
        <w:rPr>
          <w:rFonts w:ascii="Andalus" w:hAnsi="Andalus" w:cs="Andalus"/>
          <w:b/>
          <w:bCs/>
          <w:iCs/>
          <w:lang w:val="es-ES_tradnl"/>
        </w:rPr>
        <w:t>CONTRATOS</w:t>
      </w:r>
      <w:r w:rsidRPr="003E5A48">
        <w:rPr>
          <w:rFonts w:ascii="Andalus" w:hAnsi="Andalus" w:cs="Andalus"/>
          <w:bCs/>
          <w:iCs/>
        </w:rPr>
        <w:t xml:space="preserve"> :</w:t>
      </w:r>
      <w:proofErr w:type="gramEnd"/>
      <w:r w:rsidRPr="003E5A48">
        <w:rPr>
          <w:rFonts w:ascii="Andalus" w:hAnsi="Andalus" w:cs="Andalus"/>
          <w:bCs/>
          <w:iCs/>
        </w:rPr>
        <w:t xml:space="preserve"> (se pueden mencionar algunos para no llevar tanto espacio)</w:t>
      </w:r>
    </w:p>
    <w:p w:rsidR="00C2035B" w:rsidRPr="003E5A48" w:rsidRDefault="00C2035B" w:rsidP="00C2035B">
      <w:pPr>
        <w:pStyle w:val="NormalWeb"/>
        <w:jc w:val="both"/>
        <w:rPr>
          <w:rFonts w:ascii="Andalus" w:hAnsi="Andalus" w:cs="Andalus"/>
        </w:rPr>
      </w:pPr>
      <w:r w:rsidRPr="003E5A48">
        <w:rPr>
          <w:rFonts w:ascii="Andalus" w:hAnsi="Andalus" w:cs="Andalus"/>
          <w:bCs/>
          <w:iCs/>
          <w:lang w:val="es-ES_tradnl"/>
        </w:rPr>
        <w:t>COMPRA-</w:t>
      </w:r>
      <w:proofErr w:type="spellStart"/>
      <w:r w:rsidRPr="003E5A48">
        <w:rPr>
          <w:rFonts w:ascii="Andalus" w:hAnsi="Andalus" w:cs="Andalus"/>
          <w:bCs/>
          <w:iCs/>
          <w:lang w:val="es-ES_tradnl"/>
        </w:rPr>
        <w:t>VENTa</w:t>
      </w:r>
      <w:proofErr w:type="spellEnd"/>
      <w:r w:rsidRPr="003E5A48">
        <w:rPr>
          <w:rFonts w:ascii="Andalus" w:hAnsi="Andalus" w:cs="Andalus"/>
          <w:bCs/>
          <w:iCs/>
          <w:lang w:val="es-ES_tradnl"/>
        </w:rPr>
        <w:t>, COMPRA-VENTA DE BIENES MUEBLES, COMPRA-VENTA DE BIENES INMUEBLES Este rubro abarca la investigación en el Registro Público de la Propiedad y del Comercio, P</w:t>
      </w:r>
      <w:r w:rsidRPr="003E5A48">
        <w:rPr>
          <w:rFonts w:ascii="Andalus" w:hAnsi="Andalus" w:cs="Andalus"/>
          <w:b/>
          <w:bCs/>
          <w:iCs/>
          <w:lang w:val="es-ES_tradnl"/>
        </w:rPr>
        <w:t xml:space="preserve">ERMUTA,  </w:t>
      </w:r>
      <w:proofErr w:type="spellStart"/>
      <w:r w:rsidRPr="003E5A48">
        <w:rPr>
          <w:rFonts w:ascii="Andalus" w:hAnsi="Andalus" w:cs="Andalus"/>
          <w:b/>
          <w:bCs/>
          <w:iCs/>
          <w:lang w:val="es-ES_tradnl"/>
        </w:rPr>
        <w:t>mUTUO</w:t>
      </w:r>
      <w:proofErr w:type="spellEnd"/>
      <w:r w:rsidRPr="003E5A48">
        <w:rPr>
          <w:rFonts w:ascii="Andalus" w:hAnsi="Andalus" w:cs="Andalus"/>
          <w:b/>
          <w:bCs/>
          <w:iCs/>
          <w:lang w:val="es-ES_tradnl"/>
        </w:rPr>
        <w:t xml:space="preserve"> </w:t>
      </w:r>
      <w:r w:rsidRPr="003E5A48">
        <w:rPr>
          <w:rFonts w:ascii="Andalus" w:hAnsi="Andalus" w:cs="Andalus"/>
          <w:bCs/>
          <w:iCs/>
          <w:lang w:val="es-ES_tradnl"/>
        </w:rPr>
        <w:t xml:space="preserve">Préstamo simple o con interés, revisión o en su caso, elaboración del Contrato Accesorio, que  normalmente es Contrato con Garantía de Crédito Hipotecario, </w:t>
      </w:r>
      <w:r w:rsidRPr="003E5A48">
        <w:rPr>
          <w:rFonts w:ascii="Andalus" w:hAnsi="Andalus" w:cs="Andalus"/>
          <w:b/>
          <w:bCs/>
          <w:iCs/>
          <w:lang w:val="es-ES_tradnl"/>
        </w:rPr>
        <w:t xml:space="preserve">DONACIONES, ARRENDAMIENTO, COMODATO O PRÉSTAMO DE USO, MANDATO O PODERES </w:t>
      </w:r>
      <w:r w:rsidRPr="003E5A48">
        <w:rPr>
          <w:rFonts w:ascii="Andalus" w:hAnsi="Andalus" w:cs="Andalus"/>
          <w:bCs/>
          <w:iCs/>
          <w:lang w:val="es-ES_tradnl"/>
        </w:rPr>
        <w:t xml:space="preserve">En este renglón de vital importancia, se revisarán o en su defecto serían elaborados correctamente, todos los poderes de las empresas que hayan conferido a Terceros o a Cargos Gerenciales para poder estar en aptitud de tener un control estadístico de facultades que cada gerente cuenta para obligar o no a la empresa (Actos de Dominio, Administración y Pleitos y Cobranzas General o Especiales). Así como las facultades cambiarias para obligar a la empresa, </w:t>
      </w:r>
      <w:r w:rsidRPr="003E5A48">
        <w:rPr>
          <w:rFonts w:ascii="Andalus" w:hAnsi="Andalus" w:cs="Andalus"/>
          <w:b/>
          <w:bCs/>
          <w:iCs/>
          <w:lang w:val="es-ES_tradnl"/>
        </w:rPr>
        <w:t xml:space="preserve">CONTRATOS DE PRESTACIÓN DE SERVICIOS, CONTRATOS DE ASOCIACIÓN Y DE SOCIEDADES </w:t>
      </w:r>
      <w:r w:rsidRPr="003E5A48">
        <w:rPr>
          <w:rFonts w:ascii="Andalus" w:hAnsi="Andalus" w:cs="Andalus"/>
          <w:b/>
          <w:bCs/>
          <w:iCs/>
          <w:lang w:val="es-ES_tradnl"/>
        </w:rPr>
        <w:tab/>
        <w:t xml:space="preserve">CIVILES </w:t>
      </w:r>
      <w:r w:rsidRPr="003E5A48">
        <w:rPr>
          <w:rFonts w:ascii="Andalus" w:hAnsi="Andalus" w:cs="Andalus"/>
          <w:bCs/>
          <w:iCs/>
          <w:lang w:val="es-ES_tradnl"/>
        </w:rPr>
        <w:t xml:space="preserve">Este tipo de contratos organizacionales crean una persona jurídica distinta a la de los miembros componentes, </w:t>
      </w:r>
      <w:r w:rsidRPr="003E5A48">
        <w:rPr>
          <w:rFonts w:ascii="Andalus" w:hAnsi="Andalus" w:cs="Andalus"/>
          <w:b/>
          <w:bCs/>
          <w:iCs/>
          <w:lang w:val="es-ES_tradnl"/>
        </w:rPr>
        <w:t>CONTRATOS DE GARANTÍA (FIANZA, PRENDA E HIPOTECA)</w:t>
      </w:r>
      <w:r w:rsidRPr="003E5A48">
        <w:rPr>
          <w:rFonts w:ascii="Andalus" w:hAnsi="Andalus" w:cs="Andalus"/>
          <w:bCs/>
          <w:iCs/>
          <w:lang w:val="es-ES_tradnl"/>
        </w:rPr>
        <w:tab/>
        <w:t xml:space="preserve">Así como Contratos Atípicos, es decir, no reglamentados en el Código Civil pero que se rigen por la teoría general de la obligación. Un ejemplo de este tipo de contrato ilustrativo es el tiempo compartido, de acuerdo a las necesidades de la empresa, </w:t>
      </w:r>
      <w:r w:rsidRPr="003E5A48">
        <w:rPr>
          <w:rFonts w:ascii="Andalus" w:hAnsi="Andalus" w:cs="Andalus"/>
          <w:b/>
          <w:bCs/>
          <w:iCs/>
          <w:lang w:val="es-ES_tradnl"/>
        </w:rPr>
        <w:t xml:space="preserve">CONTRATOS MERCANTILES </w:t>
      </w:r>
      <w:r w:rsidRPr="003E5A48">
        <w:rPr>
          <w:rFonts w:ascii="Andalus" w:hAnsi="Andalus" w:cs="Andalus"/>
          <w:bCs/>
          <w:iCs/>
          <w:lang w:val="es-ES_tradnl"/>
        </w:rPr>
        <w:t xml:space="preserve">En este rubro de asesoría en razón del criterio objetivo del acto mercantil y para la forma en que se constituye la sociedad de acuerdo a las reglas de las leyes mercantiles por este solo hecho es comerciante social, </w:t>
      </w:r>
      <w:r w:rsidRPr="003E5A48">
        <w:rPr>
          <w:rFonts w:ascii="Andalus" w:hAnsi="Andalus" w:cs="Andalus"/>
          <w:b/>
          <w:bCs/>
          <w:iCs/>
          <w:lang w:val="es-ES_tradnl"/>
        </w:rPr>
        <w:t>COMISIÓN MERCANTIL.</w:t>
      </w:r>
      <w:r w:rsidRPr="003E5A48">
        <w:rPr>
          <w:rFonts w:ascii="Andalus" w:hAnsi="Andalus" w:cs="Andalus"/>
        </w:rPr>
        <w:t xml:space="preserve"> </w:t>
      </w:r>
    </w:p>
    <w:p w:rsidR="00C2035B" w:rsidRPr="003E5A48" w:rsidRDefault="00C2035B" w:rsidP="00C2035B">
      <w:pPr>
        <w:pStyle w:val="NormalWeb"/>
        <w:jc w:val="both"/>
        <w:rPr>
          <w:rFonts w:ascii="Andalus" w:hAnsi="Andalus" w:cs="Andalus"/>
        </w:rPr>
      </w:pPr>
      <w:r>
        <w:rPr>
          <w:rFonts w:ascii="Andalus" w:hAnsi="Andalus" w:cs="Andalus"/>
          <w:b/>
          <w:bCs/>
          <w:lang w:val="es-ES_tradnl"/>
        </w:rPr>
        <w:t>2.-</w:t>
      </w:r>
      <w:r w:rsidRPr="003E5A48">
        <w:rPr>
          <w:rFonts w:ascii="Andalus" w:hAnsi="Andalus" w:cs="Andalus"/>
          <w:b/>
          <w:bCs/>
          <w:lang w:val="es-ES_tradnl"/>
        </w:rPr>
        <w:t>JUICIOS DE OTORGAMIENTO Y FIRMA DE ESCRITURA</w:t>
      </w:r>
    </w:p>
    <w:p w:rsidR="00C2035B" w:rsidRPr="003E5A48" w:rsidRDefault="00C2035B" w:rsidP="00C2035B">
      <w:pPr>
        <w:pStyle w:val="NormalWeb"/>
        <w:jc w:val="both"/>
        <w:rPr>
          <w:rFonts w:ascii="Andalus" w:hAnsi="Andalus" w:cs="Andalus"/>
        </w:rPr>
      </w:pPr>
      <w:r>
        <w:rPr>
          <w:rFonts w:ascii="Andalus" w:hAnsi="Andalus" w:cs="Andalus"/>
          <w:b/>
          <w:bCs/>
          <w:lang w:val="es-ES_tradnl"/>
        </w:rPr>
        <w:t>3.-</w:t>
      </w:r>
      <w:r w:rsidRPr="003E5A48">
        <w:rPr>
          <w:rFonts w:ascii="Andalus" w:hAnsi="Andalus" w:cs="Andalus"/>
          <w:b/>
          <w:bCs/>
          <w:lang w:val="es-ES_tradnl"/>
        </w:rPr>
        <w:t>ARRENDAMIENTO INMOBILIARIO</w:t>
      </w:r>
    </w:p>
    <w:p w:rsidR="00C2035B" w:rsidRPr="003E5A48" w:rsidRDefault="00C2035B" w:rsidP="00C2035B">
      <w:pPr>
        <w:pStyle w:val="NormalWeb"/>
        <w:numPr>
          <w:ilvl w:val="0"/>
          <w:numId w:val="2"/>
        </w:numPr>
        <w:jc w:val="both"/>
        <w:rPr>
          <w:rFonts w:ascii="Andalus" w:hAnsi="Andalus" w:cs="Andalus"/>
          <w:b/>
          <w:bCs/>
          <w:lang w:val="es-ES_tradnl"/>
        </w:rPr>
      </w:pPr>
      <w:r w:rsidRPr="003E5A48">
        <w:rPr>
          <w:rFonts w:ascii="Andalus" w:hAnsi="Andalus" w:cs="Andalus"/>
          <w:b/>
          <w:bCs/>
          <w:lang w:val="es-ES_tradnl"/>
        </w:rPr>
        <w:t>AREA MERCANTIL</w:t>
      </w:r>
    </w:p>
    <w:p w:rsidR="00C2035B" w:rsidRPr="003E5A48" w:rsidRDefault="00C2035B" w:rsidP="00C2035B">
      <w:pPr>
        <w:pStyle w:val="NormalWeb"/>
        <w:jc w:val="both"/>
        <w:rPr>
          <w:rFonts w:ascii="Andalus" w:hAnsi="Andalus" w:cs="Andalus"/>
        </w:rPr>
      </w:pPr>
      <w:r>
        <w:rPr>
          <w:rFonts w:ascii="Andalus" w:hAnsi="Andalus" w:cs="Andalus"/>
          <w:b/>
          <w:bCs/>
          <w:lang w:val="es-ES_tradnl"/>
        </w:rPr>
        <w:t>1.-</w:t>
      </w:r>
      <w:r w:rsidRPr="003E5A48">
        <w:rPr>
          <w:rFonts w:ascii="Andalus" w:hAnsi="Andalus" w:cs="Andalus"/>
          <w:b/>
          <w:bCs/>
          <w:lang w:val="es-ES_tradnl"/>
        </w:rPr>
        <w:t>JUICIOS MERCANTILES</w:t>
      </w:r>
    </w:p>
    <w:p w:rsidR="00C2035B" w:rsidRPr="003E5A48" w:rsidRDefault="00C2035B" w:rsidP="00C2035B">
      <w:pPr>
        <w:pStyle w:val="NormalWeb"/>
        <w:jc w:val="both"/>
        <w:rPr>
          <w:rFonts w:ascii="Andalus" w:hAnsi="Andalus" w:cs="Andalus"/>
        </w:rPr>
      </w:pPr>
      <w:r w:rsidRPr="003E5A48">
        <w:rPr>
          <w:rFonts w:ascii="Andalus" w:hAnsi="Andalus" w:cs="Andalus"/>
          <w:b/>
          <w:bCs/>
          <w:lang w:val="es-ES_tradnl"/>
        </w:rPr>
        <w:t>Aquellos derivados por operaciones mercantiles.</w:t>
      </w:r>
    </w:p>
    <w:p w:rsidR="00C2035B" w:rsidRPr="003E5A48" w:rsidRDefault="00C2035B" w:rsidP="00C2035B">
      <w:pPr>
        <w:pStyle w:val="NormalWeb"/>
        <w:jc w:val="both"/>
        <w:rPr>
          <w:rFonts w:ascii="Andalus" w:hAnsi="Andalus" w:cs="Andalus"/>
        </w:rPr>
      </w:pPr>
      <w:r w:rsidRPr="003E5A48">
        <w:rPr>
          <w:rFonts w:ascii="Andalus" w:hAnsi="Andalus" w:cs="Andalus"/>
          <w:b/>
          <w:bCs/>
          <w:lang w:val="es-ES_tradnl"/>
        </w:rPr>
        <w:lastRenderedPageBreak/>
        <w:t>a)</w:t>
      </w:r>
      <w:r w:rsidRPr="003E5A48">
        <w:rPr>
          <w:rFonts w:ascii="Andalus" w:hAnsi="Andalus" w:cs="Andalus"/>
          <w:b/>
          <w:bCs/>
          <w:lang w:val="es-ES_tradnl"/>
        </w:rPr>
        <w:tab/>
        <w:t>Habilitación</w:t>
      </w:r>
    </w:p>
    <w:p w:rsidR="00C2035B" w:rsidRPr="003E5A48" w:rsidRDefault="00C2035B" w:rsidP="00C2035B">
      <w:pPr>
        <w:pStyle w:val="NormalWeb"/>
        <w:jc w:val="both"/>
        <w:rPr>
          <w:rFonts w:ascii="Andalus" w:hAnsi="Andalus" w:cs="Andalus"/>
        </w:rPr>
      </w:pPr>
      <w:r w:rsidRPr="003E5A48">
        <w:rPr>
          <w:rFonts w:ascii="Andalus" w:hAnsi="Andalus" w:cs="Andalus"/>
          <w:b/>
          <w:bCs/>
          <w:lang w:val="es-ES_tradnl"/>
        </w:rPr>
        <w:t>b)</w:t>
      </w:r>
      <w:r w:rsidRPr="003E5A48">
        <w:rPr>
          <w:rFonts w:ascii="Andalus" w:hAnsi="Andalus" w:cs="Andalus"/>
          <w:b/>
          <w:bCs/>
          <w:lang w:val="es-ES_tradnl"/>
        </w:rPr>
        <w:tab/>
        <w:t>Crédito refaccionario</w:t>
      </w:r>
    </w:p>
    <w:p w:rsidR="00C2035B" w:rsidRPr="003E5A48" w:rsidRDefault="00C2035B" w:rsidP="00C2035B">
      <w:pPr>
        <w:pStyle w:val="NormalWeb"/>
        <w:jc w:val="both"/>
        <w:rPr>
          <w:rFonts w:ascii="Andalus" w:hAnsi="Andalus" w:cs="Andalus"/>
        </w:rPr>
      </w:pPr>
      <w:r w:rsidRPr="003E5A48">
        <w:rPr>
          <w:rFonts w:ascii="Andalus" w:hAnsi="Andalus" w:cs="Andalus"/>
          <w:b/>
          <w:bCs/>
          <w:lang w:val="es-ES_tradnl"/>
        </w:rPr>
        <w:t>2.-</w:t>
      </w:r>
      <w:r w:rsidRPr="003E5A48">
        <w:rPr>
          <w:rFonts w:ascii="Andalus" w:hAnsi="Andalus" w:cs="Andalus"/>
          <w:b/>
          <w:bCs/>
          <w:lang w:val="es-ES_tradnl"/>
        </w:rPr>
        <w:tab/>
        <w:t>JUICIO ORDINARIO MERCANTIL</w:t>
      </w:r>
    </w:p>
    <w:p w:rsidR="00C2035B" w:rsidRPr="003E5A48" w:rsidRDefault="00C2035B" w:rsidP="00C2035B">
      <w:pPr>
        <w:pStyle w:val="NormalWeb"/>
        <w:jc w:val="both"/>
        <w:rPr>
          <w:rFonts w:ascii="Andalus" w:hAnsi="Andalus" w:cs="Andalus"/>
        </w:rPr>
      </w:pPr>
      <w:r w:rsidRPr="003E5A48">
        <w:rPr>
          <w:rFonts w:ascii="Andalus" w:hAnsi="Andalus" w:cs="Andalus"/>
          <w:b/>
          <w:bCs/>
          <w:lang w:val="es-ES_tradnl"/>
        </w:rPr>
        <w:t>3.-</w:t>
      </w:r>
      <w:r w:rsidRPr="003E5A48">
        <w:rPr>
          <w:rFonts w:ascii="Andalus" w:hAnsi="Andalus" w:cs="Andalus"/>
          <w:b/>
          <w:bCs/>
          <w:lang w:val="es-ES_tradnl"/>
        </w:rPr>
        <w:tab/>
        <w:t xml:space="preserve">JUICIO EJECUTIVO MERCANTIL </w:t>
      </w:r>
      <w:proofErr w:type="gramStart"/>
      <w:r w:rsidRPr="003E5A48">
        <w:rPr>
          <w:rFonts w:ascii="Andalus" w:hAnsi="Andalus" w:cs="Andalus"/>
          <w:b/>
          <w:bCs/>
          <w:lang w:val="es-ES_tradnl"/>
        </w:rPr>
        <w:t>( Que</w:t>
      </w:r>
      <w:proofErr w:type="gramEnd"/>
      <w:r w:rsidRPr="003E5A48">
        <w:rPr>
          <w:rFonts w:ascii="Andalus" w:hAnsi="Andalus" w:cs="Andalus"/>
          <w:b/>
          <w:bCs/>
          <w:lang w:val="es-ES_tradnl"/>
        </w:rPr>
        <w:t xml:space="preserve"> derivan de Títulos de Crédito (Cheques, Pagarés, Letras de Cambio, Facturas o Contra Recibos)</w:t>
      </w:r>
    </w:p>
    <w:p w:rsidR="00C2035B" w:rsidRPr="003E5A48" w:rsidRDefault="00C2035B" w:rsidP="00C2035B">
      <w:pPr>
        <w:pStyle w:val="NormalWeb"/>
        <w:jc w:val="both"/>
        <w:rPr>
          <w:rFonts w:ascii="Andalus" w:hAnsi="Andalus" w:cs="Andalus"/>
          <w:b/>
          <w:bCs/>
          <w:lang w:val="es-ES_tradnl"/>
        </w:rPr>
      </w:pPr>
      <w:r w:rsidRPr="003E5A48">
        <w:rPr>
          <w:rFonts w:ascii="Andalus" w:hAnsi="Andalus" w:cs="Andalus"/>
          <w:b/>
          <w:bCs/>
          <w:lang w:val="es-ES_tradnl"/>
        </w:rPr>
        <w:t>4.-    JUICIOS ORALES MERCANTILES</w:t>
      </w:r>
    </w:p>
    <w:p w:rsidR="00C2035B" w:rsidRPr="003E5A48" w:rsidRDefault="00C2035B" w:rsidP="00C2035B">
      <w:pPr>
        <w:pStyle w:val="NormalWeb"/>
        <w:numPr>
          <w:ilvl w:val="0"/>
          <w:numId w:val="1"/>
        </w:numPr>
        <w:jc w:val="both"/>
        <w:rPr>
          <w:rFonts w:ascii="Andalus" w:hAnsi="Andalus" w:cs="Andalus"/>
        </w:rPr>
      </w:pPr>
      <w:r w:rsidRPr="003E5A48">
        <w:rPr>
          <w:rFonts w:ascii="Andalus" w:hAnsi="Andalus" w:cs="Andalus"/>
          <w:b/>
          <w:bCs/>
          <w:lang w:val="es-ES_tradnl"/>
        </w:rPr>
        <w:t>CONSULTORÍA</w:t>
      </w:r>
    </w:p>
    <w:p w:rsidR="00C2035B" w:rsidRPr="003E5A48" w:rsidRDefault="00C2035B" w:rsidP="00C2035B">
      <w:pPr>
        <w:pStyle w:val="NormalWeb"/>
        <w:jc w:val="both"/>
        <w:rPr>
          <w:rFonts w:ascii="Andalus" w:hAnsi="Andalus" w:cs="Andalus"/>
        </w:rPr>
      </w:pPr>
      <w:r w:rsidRPr="003E5A48">
        <w:rPr>
          <w:rFonts w:ascii="Andalus" w:hAnsi="Andalus" w:cs="Andalus"/>
          <w:b/>
          <w:bCs/>
        </w:rPr>
        <w:t xml:space="preserve">a) </w:t>
      </w:r>
      <w:r w:rsidRPr="003E5A48">
        <w:rPr>
          <w:rFonts w:ascii="Andalus" w:hAnsi="Andalus" w:cs="Andalus"/>
          <w:lang w:val="es-ES_tradnl"/>
        </w:rPr>
        <w:t xml:space="preserve">Asesoría en todo tipo de denuncias, querellas tanto por </w:t>
      </w:r>
      <w:r w:rsidRPr="003E5A48">
        <w:rPr>
          <w:rFonts w:ascii="Andalus" w:hAnsi="Andalus" w:cs="Andalus"/>
          <w:lang w:val="es-ES_tradnl"/>
        </w:rPr>
        <w:tab/>
        <w:t>daños físicos, morales y patrimoniales</w:t>
      </w:r>
    </w:p>
    <w:p w:rsidR="00C2035B" w:rsidRPr="003E5A48" w:rsidRDefault="00C2035B" w:rsidP="00C2035B">
      <w:pPr>
        <w:pStyle w:val="NormalWeb"/>
        <w:jc w:val="both"/>
        <w:rPr>
          <w:rFonts w:ascii="Andalus" w:hAnsi="Andalus" w:cs="Andalus"/>
        </w:rPr>
      </w:pPr>
      <w:r w:rsidRPr="003E5A48">
        <w:rPr>
          <w:rFonts w:ascii="Andalus" w:hAnsi="Andalus" w:cs="Andalus"/>
          <w:b/>
          <w:bCs/>
          <w:lang w:val="es-ES_tradnl"/>
        </w:rPr>
        <w:t xml:space="preserve">b) </w:t>
      </w:r>
      <w:r w:rsidRPr="003E5A48">
        <w:rPr>
          <w:rFonts w:ascii="Andalus" w:hAnsi="Andalus" w:cs="Andalus"/>
          <w:lang w:val="es-ES_tradnl"/>
        </w:rPr>
        <w:t xml:space="preserve">Consultoría en todo tipo de delitos tanto del orden </w:t>
      </w:r>
      <w:r w:rsidRPr="003E5A48">
        <w:rPr>
          <w:rFonts w:ascii="Andalus" w:hAnsi="Andalus" w:cs="Andalus"/>
          <w:lang w:val="es-ES_tradnl"/>
        </w:rPr>
        <w:tab/>
        <w:t>común como del fuero federal</w:t>
      </w:r>
    </w:p>
    <w:p w:rsidR="00C2035B" w:rsidRPr="003E5A48" w:rsidRDefault="00C2035B" w:rsidP="00C2035B">
      <w:pPr>
        <w:pStyle w:val="NormalWeb"/>
        <w:numPr>
          <w:ilvl w:val="0"/>
          <w:numId w:val="1"/>
        </w:numPr>
        <w:jc w:val="both"/>
        <w:rPr>
          <w:rFonts w:ascii="Andalus" w:hAnsi="Andalus" w:cs="Andalus"/>
        </w:rPr>
      </w:pPr>
      <w:r w:rsidRPr="003E5A48">
        <w:rPr>
          <w:rFonts w:ascii="Andalus" w:hAnsi="Andalus" w:cs="Andalus"/>
          <w:b/>
          <w:bCs/>
          <w:lang w:val="es-ES_tradnl"/>
        </w:rPr>
        <w:t>AMPAROS</w:t>
      </w:r>
    </w:p>
    <w:p w:rsidR="00C2035B" w:rsidRPr="003E5A48" w:rsidRDefault="00C2035B" w:rsidP="00C2035B">
      <w:pPr>
        <w:pStyle w:val="NormalWeb"/>
        <w:jc w:val="both"/>
        <w:rPr>
          <w:rFonts w:ascii="Andalus" w:hAnsi="Andalus" w:cs="Andalus"/>
        </w:rPr>
      </w:pPr>
      <w:r w:rsidRPr="003E5A48">
        <w:rPr>
          <w:rFonts w:ascii="Andalus" w:hAnsi="Andalus" w:cs="Andalus"/>
          <w:b/>
          <w:bCs/>
          <w:lang w:val="es-ES_tradnl"/>
        </w:rPr>
        <w:t>a).-</w:t>
      </w:r>
      <w:r w:rsidRPr="003E5A48">
        <w:rPr>
          <w:rFonts w:ascii="Andalus" w:hAnsi="Andalus" w:cs="Andalus"/>
          <w:lang w:val="es-ES_tradnl"/>
        </w:rPr>
        <w:tab/>
        <w:t>Amparos contra órdenes de detención</w:t>
      </w:r>
    </w:p>
    <w:p w:rsidR="00C2035B" w:rsidRPr="003E5A48" w:rsidRDefault="00C2035B" w:rsidP="00C2035B">
      <w:pPr>
        <w:pStyle w:val="NormalWeb"/>
        <w:jc w:val="both"/>
        <w:rPr>
          <w:rFonts w:ascii="Andalus" w:hAnsi="Andalus" w:cs="Andalus"/>
        </w:rPr>
      </w:pPr>
      <w:r w:rsidRPr="003E5A48">
        <w:rPr>
          <w:rFonts w:ascii="Andalus" w:hAnsi="Andalus" w:cs="Andalus"/>
          <w:b/>
          <w:bCs/>
          <w:lang w:val="es-ES_tradnl"/>
        </w:rPr>
        <w:t>b.)-</w:t>
      </w:r>
      <w:r w:rsidRPr="003E5A48">
        <w:rPr>
          <w:rFonts w:ascii="Andalus" w:hAnsi="Andalus" w:cs="Andalus"/>
          <w:lang w:val="es-ES_tradnl"/>
        </w:rPr>
        <w:tab/>
        <w:t>Amparos contra órdenes de presentación</w:t>
      </w:r>
    </w:p>
    <w:p w:rsidR="00C2035B" w:rsidRPr="003E5A48" w:rsidRDefault="00C2035B" w:rsidP="00C2035B">
      <w:pPr>
        <w:pStyle w:val="NormalWeb"/>
        <w:jc w:val="both"/>
        <w:rPr>
          <w:rFonts w:ascii="Andalus" w:hAnsi="Andalus" w:cs="Andalus"/>
        </w:rPr>
      </w:pPr>
      <w:r w:rsidRPr="003E5A48">
        <w:rPr>
          <w:rFonts w:ascii="Andalus" w:hAnsi="Andalus" w:cs="Andalus"/>
          <w:b/>
          <w:bCs/>
          <w:lang w:val="es-ES_tradnl"/>
        </w:rPr>
        <w:t>c).-</w:t>
      </w:r>
      <w:r w:rsidRPr="003E5A48">
        <w:rPr>
          <w:rFonts w:ascii="Andalus" w:hAnsi="Andalus" w:cs="Andalus"/>
          <w:lang w:val="es-ES_tradnl"/>
        </w:rPr>
        <w:tab/>
        <w:t>Amparos contra órdenes de aprehensión</w:t>
      </w:r>
    </w:p>
    <w:p w:rsidR="00C2035B" w:rsidRPr="003E5A48" w:rsidRDefault="00C2035B" w:rsidP="00C2035B">
      <w:pPr>
        <w:pStyle w:val="NormalWeb"/>
        <w:jc w:val="both"/>
        <w:rPr>
          <w:rFonts w:ascii="Andalus" w:hAnsi="Andalus" w:cs="Andalus"/>
        </w:rPr>
      </w:pPr>
      <w:r w:rsidRPr="003E5A48">
        <w:rPr>
          <w:rFonts w:ascii="Andalus" w:hAnsi="Andalus" w:cs="Andalus"/>
          <w:b/>
          <w:bCs/>
          <w:lang w:val="es-ES_tradnl"/>
        </w:rPr>
        <w:t>d).-</w:t>
      </w:r>
      <w:r w:rsidRPr="003E5A48">
        <w:rPr>
          <w:rFonts w:ascii="Andalus" w:hAnsi="Andalus" w:cs="Andalus"/>
          <w:lang w:val="es-ES_tradnl"/>
        </w:rPr>
        <w:tab/>
        <w:t>Amparos contra personas incomunicadas</w:t>
      </w:r>
    </w:p>
    <w:p w:rsidR="00C2035B" w:rsidRPr="004F4BC3" w:rsidRDefault="00C2035B" w:rsidP="00C2035B">
      <w:pPr>
        <w:pStyle w:val="NormalWeb"/>
        <w:jc w:val="both"/>
        <w:rPr>
          <w:rFonts w:ascii="Andalus" w:hAnsi="Andalus" w:cs="Andalus"/>
        </w:rPr>
      </w:pPr>
      <w:r w:rsidRPr="003E5A48">
        <w:rPr>
          <w:rFonts w:ascii="Andalus" w:hAnsi="Andalus" w:cs="Andalus"/>
          <w:b/>
          <w:bCs/>
          <w:lang w:val="es-ES_tradnl"/>
        </w:rPr>
        <w:t>e).-</w:t>
      </w:r>
      <w:r w:rsidRPr="003E5A48">
        <w:rPr>
          <w:rFonts w:ascii="Andalus" w:hAnsi="Andalus" w:cs="Andalus"/>
          <w:lang w:val="es-ES_tradnl"/>
        </w:rPr>
        <w:tab/>
        <w:t xml:space="preserve">Amparos contra autos de formal </w:t>
      </w:r>
      <w:r w:rsidRPr="004F4BC3">
        <w:rPr>
          <w:rFonts w:ascii="Andalus" w:hAnsi="Andalus" w:cs="Andalus"/>
          <w:lang w:val="es-ES_tradnl"/>
        </w:rPr>
        <w:t>prisión</w:t>
      </w:r>
    </w:p>
    <w:p w:rsidR="00C2035B" w:rsidRPr="004F4BC3" w:rsidRDefault="00C2035B" w:rsidP="00C2035B">
      <w:pPr>
        <w:pStyle w:val="NormalWeb"/>
        <w:rPr>
          <w:rFonts w:ascii="Andalus" w:hAnsi="Andalus" w:cs="Andalus"/>
        </w:rPr>
      </w:pPr>
      <w:r w:rsidRPr="004F4BC3">
        <w:rPr>
          <w:rFonts w:ascii="Andalus" w:hAnsi="Andalus" w:cs="Andalus"/>
          <w:b/>
          <w:bCs/>
          <w:lang w:val="es-ES_tradnl"/>
        </w:rPr>
        <w:t>f).-</w:t>
      </w:r>
      <w:r w:rsidRPr="004F4BC3">
        <w:rPr>
          <w:rFonts w:ascii="Andalus" w:hAnsi="Andalus" w:cs="Andalus"/>
          <w:b/>
          <w:bCs/>
          <w:lang w:val="es-ES_tradnl"/>
        </w:rPr>
        <w:tab/>
      </w:r>
      <w:r w:rsidRPr="004F4BC3">
        <w:rPr>
          <w:rFonts w:ascii="Andalus" w:hAnsi="Andalus" w:cs="Andalus"/>
          <w:lang w:val="es-ES_tradnl"/>
        </w:rPr>
        <w:t>Amparos contra arrestos de carácter administrativo</w:t>
      </w:r>
    </w:p>
    <w:p w:rsidR="00C2035B" w:rsidRPr="004F4BC3" w:rsidRDefault="00C2035B" w:rsidP="00C2035B">
      <w:pPr>
        <w:pStyle w:val="NormalWeb"/>
        <w:rPr>
          <w:rFonts w:ascii="Andalus" w:hAnsi="Andalus" w:cs="Andalus"/>
        </w:rPr>
      </w:pPr>
      <w:r w:rsidRPr="004F4BC3">
        <w:rPr>
          <w:rFonts w:ascii="Andalus" w:hAnsi="Andalus" w:cs="Andalus"/>
          <w:b/>
          <w:bCs/>
          <w:lang w:val="es-ES_tradnl"/>
        </w:rPr>
        <w:t>g).-</w:t>
      </w:r>
      <w:r w:rsidRPr="004F4BC3">
        <w:rPr>
          <w:rFonts w:ascii="Andalus" w:hAnsi="Andalus" w:cs="Andalus"/>
          <w:lang w:val="es-ES_tradnl"/>
        </w:rPr>
        <w:tab/>
        <w:t>Amparos directos contra sentencias definitivas</w:t>
      </w:r>
    </w:p>
    <w:p w:rsidR="00C2035B" w:rsidRPr="004F4BC3" w:rsidRDefault="00C2035B" w:rsidP="00C2035B">
      <w:pPr>
        <w:pStyle w:val="NormalWeb"/>
        <w:rPr>
          <w:rFonts w:ascii="Andalus" w:hAnsi="Andalus" w:cs="Andalus"/>
        </w:rPr>
      </w:pPr>
      <w:r w:rsidRPr="004F4BC3">
        <w:rPr>
          <w:rFonts w:ascii="Andalus" w:hAnsi="Andalus" w:cs="Andalus"/>
          <w:b/>
          <w:bCs/>
          <w:lang w:val="es-ES_tradnl"/>
        </w:rPr>
        <w:t>h).-</w:t>
      </w:r>
      <w:r w:rsidRPr="004F4BC3">
        <w:rPr>
          <w:rFonts w:ascii="Andalus" w:hAnsi="Andalus" w:cs="Andalus"/>
          <w:lang w:val="es-ES_tradnl"/>
        </w:rPr>
        <w:tab/>
        <w:t>Amparos contra arraigo domiciliario</w:t>
      </w:r>
    </w:p>
    <w:p w:rsidR="00C2035B" w:rsidRDefault="00C2035B" w:rsidP="00C2035B">
      <w:pPr>
        <w:pStyle w:val="NormalWeb"/>
        <w:rPr>
          <w:rFonts w:ascii="Andalus" w:hAnsi="Andalus" w:cs="Andalus"/>
          <w:lang w:val="es-ES_tradnl"/>
        </w:rPr>
      </w:pPr>
      <w:r w:rsidRPr="004F4BC3">
        <w:rPr>
          <w:rFonts w:ascii="Andalus" w:hAnsi="Andalus" w:cs="Andalus"/>
          <w:b/>
          <w:bCs/>
          <w:lang w:val="es-ES_tradnl"/>
        </w:rPr>
        <w:t>i).-</w:t>
      </w:r>
      <w:r w:rsidRPr="004F4BC3">
        <w:rPr>
          <w:rFonts w:ascii="Andalus" w:hAnsi="Andalus" w:cs="Andalus"/>
          <w:lang w:val="es-ES_tradnl"/>
        </w:rPr>
        <w:tab/>
      </w:r>
      <w:r w:rsidRPr="004F4BC3">
        <w:rPr>
          <w:rFonts w:ascii="Andalus" w:hAnsi="Andalus" w:cs="Andalus"/>
          <w:lang w:val="es-ES_tradnl"/>
        </w:rPr>
        <w:tab/>
        <w:t xml:space="preserve">Amparos contra aseguramiento de bienes (derivados de una </w:t>
      </w:r>
      <w:r w:rsidRPr="004F4BC3">
        <w:rPr>
          <w:rFonts w:ascii="Andalus" w:hAnsi="Andalus" w:cs="Andalus"/>
          <w:lang w:val="es-ES_tradnl"/>
        </w:rPr>
        <w:tab/>
        <w:t>indagatoria)</w:t>
      </w:r>
    </w:p>
    <w:p w:rsidR="00C2035B" w:rsidRPr="003E5A48" w:rsidRDefault="00C2035B" w:rsidP="00C2035B">
      <w:pPr>
        <w:spacing w:before="100" w:beforeAutospacing="1" w:after="360" w:line="240" w:lineRule="auto"/>
        <w:outlineLvl w:val="1"/>
        <w:rPr>
          <w:rFonts w:ascii="Andalus" w:eastAsia="Times New Roman" w:hAnsi="Andalus" w:cs="Andalus"/>
          <w:b/>
          <w:bCs/>
          <w:iCs/>
          <w:sz w:val="24"/>
          <w:szCs w:val="24"/>
        </w:rPr>
      </w:pPr>
      <w:r w:rsidRPr="003E5A48">
        <w:rPr>
          <w:rFonts w:ascii="Andalus" w:eastAsia="Times New Roman" w:hAnsi="Andalus" w:cs="Andalus"/>
          <w:b/>
          <w:bCs/>
          <w:iCs/>
          <w:sz w:val="24"/>
          <w:szCs w:val="24"/>
        </w:rPr>
        <w:lastRenderedPageBreak/>
        <w:t>AREA FAMILIAR</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Jurisdicción Voluntaria. Identidad de persona, dependencia económica, aprobación de convenio y acreditación de concubinato.</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Divorcio. Regímenes matrimoniales y concubinato.</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Rectificación de actas y nulidad. Reasignación sexo-genérica.</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Alimentos. Guarda y custodia. Convivencias.</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Parentesco y filiación.</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Reconocimiento y desconocimiento. Investigación, contradicción o impugnación de paternidad y maternidad.</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Patria potestad. Pérdida, limitación o suspensión.</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Interdicción y Tutelas: cautelar, testamentaria, subrogada, legítima, menores en situación de desamparo y dativa.</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Adopción.</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Ausencia y presunción de muerte.</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Patrimonio familiar. Constitución, disminución y extinción.</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 xml:space="preserve">Sucesiones. </w:t>
      </w:r>
      <w:proofErr w:type="spellStart"/>
      <w:r w:rsidRPr="003E5A48">
        <w:rPr>
          <w:rFonts w:ascii="Arial" w:eastAsia="Times New Roman" w:hAnsi="Arial" w:cs="Arial"/>
          <w:bCs/>
          <w:iCs/>
          <w:sz w:val="21"/>
          <w:szCs w:val="21"/>
        </w:rPr>
        <w:t>Intestamentarias</w:t>
      </w:r>
      <w:proofErr w:type="spellEnd"/>
      <w:r w:rsidRPr="003E5A48">
        <w:rPr>
          <w:rFonts w:ascii="Arial" w:eastAsia="Times New Roman" w:hAnsi="Arial" w:cs="Arial"/>
          <w:bCs/>
          <w:iCs/>
          <w:sz w:val="21"/>
          <w:szCs w:val="21"/>
        </w:rPr>
        <w:t xml:space="preserve"> y testamentarias.</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Consignaciones.</w:t>
      </w:r>
    </w:p>
    <w:p w:rsidR="00C2035B" w:rsidRPr="003E5A48" w:rsidRDefault="00C2035B" w:rsidP="00C2035B">
      <w:pPr>
        <w:numPr>
          <w:ilvl w:val="0"/>
          <w:numId w:val="3"/>
        </w:numPr>
        <w:spacing w:before="100" w:beforeAutospacing="1" w:after="240"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Restitución de Menores.</w:t>
      </w:r>
    </w:p>
    <w:p w:rsidR="00C2035B" w:rsidRPr="003E5A48" w:rsidRDefault="00C2035B" w:rsidP="00C2035B">
      <w:pPr>
        <w:numPr>
          <w:ilvl w:val="0"/>
          <w:numId w:val="3"/>
        </w:numPr>
        <w:spacing w:before="100" w:beforeAutospacing="1" w:after="100" w:afterAutospacing="1" w:line="240" w:lineRule="auto"/>
        <w:ind w:left="195"/>
        <w:rPr>
          <w:rFonts w:ascii="Arial" w:eastAsia="Times New Roman" w:hAnsi="Arial" w:cs="Arial"/>
          <w:bCs/>
          <w:iCs/>
          <w:sz w:val="21"/>
          <w:szCs w:val="21"/>
        </w:rPr>
      </w:pPr>
      <w:r w:rsidRPr="003E5A48">
        <w:rPr>
          <w:rFonts w:ascii="Arial" w:eastAsia="Times New Roman" w:hAnsi="Arial" w:cs="Arial"/>
          <w:bCs/>
          <w:iCs/>
          <w:sz w:val="21"/>
          <w:szCs w:val="21"/>
        </w:rPr>
        <w:t>Exhortos, suplicatorias y requisitorias.</w:t>
      </w:r>
    </w:p>
    <w:p w:rsidR="00C2035B" w:rsidRPr="003E5A48" w:rsidRDefault="00C2035B" w:rsidP="00C2035B">
      <w:pPr>
        <w:pStyle w:val="NormalWeb"/>
        <w:rPr>
          <w:rFonts w:ascii="Andalus" w:hAnsi="Andalus" w:cs="Andalus"/>
          <w:color w:val="FF0000"/>
          <w:lang w:val="es-ES_tradnl"/>
        </w:rPr>
      </w:pPr>
    </w:p>
    <w:p w:rsidR="00C2035B" w:rsidRPr="003E5A48" w:rsidRDefault="00C2035B" w:rsidP="00C2035B">
      <w:pPr>
        <w:pStyle w:val="NormalWeb"/>
        <w:rPr>
          <w:rFonts w:ascii="Andalus" w:hAnsi="Andalus" w:cs="Andalus"/>
          <w:color w:val="FF0000"/>
          <w:lang w:val="es-ES_tradnl"/>
        </w:rPr>
      </w:pPr>
    </w:p>
    <w:p w:rsidR="00C2035B" w:rsidRDefault="00C2035B" w:rsidP="00C2035B">
      <w:pPr>
        <w:pStyle w:val="NormalWeb"/>
        <w:rPr>
          <w:rFonts w:ascii="Andalus" w:hAnsi="Andalus" w:cs="Andalus"/>
          <w:color w:val="FF0000"/>
          <w:lang w:val="es-ES_tradnl"/>
        </w:rPr>
      </w:pPr>
      <w:r w:rsidRPr="003E5A48">
        <w:rPr>
          <w:rFonts w:ascii="Andalus" w:hAnsi="Andalus" w:cs="Andalus"/>
          <w:color w:val="FF0000"/>
          <w:lang w:val="es-ES_tradnl"/>
        </w:rPr>
        <w:t>OTRA PESTAÑA O APARTADO</w:t>
      </w:r>
      <w:r>
        <w:rPr>
          <w:rFonts w:ascii="Andalus" w:hAnsi="Andalus" w:cs="Andalus"/>
          <w:color w:val="FF0000"/>
          <w:lang w:val="es-ES_tradnl"/>
        </w:rPr>
        <w:t xml:space="preserve"> (ESPECIALIZADOS EN)</w:t>
      </w:r>
    </w:p>
    <w:p w:rsidR="00C2035B" w:rsidRDefault="00C2035B" w:rsidP="00C2035B">
      <w:pPr>
        <w:pStyle w:val="NormalWeb"/>
        <w:numPr>
          <w:ilvl w:val="0"/>
          <w:numId w:val="1"/>
        </w:numPr>
        <w:rPr>
          <w:rFonts w:ascii="Andalus" w:hAnsi="Andalus" w:cs="Andalus"/>
          <w:color w:val="FF0000"/>
          <w:lang w:val="es-ES_tradnl"/>
        </w:rPr>
      </w:pPr>
      <w:r>
        <w:rPr>
          <w:rFonts w:ascii="Andalus" w:hAnsi="Andalus" w:cs="Andalus"/>
          <w:color w:val="FF0000"/>
          <w:lang w:val="es-ES_tradnl"/>
        </w:rPr>
        <w:t xml:space="preserve">CONCURSOS MERCANTILES </w:t>
      </w:r>
    </w:p>
    <w:p w:rsidR="00C2035B" w:rsidRDefault="00C2035B" w:rsidP="00C2035B">
      <w:pPr>
        <w:pStyle w:val="NormalWeb"/>
        <w:rPr>
          <w:rFonts w:ascii="Andalus" w:hAnsi="Andalus" w:cs="Andalus"/>
          <w:lang w:val="es-ES_tradnl"/>
        </w:rPr>
      </w:pPr>
    </w:p>
    <w:p w:rsidR="00C2035B" w:rsidRDefault="00C2035B" w:rsidP="00C2035B">
      <w:pPr>
        <w:pStyle w:val="NormalWeb"/>
        <w:numPr>
          <w:ilvl w:val="0"/>
          <w:numId w:val="1"/>
        </w:numPr>
        <w:rPr>
          <w:rFonts w:ascii="Andalus" w:hAnsi="Andalus" w:cs="Andalus"/>
          <w:lang w:val="es-ES_tradnl"/>
        </w:rPr>
      </w:pPr>
      <w:r>
        <w:rPr>
          <w:rFonts w:ascii="Andalus" w:hAnsi="Andalus" w:cs="Andalus"/>
          <w:lang w:val="es-ES_tradnl"/>
        </w:rPr>
        <w:t>CONTACTO (CON UN CROQUIS COMO EN LA IMAGEN Q SE MUESTRA)</w:t>
      </w:r>
    </w:p>
    <w:p w:rsidR="00C2035B" w:rsidRDefault="00C2035B" w:rsidP="00C2035B">
      <w:pPr>
        <w:pStyle w:val="NormalWeb"/>
        <w:rPr>
          <w:rFonts w:ascii="Andalus" w:hAnsi="Andalus" w:cs="Andalus"/>
          <w:lang w:val="es-ES_tradnl"/>
        </w:rPr>
      </w:pPr>
      <w:r>
        <w:rPr>
          <w:rFonts w:ascii="Andalus" w:hAnsi="Andalus" w:cs="Andalus"/>
          <w:lang w:val="es-ES_tradnl"/>
        </w:rPr>
        <w:lastRenderedPageBreak/>
        <w:t>CD. DE MÉXICO</w:t>
      </w:r>
    </w:p>
    <w:p w:rsidR="00C2035B" w:rsidRDefault="00C2035B" w:rsidP="00C2035B">
      <w:pPr>
        <w:pStyle w:val="NormalWeb"/>
        <w:rPr>
          <w:rFonts w:ascii="Andalus" w:hAnsi="Andalus" w:cs="Andalus"/>
          <w:lang w:val="es-ES_tradnl"/>
        </w:rPr>
      </w:pPr>
      <w:r>
        <w:rPr>
          <w:rFonts w:ascii="Andalus" w:hAnsi="Andalus" w:cs="Andalus"/>
          <w:lang w:val="es-ES_tradnl"/>
        </w:rPr>
        <w:t>SAN FRANCISCO NÚMERO 656 DESPACHO 302, COLONIA DEL VALLE</w:t>
      </w:r>
    </w:p>
    <w:p w:rsidR="00C2035B" w:rsidRDefault="00C2035B" w:rsidP="00C2035B">
      <w:pPr>
        <w:pStyle w:val="NormalWeb"/>
        <w:rPr>
          <w:rFonts w:ascii="Andalus" w:hAnsi="Andalus" w:cs="Andalus"/>
          <w:lang w:val="es-ES_tradnl"/>
        </w:rPr>
      </w:pPr>
      <w:r>
        <w:rPr>
          <w:rFonts w:ascii="Andalus" w:hAnsi="Andalus" w:cs="Andalus"/>
          <w:lang w:val="es-ES_tradnl"/>
        </w:rPr>
        <w:t>DELEGACIÓN BENITO JUAREZ C.P. 03100</w:t>
      </w:r>
    </w:p>
    <w:p w:rsidR="00C2035B" w:rsidRDefault="00C2035B" w:rsidP="00C2035B">
      <w:pPr>
        <w:pStyle w:val="NormalWeb"/>
        <w:rPr>
          <w:rFonts w:ascii="Andalus" w:hAnsi="Andalus" w:cs="Andalus"/>
          <w:lang w:val="es-ES_tradnl"/>
        </w:rPr>
      </w:pPr>
      <w:r>
        <w:rPr>
          <w:rFonts w:ascii="Andalus" w:hAnsi="Andalus" w:cs="Andalus"/>
          <w:lang w:val="es-ES_tradnl"/>
        </w:rPr>
        <w:t>TELÉFONOS:</w:t>
      </w:r>
    </w:p>
    <w:p w:rsidR="00C2035B" w:rsidRDefault="00C2035B" w:rsidP="00C2035B">
      <w:pPr>
        <w:pStyle w:val="NormalWeb"/>
        <w:rPr>
          <w:rFonts w:ascii="Andalus" w:hAnsi="Andalus" w:cs="Andalus"/>
          <w:lang w:val="es-ES_tradnl"/>
        </w:rPr>
      </w:pPr>
      <w:r>
        <w:rPr>
          <w:rFonts w:ascii="Andalus" w:hAnsi="Andalus" w:cs="Andalus"/>
          <w:lang w:val="es-ES_tradnl"/>
        </w:rPr>
        <w:t>5687-6191</w:t>
      </w:r>
    </w:p>
    <w:p w:rsidR="00C2035B" w:rsidRDefault="00C2035B" w:rsidP="00C2035B">
      <w:pPr>
        <w:pStyle w:val="NormalWeb"/>
        <w:rPr>
          <w:rFonts w:ascii="Andalus" w:hAnsi="Andalus" w:cs="Andalus"/>
          <w:lang w:val="es-ES_tradnl"/>
        </w:rPr>
      </w:pPr>
      <w:r>
        <w:rPr>
          <w:rFonts w:ascii="Andalus" w:hAnsi="Andalus" w:cs="Andalus"/>
          <w:lang w:val="es-ES_tradnl"/>
        </w:rPr>
        <w:t>36261163</w:t>
      </w:r>
    </w:p>
    <w:p w:rsidR="00C2035B" w:rsidRDefault="00C2035B" w:rsidP="00C2035B">
      <w:pPr>
        <w:pStyle w:val="NormalWeb"/>
        <w:rPr>
          <w:rFonts w:ascii="Andalus" w:hAnsi="Andalus" w:cs="Andalus"/>
          <w:lang w:val="es-ES_tradnl"/>
        </w:rPr>
      </w:pPr>
      <w:r>
        <w:rPr>
          <w:rFonts w:ascii="Andalus" w:hAnsi="Andalus" w:cs="Andalus"/>
          <w:lang w:val="es-ES_tradnl"/>
        </w:rPr>
        <w:t>36261164</w:t>
      </w:r>
    </w:p>
    <w:p w:rsidR="00C2035B" w:rsidRDefault="00C2035B" w:rsidP="00C2035B">
      <w:pPr>
        <w:pStyle w:val="NormalWeb"/>
        <w:rPr>
          <w:rFonts w:ascii="Andalus" w:hAnsi="Andalus" w:cs="Andalus"/>
          <w:lang w:val="es-ES_tradnl"/>
        </w:rPr>
      </w:pPr>
      <w:r>
        <w:rPr>
          <w:rFonts w:ascii="Andalus" w:hAnsi="Andalus" w:cs="Andalus"/>
          <w:lang w:val="es-ES_tradnl"/>
        </w:rPr>
        <w:t>FAX. 55363182</w:t>
      </w:r>
    </w:p>
    <w:p w:rsidR="00C2035B" w:rsidRPr="004F4BC3" w:rsidRDefault="00C2035B" w:rsidP="00C2035B">
      <w:pPr>
        <w:pStyle w:val="NormalWeb"/>
        <w:rPr>
          <w:rFonts w:ascii="Andalus" w:hAnsi="Andalus" w:cs="Andalus"/>
        </w:rPr>
      </w:pPr>
    </w:p>
    <w:p w:rsidR="00C2035B" w:rsidRPr="003E5A48" w:rsidRDefault="00C2035B" w:rsidP="00345502">
      <w:pPr>
        <w:pStyle w:val="NormalWeb"/>
      </w:pPr>
      <w:r w:rsidRPr="004F4BC3">
        <w:rPr>
          <w:rFonts w:ascii="Andalus" w:hAnsi="Andalus" w:cs="Andalus"/>
          <w:b/>
          <w:bCs/>
          <w:lang w:val="es-ES_tradnl"/>
        </w:rPr>
        <w:tab/>
      </w:r>
      <w:bookmarkStart w:id="0" w:name="_GoBack"/>
      <w:bookmarkEnd w:id="0"/>
    </w:p>
    <w:p w:rsidR="00D8508E" w:rsidRDefault="00345502"/>
    <w:sectPr w:rsidR="00D8508E" w:rsidSect="00DD2E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7401A"/>
    <w:multiLevelType w:val="multilevel"/>
    <w:tmpl w:val="D740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A5392"/>
    <w:multiLevelType w:val="hybridMultilevel"/>
    <w:tmpl w:val="6FB02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23E58CB"/>
    <w:multiLevelType w:val="hybridMultilevel"/>
    <w:tmpl w:val="7B5C0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35B"/>
    <w:rsid w:val="00345502"/>
    <w:rsid w:val="00520587"/>
    <w:rsid w:val="00A32C83"/>
    <w:rsid w:val="00C2035B"/>
    <w:rsid w:val="00D3662F"/>
    <w:rsid w:val="00F94F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5E5C3-D6B9-4DAF-95D1-69F548D6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5B"/>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2035B"/>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C203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35B"/>
    <w:rPr>
      <w:rFonts w:ascii="Tahoma" w:eastAsiaTheme="minorEastAsia" w:hAnsi="Tahoma" w:cs="Tahoma"/>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3294</Characters>
  <Application>Microsoft Office Word</Application>
  <DocSecurity>0</DocSecurity>
  <Lines>27</Lines>
  <Paragraphs>7</Paragraphs>
  <ScaleCrop>false</ScaleCrop>
  <Company>Hewlett-Packard</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Areli</dc:creator>
  <cp:lastModifiedBy>Blanca I</cp:lastModifiedBy>
  <cp:revision>2</cp:revision>
  <dcterms:created xsi:type="dcterms:W3CDTF">2015-04-24T19:50:00Z</dcterms:created>
  <dcterms:modified xsi:type="dcterms:W3CDTF">2015-07-10T09:15:00Z</dcterms:modified>
</cp:coreProperties>
</file>