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360" w:after="0" w:lineRule="auto"/>
      </w:pPr>
      <w:r>
        <w:rPr>
          <w:rFonts w:eastAsia="inter" w:cs="inter" w:ascii="inter" w:hAnsi="inter"/>
          <w:color w:val="000000"/>
        </w:rPr>
        <w:drawing>
          <wp:inline distB="0" distL="0" distR="0" distT="0">
            <wp:extent cx="2420112" cy="609600"/>
            <wp:effectExtent b="0" l="0" r="0" t="0"/>
            <wp:docPr id="1" name="image-22392ffe9e8d09928530c019a5577c93fa7938be.png"/>
            <a:graphic>
              <a:graphicData uri="http://schemas.openxmlformats.org/drawingml/2006/picture">
                <pic:pic>
                  <pic:nvPicPr>
                    <pic:cNvPr id="1" name="image-22392ffe9e8d09928530c019a5577c93fa7938be.png" descr=""/>
                    <pic:cNvPicPr/>
                  </pic:nvPicPr>
                  <pic:blipFill>
                    <a:blip r:embed="rId5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20112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0" w:before="157.5" w:after="157.5" w:lineRule="auto"/>
        <w:jc w:val="left"/>
      </w:pPr>
      <w:bookmarkStart w:id="0" w:name="проанализируй_документы_и_подгото_e1fc86"/>
      <w:r>
        <w:rPr>
          <w:rFonts w:eastAsia="inter" w:cs="inter" w:ascii="inter" w:hAnsi="inter"/>
          <w:b/>
          <w:color w:val="000000"/>
          <w:sz w:val="39"/>
        </w:rPr>
        <w:t xml:space="preserve">проанализируй документы и подготовь 1. полный набор globs для начала разработки в cursor 2. рекомендации по структуре проекта 3. инструкции по загрузке файлов cursor</w:t>
      </w:r>
      <w:bookmarkEnd w:id="0"/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Все 15 файлов обновлены до актуальных версий документов. Ниже — полная инструкция из трёх частей.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" w:name="bm_1_полный_набор_globs_15_файлов"/>
      <w:r>
        <w:rPr>
          <w:rFonts w:eastAsia="inter" w:cs="inter" w:ascii="inter" w:hAnsi="inter"/>
          <w:b/>
          <w:color w:val="000000"/>
          <w:sz w:val="24"/>
        </w:rPr>
        <w:t xml:space="preserve">1. Полный набор globs (15 файлов)</w:t>
      </w:r>
      <w:bookmarkEnd w:id="1"/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Все файлы пересобраны под </w:t>
      </w:r>
      <w:r>
        <w:rPr>
          <w:rFonts w:eastAsia="inter" w:cs="inter" w:ascii="inter" w:hAnsi="inter"/>
          <w:b/>
          <w:color w:val="000000"/>
        </w:rPr>
        <w:t xml:space="preserve">v1.4.5 / v1.2.3 / v1.6.5</w:t>
      </w:r>
      <w:r>
        <w:rPr>
          <w:rFonts w:eastAsia="inter" w:cs="inter" w:ascii="inter" w:hAnsi="inter"/>
          <w:color w:val="000000"/>
        </w:rPr>
        <w:t xml:space="preserve"> с учётом дельт (API Versioning Policy, Payout Execution, payoutref, IP whitelist config-driven).</w:t>
      </w:r>
      <w:bookmarkStart w:id="2" w:name="fnref1"/>
      <w:bookmarkEnd w:id="2"/>
      <w:hyperlink w:anchor="fn1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[1]</w:t>
        </w:r>
      </w:hyperlink>
      <w:bookmarkStart w:id="3" w:name="fnref2"/>
      <w:bookmarkEnd w:id="3"/>
      <w:hyperlink w:anchor="fn2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[2]</w:t>
        </w:r>
      </w:hyperlink>
      <w:bookmarkStart w:id="4" w:name="fnref3"/>
      <w:bookmarkEnd w:id="4"/>
      <w:hyperlink w:anchor="fn3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[3]</w:t>
        </w:r>
      </w:hyperlink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378"/>
        <w:gridCol w:w="2378"/>
        <w:gridCol w:w="2378"/>
        <w:gridCol w:w="2378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Файл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Тип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globs / Trigger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Когда загружается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ibm plex mono" w:cs="ibm plex mono" w:ascii="ibm plex mono" w:hAnsi="ibm plex mono"/>
                <w:color w:val="000000"/>
                <w:sz w:val="18"/>
                <w:shd w:val="clear" w:color="auto" w:fill="F8F8FA"/>
              </w:rPr>
              <w:t xml:space="preserve">000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alwaysApply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Каждый запрос</w:t>
            </w:r>
            <w:r>
              <w:rPr>
                <w:rFonts w:eastAsia="inter" w:cs="inter" w:ascii="inter" w:hAnsi="inter"/>
                <w:color w:val="000000"/>
                <w:sz w:val="17"/>
              </w:rPr>
              <w:t xml:space="preserve"> — conventions, naming, state machine, NFR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ibm plex mono" w:cs="ibm plex mono" w:ascii="ibm plex mono" w:hAnsi="ibm plex mono"/>
                <w:color w:val="000000"/>
                <w:sz w:val="18"/>
                <w:shd w:val="clear" w:color="auto" w:fill="F8F8FA"/>
              </w:rPr>
              <w:t xml:space="preserve">010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auto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ibm plex mono" w:cs="ibm plex mono" w:ascii="ibm plex mono" w:hAnsi="ibm plex mono"/>
                <w:color w:val="000000"/>
                <w:sz w:val="18"/>
                <w:shd w:val="clear" w:color="auto" w:fill="F8F8FA"/>
              </w:rPr>
              <w:t xml:space="preserve">**/models/**, **/migrations/**, **/entities/**, **/schemas/**, **/db/**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При работе с моделями и миграциями (24 таблицы)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ibm plex mono" w:cs="ibm plex mono" w:ascii="ibm plex mono" w:hAnsi="ibm plex mono"/>
                <w:color w:val="000000"/>
                <w:sz w:val="18"/>
                <w:shd w:val="clear" w:color="auto" w:fill="F8F8FA"/>
              </w:rPr>
              <w:t xml:space="preserve">020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auto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ibm plex mono" w:cs="ibm plex mono" w:ascii="ibm plex mono" w:hAnsi="ibm plex mono"/>
                <w:color w:val="000000"/>
                <w:sz w:val="18"/>
                <w:shd w:val="clear" w:color="auto" w:fill="F8F8FA"/>
              </w:rPr>
              <w:t xml:space="preserve">**/api/**, **/routes/**, **/controllers/**, **/handlers/**, **/middleware/**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При работе с API (61 endpoint, WS, rate limits)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ibm plex mono" w:cs="ibm plex mono" w:ascii="ibm plex mono" w:hAnsi="ibm plex mono"/>
                <w:color w:val="000000"/>
                <w:sz w:val="18"/>
                <w:shd w:val="clear" w:color="auto" w:fill="F8F8FA"/>
              </w:rPr>
              <w:t xml:space="preserve">030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auto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ibm plex mono" w:cs="ibm plex mono" w:ascii="ibm plex mono" w:hAnsi="ibm plex mono"/>
                <w:color w:val="000000"/>
                <w:sz w:val="18"/>
                <w:shd w:val="clear" w:color="auto" w:fill="F8F8FA"/>
              </w:rPr>
              <w:t xml:space="preserve">**/integrations/**, **/webhooks/**, **/providers/**, **/push/**, **/cron/**, **/jobs/**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Внешние провайдеры, push, CRON, payout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ibm plex mono" w:cs="ibm plex mono" w:ascii="ibm plex mono" w:hAnsi="ibm plex mono"/>
                <w:color w:val="000000"/>
                <w:sz w:val="18"/>
                <w:shd w:val="clear" w:color="auto" w:fill="F8F8FA"/>
              </w:rPr>
              <w:t xml:space="preserve">040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auto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ibm plex mono" w:cs="ibm plex mono" w:ascii="ibm plex mono" w:hAnsi="ibm plex mono"/>
                <w:color w:val="000000"/>
                <w:sz w:val="18"/>
                <w:shd w:val="clear" w:color="auto" w:fill="F8F8FA"/>
              </w:rPr>
              <w:t xml:space="preserve">**/bnpl/**, **/payments/**bnpl**, **/payments/**/split**, **/payments/**/dolyame**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BNPL-специфичный код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ibm plex mono" w:cs="ibm plex mono" w:ascii="ibm plex mono" w:hAnsi="ibm plex mono"/>
                <w:color w:val="000000"/>
                <w:sz w:val="18"/>
                <w:shd w:val="clear" w:color="auto" w:fill="F8F8FA"/>
              </w:rPr>
              <w:t xml:space="preserve">050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auto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ibm plex mono" w:cs="ibm plex mono" w:ascii="ibm plex mono" w:hAnsi="ibm plex mono"/>
                <w:color w:val="000000"/>
                <w:sz w:val="18"/>
                <w:shd w:val="clear" w:color="auto" w:fill="F8F8FA"/>
              </w:rPr>
              <w:t xml:space="preserve">**/settlement/**, **/dispute/**, **/payout/**, **/finance/**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Settlement, disputes, payouts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ibm plex mono" w:cs="ibm plex mono" w:ascii="ibm plex mono" w:hAnsi="ibm plex mono"/>
                <w:color w:val="000000"/>
                <w:sz w:val="18"/>
                <w:shd w:val="clear" w:color="auto" w:fill="F8F8FA"/>
              </w:rPr>
              <w:t xml:space="preserve">060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auto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ibm plex mono" w:cs="ibm plex mono" w:ascii="ibm plex mono" w:hAnsi="ibm plex mono"/>
                <w:color w:val="000000"/>
                <w:sz w:val="18"/>
                <w:shd w:val="clear" w:color="auto" w:fill="F8F8FA"/>
              </w:rPr>
              <w:t xml:space="preserve">**/screens/**, **/navigation/**, **/components/**, **/deeplinks/**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Экраны, навигация, deep links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ibm plex mono" w:cs="ibm plex mono" w:ascii="ibm plex mono" w:hAnsi="ibm plex mono"/>
                <w:color w:val="000000"/>
                <w:sz w:val="18"/>
                <w:shd w:val="clear" w:color="auto" w:fill="F8F8FA"/>
              </w:rPr>
              <w:t xml:space="preserve">070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agent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По запросу — фичи, бизнес-правила, NFR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ibm plex mono" w:cs="ibm plex mono" w:ascii="ibm plex mono" w:hAnsi="ibm plex mono"/>
                <w:color w:val="000000"/>
                <w:sz w:val="18"/>
                <w:shd w:val="clear" w:color="auto" w:fill="F8F8FA"/>
              </w:rPr>
              <w:t xml:space="preserve">080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agent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По запросу — cross-doc версионирование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ibm plex mono" w:cs="ibm plex mono" w:ascii="ibm plex mono" w:hAnsi="ibm plex mono"/>
                <w:color w:val="000000"/>
                <w:sz w:val="18"/>
                <w:shd w:val="clear" w:color="auto" w:fill="F8F8FA"/>
              </w:rPr>
              <w:t xml:space="preserve">090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command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ibm plex mono" w:cs="ibm plex mono" w:ascii="ibm plex mono" w:hAnsi="ibm plex mono"/>
                <w:color w:val="000000"/>
                <w:sz w:val="18"/>
                <w:shd w:val="clear" w:color="auto" w:fill="F8F8FA"/>
              </w:rPr>
              <w:t xml:space="preserve">/new-endpoint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REST endpoint scaffold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ibm plex mono" w:cs="ibm plex mono" w:ascii="ibm plex mono" w:hAnsi="ibm plex mono"/>
                <w:color w:val="000000"/>
                <w:sz w:val="18"/>
                <w:shd w:val="clear" w:color="auto" w:fill="F8F8FA"/>
              </w:rPr>
              <w:t xml:space="preserve">091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command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ibm plex mono" w:cs="ibm plex mono" w:ascii="ibm plex mono" w:hAnsi="ibm plex mono"/>
                <w:color w:val="000000"/>
                <w:sz w:val="18"/>
                <w:shd w:val="clear" w:color="auto" w:fill="F8F8FA"/>
              </w:rPr>
              <w:t xml:space="preserve">/add-screen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React Native screen scaffold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ibm plex mono" w:cs="ibm plex mono" w:ascii="ibm plex mono" w:hAnsi="ibm plex mono"/>
                <w:color w:val="000000"/>
                <w:sz w:val="18"/>
                <w:shd w:val="clear" w:color="auto" w:fill="F8F8FA"/>
              </w:rPr>
              <w:t xml:space="preserve">092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command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ibm plex mono" w:cs="ibm plex mono" w:ascii="ibm plex mono" w:hAnsi="ibm plex mono"/>
                <w:color w:val="000000"/>
                <w:sz w:val="18"/>
                <w:shd w:val="clear" w:color="auto" w:fill="F8F8FA"/>
              </w:rPr>
              <w:t xml:space="preserve">/add-cron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CRON job scaffold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ibm plex mono" w:cs="ibm plex mono" w:ascii="ibm plex mono" w:hAnsi="ibm plex mono"/>
                <w:color w:val="000000"/>
                <w:sz w:val="18"/>
                <w:shd w:val="clear" w:color="auto" w:fill="F8F8FA"/>
              </w:rPr>
              <w:t xml:space="preserve">093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command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ibm plex mono" w:cs="ibm plex mono" w:ascii="ibm plex mono" w:hAnsi="ibm plex mono"/>
                <w:color w:val="000000"/>
                <w:sz w:val="18"/>
                <w:shd w:val="clear" w:color="auto" w:fill="F8F8FA"/>
              </w:rPr>
              <w:t xml:space="preserve">/add-ws-event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WebSocket event scaffold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ibm plex mono" w:cs="ibm plex mono" w:ascii="ibm plex mono" w:hAnsi="ibm plex mono"/>
                <w:color w:val="000000"/>
                <w:sz w:val="18"/>
                <w:shd w:val="clear" w:color="auto" w:fill="F8F8FA"/>
              </w:rPr>
              <w:t xml:space="preserve">094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command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ibm plex mono" w:cs="ibm plex mono" w:ascii="ibm plex mono" w:hAnsi="ibm plex mono"/>
                <w:color w:val="000000"/>
                <w:sz w:val="18"/>
                <w:shd w:val="clear" w:color="auto" w:fill="F8F8FA"/>
              </w:rPr>
              <w:t xml:space="preserve">/add-push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Push notification scaffold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ibm plex mono" w:cs="ibm plex mono" w:ascii="ibm plex mono" w:hAnsi="ibm plex mono"/>
                <w:color w:val="000000"/>
                <w:sz w:val="18"/>
                <w:shd w:val="clear" w:color="auto" w:fill="F8F8FA"/>
              </w:rPr>
              <w:t xml:space="preserve">095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command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ibm plex mono" w:cs="ibm plex mono" w:ascii="ibm plex mono" w:hAnsi="ibm plex mono"/>
                <w:color w:val="000000"/>
                <w:sz w:val="18"/>
                <w:shd w:val="clear" w:color="auto" w:fill="F8F8FA"/>
              </w:rPr>
              <w:t xml:space="preserve">/add-provider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External provider scaffold</w:t>
            </w:r>
          </w:p>
        </w:tc>
      </w:tr>
    </w:tbl>
    <w:p>
      <w:pPr>
        <w:spacing w:lineRule="auto"/>
      </w:pP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5" w:name="bm_2_рекомендуемая_структура_проекта"/>
      <w:r>
        <w:rPr>
          <w:rFonts w:eastAsia="inter" w:cs="inter" w:ascii="inter" w:hAnsi="inter"/>
          <w:b/>
          <w:color w:val="000000"/>
          <w:sz w:val="24"/>
        </w:rPr>
        <w:t xml:space="preserve">2. Рекомендуемая структура проекта</w:t>
      </w:r>
      <w:bookmarkEnd w:id="5"/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Структура привязана к globs — каждая папка «триггерит» нужный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.mdc</w:t>
      </w:r>
      <w:r>
        <w:rPr>
          <w:rFonts w:eastAsia="inter" w:cs="inter" w:ascii="inter" w:hAnsi="inter"/>
          <w:color w:val="000000"/>
        </w:rPr>
        <w:t xml:space="preserve">.</w:t>
      </w:r>
      <w:bookmarkStart w:id="6" w:name="fnref4"/>
      <w:bookmarkEnd w:id="6"/>
      <w:hyperlink w:anchor="fn4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[4]</w:t>
        </w:r>
      </w:hyperlink>
      <w:bookmarkStart w:id="7" w:name="fnref5"/>
      <w:bookmarkEnd w:id="7"/>
      <w:hyperlink w:anchor="fn5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[5]</w:t>
        </w:r>
      </w:hyperlink>
      <w:bookmarkStart w:id="8" w:name="fnref6"/>
      <w:bookmarkEnd w:id="8"/>
      <w:hyperlink w:anchor="fn6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[6]</w:t>
        </w:r>
      </w:hyperlink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robin-food/</w:t>
        <w:br/>
        <w:t xml:space="preserve">├── .cursor/</w:t>
        <w:br/>
        <w:t xml:space="preserve">│   └── rules/                          ← 15 .mdc файлов</w:t>
        <w:br/>
        <w:t xml:space="preserve">│       ├── 000-robin-food-conventions.mdc</w:t>
        <w:br/>
        <w:t xml:space="preserve">│       ├── 010-data-model.mdc</w:t>
        <w:br/>
        <w:t xml:space="preserve">│       ├── ...</w:t>
        <w:br/>
        <w:t xml:space="preserve">│       └── 095-cmd-add-provider.mdc</w:t>
        <w:br/>
        <w:t xml:space="preserve">│</w:t>
        <w:br/>
        <w:t xml:space="preserve">├── docs/                               ← 7 source-of-truth документов</w:t>
        <w:br/>
        <w:t xml:space="preserve">│   ├── Spec_v1.4.5_consolidated.md</w:t>
        <w:br/>
        <w:t xml:space="preserve">│   ├── API_Contract_v1.4.5_consolidated.md</w:t>
        <w:br/>
        <w:t xml:space="preserve">│   ├── Data_Model_v1.4.11_consolidated.md</w:t>
        <w:br/>
        <w:t xml:space="preserve">│   ├── Navigation_v1.4.5_consolidated.md</w:t>
        <w:br/>
        <w:t xml:space="preserve">│   ├── Integration_Contracts_v1.6.5_consolidated.md</w:t>
        <w:br/>
        <w:t xml:space="preserve">│   ├── BNPL_Integration_v1.2.3_consolidated.md</w:t>
        <w:br/>
        <w:t xml:space="preserve">│   └── Settlement_v1.2.3_consolidated.md</w:t>
        <w:br/>
        <w:t xml:space="preserve">│</w:t>
        <w:br/>
        <w:t xml:space="preserve">├── src/</w:t>
        <w:br/>
        <w:t xml:space="preserve">│   ├── api/                            ← triggers 020-api-contracts</w:t>
        <w:br/>
        <w:t xml:space="preserve">│   │   ├── routes/</w:t>
        <w:br/>
        <w:t xml:space="preserve">│   │   ├── controllers/</w:t>
        <w:br/>
        <w:t xml:space="preserve">│   │   ├── handlers/</w:t>
        <w:br/>
        <w:t xml:space="preserve">│   │   └── middleware/</w:t>
        <w:br/>
        <w:t xml:space="preserve">│   │</w:t>
        <w:br/>
        <w:t xml:space="preserve">│   ├── models/                         ← triggers 010-data-model</w:t>
        <w:br/>
        <w:t xml:space="preserve">│   │   ├── appuser.ts</w:t>
        <w:br/>
        <w:t xml:space="preserve">│   │   ├── customerorder.ts</w:t>
        <w:br/>
        <w:t xml:space="preserve">│   │   └── ...24 models</w:t>
        <w:br/>
        <w:t xml:space="preserve">│   │</w:t>
        <w:br/>
        <w:t xml:space="preserve">│   ├── migrations/                     ← triggers 010-data-model</w:t>
        <w:br/>
        <w:t xml:space="preserve">│   │</w:t>
        <w:br/>
        <w:t xml:space="preserve">│   ├── integrations/                   ← triggers 030-integration-contracts</w:t>
        <w:br/>
        <w:t xml:space="preserve">│   │   ├── tinkoff/</w:t>
        <w:br/>
        <w:t xml:space="preserve">│   │   ├── smsc/</w:t>
        <w:br/>
        <w:t xml:space="preserve">│   │   ├── fcm/</w:t>
        <w:br/>
        <w:t xml:space="preserve">│   │   └── yandex/</w:t>
        <w:br/>
        <w:t xml:space="preserve">│   │</w:t>
        <w:br/>
        <w:t xml:space="preserve">│   ├── payments/                       ← triggers 040-bnpl + 030</w:t>
        <w:br/>
        <w:t xml:space="preserve">│   │   ├── bnpl/</w:t>
        <w:br/>
        <w:t xml:space="preserve">│   │   │   ├── split/</w:t>
        <w:br/>
        <w:t xml:space="preserve">│   │   │   └── dolyame/</w:t>
        <w:br/>
        <w:t xml:space="preserve">│   │   └── tinkoff/</w:t>
        <w:br/>
        <w:t xml:space="preserve">│   │</w:t>
        <w:br/>
        <w:t xml:space="preserve">│   ├── settlement/                     ← triggers 050-partner-settlement</w:t>
        <w:br/>
        <w:t xml:space="preserve">│   │   ├── pipeline/</w:t>
        <w:br/>
        <w:t xml:space="preserve">│   │   ├── dispute/</w:t>
        <w:br/>
        <w:t xml:space="preserve">│   │   └── payout/</w:t>
        <w:br/>
        <w:t xml:space="preserve">│   │</w:t>
        <w:br/>
        <w:t xml:space="preserve">│   ├── jobs/                           ← triggers 030 (CRON)</w:t>
        <w:br/>
        <w:t xml:space="preserve">│   │   ├── holdAutoCancel.ts</w:t>
        <w:br/>
        <w:t xml:space="preserve">│   │   ├── settlementPipeline.ts</w:t>
        <w:br/>
        <w:t xml:space="preserve">│   │   ├── accountDeletion.ts</w:t>
        <w:br/>
        <w:t xml:space="preserve">│   │   ├── smartAlerts.ts</w:t>
        <w:br/>
        <w:t xml:space="preserve">│   │   └── otpCleanup.ts</w:t>
        <w:br/>
        <w:t xml:space="preserve">│   │</w:t>
        <w:br/>
        <w:t xml:space="preserve">│   ├── push/                           ← triggers 030</w:t>
        <w:br/>
        <w:t xml:space="preserve">│   │   ├── gateway.ts</w:t>
        <w:br/>
        <w:t xml:space="preserve">│   │   └── triggers/</w:t>
        <w:br/>
        <w:t xml:space="preserve">│   │</w:t>
        <w:br/>
        <w:t xml:space="preserve">│   ├── webhooks/                       ← triggers 030</w:t>
        <w:br/>
        <w:t xml:space="preserve">│   │   └── tinkoff.ts</w:t>
        <w:br/>
        <w:t xml:space="preserve">│   │</w:t>
        <w:br/>
        <w:t xml:space="preserve">│   └── ws/                             ← references 020</w:t>
        <w:br/>
        <w:t xml:space="preserve">│       ├── connection.ts</w:t>
        <w:br/>
        <w:t xml:space="preserve">│       └── events/</w:t>
        <w:br/>
        <w:t xml:space="preserve">│</w:t>
        <w:br/>
        <w:t xml:space="preserve">├── mobile/</w:t>
        <w:br/>
        <w:t xml:space="preserve">│   ├── src/</w:t>
        <w:br/>
        <w:t xml:space="preserve">│   │   ├── screens/                    ← triggers 060-navigation</w:t>
        <w:br/>
        <w:t xml:space="preserve">│   │   │   ├── Buyer/</w:t>
        <w:br/>
        <w:t xml:space="preserve">│   │   │   │   ├── Auth/</w:t>
        <w:br/>
        <w:t xml:space="preserve">│   │   │   │   ├── Home/</w:t>
        <w:br/>
        <w:t xml:space="preserve">│   │   │   │   ├── Cart/</w:t>
        <w:br/>
        <w:t xml:space="preserve">│   │   │   │   └── ...24 screens</w:t>
        <w:br/>
        <w:t xml:space="preserve">│   │   │   └── Picker/</w:t>
        <w:br/>
        <w:t xml:space="preserve">│   │   │       └── ...5 screens</w:t>
        <w:br/>
        <w:t xml:space="preserve">│   │   ├── navigation/                 ← triggers 060</w:t>
        <w:br/>
        <w:t xml:space="preserve">│   │   ├── components/                 ← triggers 060</w:t>
        <w:br/>
        <w:t xml:space="preserve">│   │   └── deeplinks/                  ← triggers 060</w:t>
        <w:br/>
        <w:t xml:space="preserve">│   └── ...</w:t>
        <w:br/>
        <w:t xml:space="preserve">│</w:t>
        <w:br/>
        <w:t xml:space="preserve">├── scripts/</w:t>
        <w:br/>
        <w:t xml:space="preserve">│   ├── invite-user.sh</w:t>
        <w:br/>
        <w:t xml:space="preserve">│   └── generate-openapi.py</w:t>
        <w:br/>
        <w:t xml:space="preserve">│</w:t>
        <w:br/>
        <w:t xml:space="preserve">├── openapi.yaml                        ← 61 endpoints, OpenAPI 3.1.0</w:t>
        <w:br/>
        <w:t xml:space="preserve">└── .github/workflows/ci.yml           ← oasdiff breaking + schemathesis</w:t>
        <w:br/>
        <w:t xml:space="preserve"/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9" w:name="bm_3_инструкция_по_загрузке_в_cursor"/>
      <w:r>
        <w:rPr>
          <w:rFonts w:eastAsia="inter" w:cs="inter" w:ascii="inter" w:hAnsi="inter"/>
          <w:b/>
          <w:color w:val="000000"/>
          <w:sz w:val="24"/>
        </w:rPr>
        <w:t xml:space="preserve">3. Инструкция по загрузке в Cursor</w:t>
      </w:r>
      <w:bookmarkEnd w:id="9"/>
    </w:p>
    <w:p>
      <w:pPr>
        <w:spacing w:line="360" w:before="315" w:after="105" w:lineRule="auto"/>
        <w:ind w:left="-30"/>
        <w:jc w:val="left"/>
      </w:pPr>
      <w:bookmarkStart w:id="10" w:name="шаг_1_создать_папку_rules"/>
      <w:r>
        <w:rPr>
          <w:rFonts w:eastAsia="inter" w:cs="inter" w:ascii="inter" w:hAnsi="inter"/>
          <w:b/>
          <w:color w:val="000000"/>
          <w:sz w:val="24"/>
        </w:rPr>
        <w:t xml:space="preserve">Шаг 1 — Создать папку rules</w:t>
      </w:r>
      <w:bookmarkEnd w:id="10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mkdir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-p .cursor/rules</w:t>
        <w:br/>
        <w:t xml:space="preserve"/>
      </w:r>
    </w:p>
    <w:p>
      <w:pPr>
        <w:spacing w:line="360" w:before="315" w:after="105" w:lineRule="auto"/>
        <w:ind w:left="-30"/>
        <w:jc w:val="left"/>
      </w:pPr>
      <w:bookmarkStart w:id="11" w:name="шаг_2_скопировать_15_mdc_файлов"/>
      <w:r>
        <w:rPr>
          <w:rFonts w:eastAsia="inter" w:cs="inter" w:ascii="inter" w:hAnsi="inter"/>
          <w:b/>
          <w:color w:val="000000"/>
          <w:sz w:val="24"/>
        </w:rPr>
        <w:t xml:space="preserve">Шаг 2 — Скопировать 15 .mdc файлов</w:t>
      </w:r>
      <w:bookmarkEnd w:id="11"/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Скачайте все 15 файлов из этого чата и поместите в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.cursor/rules/</w:t>
      </w:r>
      <w:r>
        <w:rPr>
          <w:rFonts w:eastAsia="inter" w:cs="inter" w:ascii="inter" w:hAnsi="inter"/>
          <w:color w:val="000000"/>
        </w:rPr>
        <w:t xml:space="preserve">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# Из папки с загруженными файлами: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cp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0*.mdc .cursor/rules/</w:t>
        <w:br/>
        <w:t xml:space="preserve"/>
      </w:r>
    </w:p>
    <w:p>
      <w:pPr>
        <w:spacing w:line="360" w:before="315" w:after="105" w:lineRule="auto"/>
        <w:ind w:left="-30"/>
        <w:jc w:val="left"/>
      </w:pPr>
      <w:bookmarkStart w:id="12" w:name="шаг_3_поместить_документы_в_docs"/>
      <w:r>
        <w:rPr>
          <w:rFonts w:eastAsia="inter" w:cs="inter" w:ascii="inter" w:hAnsi="inter"/>
          <w:b/>
          <w:color w:val="000000"/>
          <w:sz w:val="24"/>
        </w:rPr>
        <w:t xml:space="preserve">Шаг 3 — Поместить документы в </w:t>
      </w:r>
      <w:r>
        <w:rPr>
          <w:rStyle w:val="VerbatimChar"/>
          <w:rFonts w:eastAsia="inter" w:cs="inter" w:ascii="inter" w:hAnsi="inter"/>
          <w:b/>
          <w:color w:val="000000"/>
          <w:sz w:val="24"/>
          <w:shd w:val="clear" w:color="auto" w:fill="F8F8FA"/>
        </w:rPr>
        <w:t xml:space="preserve">docs/</w:t>
      </w:r>
      <w:bookmarkEnd w:id="12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mkdir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-p docs</w:t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cp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Spec_v1.4.5_consolidated.md docs/</w:t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cp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API_Contract_v1.4.5_consolidated.md docs/</w:t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cp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Data_Model_v1.4.11_consolidated.md docs/</w:t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cp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Navigation_v1.4.5_consolidated.md docs/</w:t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cp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Integration_Contracts_v1.6.5_consolidated.md docs/</w:t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cp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BNPL_Integration_v1.2.3_consolidated.md docs/</w:t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cp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Settlement_v1.2.3_consolidated.md docs/</w:t>
        <w:br/>
        <w:t xml:space="preserve"/>
      </w:r>
    </w:p>
    <w:p>
      <w:pPr>
        <w:spacing w:line="360" w:before="315" w:after="105" w:lineRule="auto"/>
        <w:ind w:left="-30"/>
        <w:jc w:val="left"/>
      </w:pPr>
      <w:bookmarkStart w:id="13" w:name="шаг_4_проверить_загрузку"/>
      <w:r>
        <w:rPr>
          <w:rFonts w:eastAsia="inter" w:cs="inter" w:ascii="inter" w:hAnsi="inter"/>
          <w:b/>
          <w:color w:val="000000"/>
          <w:sz w:val="24"/>
        </w:rPr>
        <w:t xml:space="preserve">Шаг 4 — Проверить загрузку</w:t>
      </w:r>
      <w:bookmarkEnd w:id="13"/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В Cursor: </w:t>
      </w:r>
      <w:r>
        <w:rPr>
          <w:rFonts w:eastAsia="inter" w:cs="inter" w:ascii="inter" w:hAnsi="inter"/>
          <w:b/>
          <w:color w:val="000000"/>
        </w:rPr>
        <w:t xml:space="preserve">Settings → Cursor Settings → Rules</w:t>
      </w:r>
      <w:r>
        <w:rPr>
          <w:rFonts w:eastAsia="inter" w:cs="inter" w:ascii="inter" w:hAnsi="inter"/>
          <w:color w:val="000000"/>
        </w:rPr>
        <w:t xml:space="preserve"> — должно отображаться </w:t>
      </w:r>
      <w:r>
        <w:rPr>
          <w:rFonts w:eastAsia="inter" w:cs="inter" w:ascii="inter" w:hAnsi="inter"/>
          <w:b/>
          <w:color w:val="000000"/>
        </w:rPr>
        <w:t xml:space="preserve">15 rules</w:t>
      </w:r>
      <w:r>
        <w:rPr>
          <w:rFonts w:eastAsia="inter" w:cs="inter" w:ascii="inter" w:hAnsi="inter"/>
          <w:color w:val="000000"/>
        </w:rPr>
        <w:t xml:space="preserve">, из них 1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alwaysApply: true</w:t>
      </w:r>
      <w:r>
        <w:rPr>
          <w:rFonts w:eastAsia="inter" w:cs="inter" w:ascii="inter" w:hAnsi="inter"/>
          <w:color w:val="000000"/>
        </w:rPr>
        <w:t xml:space="preserve"> .</w:t>
      </w:r>
    </w:p>
    <w:p>
      <w:pPr>
        <w:spacing w:line="360" w:before="315" w:after="105" w:lineRule="auto"/>
        <w:ind w:left="-30"/>
        <w:jc w:val="left"/>
      </w:pPr>
      <w:bookmarkStart w:id="14" w:name="шаг_5_тестовые_команды"/>
      <w:r>
        <w:rPr>
          <w:rFonts w:eastAsia="inter" w:cs="inter" w:ascii="inter" w:hAnsi="inter"/>
          <w:b/>
          <w:color w:val="000000"/>
          <w:sz w:val="24"/>
        </w:rPr>
        <w:t xml:space="preserve">Шаг 5 — Тестовые команды</w:t>
      </w:r>
      <w:bookmarkEnd w:id="14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# В чат Cursor:</w:t>
        <w:br/>
        <w:t xml:space="preserve">/add-screen     → покажет чеклист из 10 шагов</w:t>
        <w:br/>
        <w:t xml:space="preserve">/new-endpoint   → покажет чеклист API из 11 шагов</w:t>
        <w:br/>
        <w:t xml:space="preserve">/add-cron       → покажет таблицу существующих 5 jobs</w:t>
        <w:br/>
        <w:t xml:space="preserve"/>
      </w:r>
    </w:p>
    <w:p>
      <w:pPr>
        <w:spacing w:line="360" w:before="315" w:after="105" w:lineRule="auto"/>
        <w:ind w:left="-30"/>
        <w:jc w:val="left"/>
      </w:pPr>
      <w:bookmarkStart w:id="15" w:name="как_это_работает"/>
      <w:r>
        <w:rPr>
          <w:rFonts w:eastAsia="inter" w:cs="inter" w:ascii="inter" w:hAnsi="inter"/>
          <w:b/>
          <w:color w:val="000000"/>
          <w:sz w:val="24"/>
        </w:rPr>
        <w:t xml:space="preserve">Как это работает</w:t>
      </w:r>
      <w:bookmarkEnd w:id="15"/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Открываете </w:t>
      </w:r>
      <w:r>
        <w:rPr>
          <w:rStyle w:val="VerbatimChar"/>
          <w:rFonts w:eastAsia="inter" w:cs="inter" w:ascii="inter" w:hAnsi="inter"/>
          <w:b/>
          <w:color w:val="000000"/>
          <w:sz w:val="21"/>
          <w:shd w:val="clear" w:color="auto" w:fill="F8F8FA"/>
        </w:rPr>
        <w:t xml:space="preserve">src/models/customerorder.ts</w:t>
      </w:r>
      <w:r>
        <w:rPr>
          <w:rFonts w:eastAsia="inter" w:cs="inter" w:ascii="inter" w:hAnsi="inter"/>
          <w:color w:val="000000"/>
          <w:sz w:val="21"/>
        </w:rPr>
        <w:t xml:space="preserve"> → Cursor автоматически загружает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000</w:t>
      </w:r>
      <w:r>
        <w:rPr>
          <w:rFonts w:eastAsia="inter" w:cs="inter" w:ascii="inter" w:hAnsi="inter"/>
          <w:color w:val="000000"/>
          <w:sz w:val="21"/>
        </w:rPr>
        <w:t xml:space="preserve"> (conventions) +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010</w:t>
      </w:r>
      <w:r>
        <w:rPr>
          <w:rFonts w:eastAsia="inter" w:cs="inter" w:ascii="inter" w:hAnsi="inter"/>
          <w:color w:val="000000"/>
          <w:sz w:val="21"/>
        </w:rPr>
        <w:t xml:space="preserve"> (Data Model v1.4.11) — агент знает про 24 таблицы, constraints, индексы</w:t>
      </w:r>
      <w:bookmarkStart w:id="16" w:name="fnref5_1"/>
      <w:bookmarkEnd w:id="16"/>
      <w:hyperlink w:anchor="fn5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[5]</w:t>
        </w:r>
      </w:hyperlink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Открываете </w:t>
      </w:r>
      <w:r>
        <w:rPr>
          <w:rStyle w:val="VerbatimChar"/>
          <w:rFonts w:eastAsia="inter" w:cs="inter" w:ascii="inter" w:hAnsi="inter"/>
          <w:b/>
          <w:color w:val="000000"/>
          <w:sz w:val="21"/>
          <w:shd w:val="clear" w:color="auto" w:fill="F8F8FA"/>
        </w:rPr>
        <w:t xml:space="preserve">src/api/routes/orders.ts</w:t>
      </w:r>
      <w:r>
        <w:rPr>
          <w:rFonts w:eastAsia="inter" w:cs="inter" w:ascii="inter" w:hAnsi="inter"/>
          <w:color w:val="000000"/>
          <w:sz w:val="21"/>
        </w:rPr>
        <w:t xml:space="preserve"> → загружается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000</w:t>
      </w:r>
      <w:r>
        <w:rPr>
          <w:rFonts w:eastAsia="inter" w:cs="inter" w:ascii="inter" w:hAnsi="inter"/>
          <w:color w:val="000000"/>
          <w:sz w:val="21"/>
        </w:rPr>
        <w:t xml:space="preserve"> +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020</w:t>
      </w:r>
      <w:r>
        <w:rPr>
          <w:rFonts w:eastAsia="inter" w:cs="inter" w:ascii="inter" w:hAnsi="inter"/>
          <w:color w:val="000000"/>
          <w:sz w:val="21"/>
        </w:rPr>
        <w:t xml:space="preserve"> (61 endpoint, WS, rate limits)</w:t>
      </w:r>
      <w:bookmarkStart w:id="17" w:name="fnref4_1"/>
      <w:bookmarkEnd w:id="17"/>
      <w:hyperlink w:anchor="fn4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[4]</w:t>
        </w:r>
      </w:hyperlink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Открываете </w:t>
      </w:r>
      <w:r>
        <w:rPr>
          <w:rStyle w:val="VerbatimChar"/>
          <w:rFonts w:eastAsia="inter" w:cs="inter" w:ascii="inter" w:hAnsi="inter"/>
          <w:b/>
          <w:color w:val="000000"/>
          <w:sz w:val="21"/>
          <w:shd w:val="clear" w:color="auto" w:fill="F8F8FA"/>
        </w:rPr>
        <w:t xml:space="preserve">src/settlement/payout/executor.ts</w:t>
      </w:r>
      <w:r>
        <w:rPr>
          <w:rFonts w:eastAsia="inter" w:cs="inter" w:ascii="inter" w:hAnsi="inter"/>
          <w:color w:val="000000"/>
          <w:sz w:val="21"/>
        </w:rPr>
        <w:t xml:space="preserve"> → загружается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000</w:t>
      </w:r>
      <w:r>
        <w:rPr>
          <w:rFonts w:eastAsia="inter" w:cs="inter" w:ascii="inter" w:hAnsi="inter"/>
          <w:color w:val="000000"/>
          <w:sz w:val="21"/>
        </w:rPr>
        <w:t xml:space="preserve"> +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050</w:t>
      </w:r>
      <w:r>
        <w:rPr>
          <w:rFonts w:eastAsia="inter" w:cs="inter" w:ascii="inter" w:hAnsi="inter"/>
          <w:color w:val="000000"/>
          <w:sz w:val="21"/>
        </w:rPr>
        <w:t xml:space="preserve"> (pipeline, dispute, </w:t>
      </w:r>
      <w:r>
        <w:rPr>
          <w:rFonts w:eastAsia="inter" w:cs="inter" w:ascii="inter" w:hAnsi="inter"/>
          <w:b/>
          <w:color w:val="000000"/>
          <w:sz w:val="21"/>
        </w:rPr>
        <w:t xml:space="preserve">новый</w:t>
      </w:r>
      <w:r>
        <w:rPr>
          <w:rFonts w:eastAsia="inter" w:cs="inter" w:ascii="inter" w:hAnsi="inter"/>
          <w:color w:val="000000"/>
          <w:sz w:val="21"/>
        </w:rPr>
        <w:t xml:space="preserve"> payout execution с payoutref)</w:t>
      </w:r>
      <w:bookmarkStart w:id="18" w:name="fnref1_1"/>
      <w:bookmarkEnd w:id="18"/>
      <w:hyperlink w:anchor="fn1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[1]</w:t>
        </w:r>
      </w:hyperlink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Пишете </w:t>
      </w:r>
      <w:r>
        <w:rPr>
          <w:rStyle w:val="VerbatimChar"/>
          <w:rFonts w:eastAsia="inter" w:cs="inter" w:ascii="inter" w:hAnsi="inter"/>
          <w:b/>
          <w:color w:val="000000"/>
          <w:sz w:val="21"/>
          <w:shd w:val="clear" w:color="auto" w:fill="F8F8FA"/>
        </w:rPr>
        <w:t xml:space="preserve">/add-cron</w:t>
      </w:r>
      <w:r>
        <w:rPr>
          <w:rFonts w:eastAsia="inter" w:cs="inter" w:ascii="inter" w:hAnsi="inter"/>
          <w:color w:val="000000"/>
          <w:sz w:val="21"/>
        </w:rPr>
        <w:t xml:space="preserve"> → загружается чеклист с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cronHealthWrapper</w:t>
      </w:r>
      <w:r>
        <w:rPr>
          <w:rFonts w:eastAsia="inter" w:cs="inter" w:ascii="inter" w:hAnsi="inter"/>
          <w:color w:val="000000"/>
          <w:sz w:val="21"/>
        </w:rPr>
        <w:t xml:space="preserve">, таблица thresholds, Dead Man's Switch</w:t>
      </w:r>
      <w:bookmarkStart w:id="19" w:name="fnref3_1"/>
      <w:bookmarkEnd w:id="19"/>
      <w:hyperlink w:anchor="fn3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[3]</w:t>
        </w:r>
      </w:hyperlink>
      <w:r>
        <w:rPr>
          <w:rFonts w:eastAsia="inter" w:cs="inter" w:ascii="inter" w:hAnsi="inter"/>
          <w:color w:val="000000"/>
          <w:sz w:val="21"/>
        </w:rPr>
        <w:br w:type="textWrapping"/>
      </w:r>
    </w:p>
    <w:p>
      <w:pPr>
        <w:spacing w:line="360" w:lineRule="auto"/>
      </w:pPr>
      <w:r>
        <w:rPr>
          <w:rFonts w:eastAsia="inter" w:cs="inter" w:ascii="inter" w:hAnsi="inter"/>
          <w:color w:val="000000"/>
        </w:rPr>
        <w:t xml:space="preserve">⁂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bookmarkStart w:id="20" w:name="fn1"/>
    <w:bookmarkEnd w:id="20"/>
    <w:p>
      <w:pPr>
        <w:numPr>
          <w:ilvl w:val="0"/>
          <w:numId w:val="3"/>
        </w:numPr>
        <w:spacing w:line="360" w:after="210" w:lineRule="auto"/>
      </w:pPr>
      <w:r>
        <w:rPr>
          <w:rFonts w:eastAsia="inter" w:cs="inter" w:ascii="inter" w:hAnsi="inter"/>
          <w:color w:val="000000"/>
          <w:sz w:val="18"/>
        </w:rPr>
        <w:t xml:space="preserve">Settlement_v1.2.3_consolidated.md </w:t>
      </w:r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1" w:name="fn2"/>
    <w:bookmarkEnd w:id="21"/>
    <w:p>
      <w:pPr>
        <w:numPr>
          <w:ilvl w:val="0"/>
          <w:numId w:val="3"/>
        </w:numPr>
        <w:spacing w:line="360" w:after="210" w:lineRule="auto"/>
      </w:pPr>
      <w:r>
        <w:rPr>
          <w:rFonts w:eastAsia="inter" w:cs="inter" w:ascii="inter" w:hAnsi="inter"/>
          <w:color w:val="000000"/>
          <w:sz w:val="18"/>
        </w:rPr>
        <w:t xml:space="preserve">Spec_v1.4.5_consolidated.md </w:t>
      </w:r>
    </w:p>
    <w:bookmarkStart w:id="22" w:name="fn3"/>
    <w:bookmarkEnd w:id="22"/>
    <w:p>
      <w:pPr>
        <w:numPr>
          <w:ilvl w:val="0"/>
          <w:numId w:val="3"/>
        </w:numPr>
        <w:spacing w:line="360" w:after="210" w:lineRule="auto"/>
      </w:pPr>
      <w:r>
        <w:rPr>
          <w:rFonts w:eastAsia="inter" w:cs="inter" w:ascii="inter" w:hAnsi="inter"/>
          <w:color w:val="000000"/>
          <w:sz w:val="18"/>
        </w:rPr>
        <w:t xml:space="preserve">Integration_Contracts_v1.6.5_consolidated.md </w:t>
      </w:r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3" w:name="fn4"/>
    <w:bookmarkEnd w:id="23"/>
    <w:p>
      <w:pPr>
        <w:numPr>
          <w:ilvl w:val="0"/>
          <w:numId w:val="3"/>
        </w:numPr>
        <w:spacing w:line="360" w:after="210" w:lineRule="auto"/>
      </w:pPr>
      <w:r>
        <w:rPr>
          <w:rFonts w:eastAsia="inter" w:cs="inter" w:ascii="inter" w:hAnsi="inter"/>
          <w:color w:val="000000"/>
          <w:sz w:val="18"/>
        </w:rPr>
        <w:t xml:space="preserve">API_Contract_v1.4.5_consolidated.md </w:t>
      </w:r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4" w:name="fn5"/>
    <w:bookmarkEnd w:id="24"/>
    <w:p>
      <w:pPr>
        <w:numPr>
          <w:ilvl w:val="0"/>
          <w:numId w:val="3"/>
        </w:numPr>
        <w:spacing w:line="360" w:after="210" w:lineRule="auto"/>
      </w:pPr>
      <w:r>
        <w:rPr>
          <w:rFonts w:eastAsia="inter" w:cs="inter" w:ascii="inter" w:hAnsi="inter"/>
          <w:color w:val="000000"/>
          <w:sz w:val="18"/>
        </w:rPr>
        <w:t xml:space="preserve">Data_Model_v1.4.11_consolidated.md </w:t>
      </w:r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5" w:name="fn6"/>
    <w:bookmarkEnd w:id="25"/>
    <w:p>
      <w:pPr>
        <w:numPr>
          <w:ilvl w:val="0"/>
          <w:numId w:val="3"/>
        </w:numPr>
        <w:spacing w:line="360" w:after="210" w:lineRule="auto"/>
      </w:pPr>
      <w:r>
        <w:rPr>
          <w:rFonts w:eastAsia="inter" w:cs="inter" w:ascii="inter" w:hAnsi="inter"/>
          <w:color w:val="000000"/>
          <w:sz w:val="18"/>
        </w:rPr>
        <w:t xml:space="preserve">Navigation_v1.4.5_consolidated.md </w:t>
      </w:r>
    </w:p>
    <w:bookmarkStart w:id="26" w:name="fn7"/>
    <w:bookmarkEnd w:id="26"/>
    <w:p>
      <w:pPr>
        <w:numPr>
          <w:ilvl w:val="0"/>
          <w:numId w:val="3"/>
        </w:numPr>
        <w:spacing w:line="360" w:after="210" w:lineRule="auto"/>
      </w:pPr>
      <w:r>
        <w:rPr>
          <w:rFonts w:eastAsia="inter" w:cs="inter" w:ascii="inter" w:hAnsi="inter"/>
          <w:color w:val="000000"/>
          <w:sz w:val="18"/>
        </w:rPr>
        <w:t xml:space="preserve">BNPL_Integration_v1.2.3_consolidated.md </w:t>
      </w:r>
    </w:p>
    <w:sectPr>
      <w:pgSz w:w="12240" w:h="15840" w:orient="portrait"/>
      <w:pgMar w:top="1365" w:right="1365" w:bottom="1365" w:left="136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inter">
    <w:family w:val="auto"/>
    <w:pitch w:val="variable"/>
  </w:font>
  <w:font w:name="ibm plex mono">
    <w:family w:val="auto"/>
    <w:pitch w:val="variable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">
    <w:multiLevelType w:val="hybridMultilevel"/>
  </w:abstractNum>
  <w:abstractNum w:abstractNumId="3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ru-RU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ru-RU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  <w:style w:type="table" w:styleId="TableGrid">
    <w:name w:val="Normal Grid"/>
    <w:basedOn w:val="TableNormal"/>
    <w:uiPriority w:val="39"/>
    <w:pPr>
      <w:spacing w:after="0" w:line="240" w:lineRule="auto"/>
    </w:pPr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image" Target="media/image-22392ffe9e8d09928530c019a5577c93fa7938be.png" TargetMode="Interna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2026-02-16T21:04:11.642Z</dcterms:created>
  <dcterms:modified xsi:type="dcterms:W3CDTF">2026-02-16T21:04:11.642Z</dcterms:modified>
</cp:coreProperties>
</file>