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15D59914" wp14:textId="77777777">
      <w:pPr>
        <w:spacing w:after="80"/>
      </w:pPr>
      <w:r>
        <w:rPr>
          <w:rFonts w:ascii="Arial" w:hAnsi="Arial" w:eastAsia="Arial" w:cs="Arial"/>
          <w:b/>
          <w:bCs/>
          <w:color w:val="1F8A8A"/>
          <w:spacing w:val="140"/>
          <w:sz w:val="20"/>
          <w:szCs w:val="20"/>
        </w:rPr>
        <w:t xml:space="preserve">STRATEGIC RESEARCH REPORT</w:t>
      </w:r>
    </w:p>
    <w:p xmlns:wp14="http://schemas.microsoft.com/office/word/2010/wordml" w14:paraId="463642D9" wp14:textId="77777777">
      <w:pPr>
        <w:spacing w:before="900" w:after="260"/>
      </w:pPr>
      <w:r>
        <w:rPr>
          <w:rFonts w:ascii="Arial" w:hAnsi="Arial" w:eastAsia="Arial" w:cs="Arial"/>
          <w:b/>
          <w:bCs/>
          <w:color w:val="173F5F"/>
          <w:sz w:val="54"/>
          <w:szCs w:val="54"/>
        </w:rPr>
        <w:t xml:space="preserve">Why the Traditional MSP and TSP Business Model Is Becoming Obsolete</w:t>
      </w:r>
    </w:p>
    <w:p xmlns:wp14="http://schemas.microsoft.com/office/word/2010/wordml" w14:paraId="42EFBBFF" wp14:textId="77777777">
      <w:pPr>
        <w:spacing w:after="460"/>
      </w:pPr>
      <w:r w:rsidRPr="72A2CC76" w:rsidR="72A2CC76">
        <w:rPr>
          <w:rFonts w:ascii="Arial" w:hAnsi="Arial" w:eastAsia="Arial" w:cs="Arial"/>
          <w:color w:val="526578"/>
          <w:sz w:val="27"/>
          <w:szCs w:val="27"/>
          <w:lang w:val="en-US"/>
        </w:rPr>
        <w:t>An evidence-based strategic assessment of viability, value migration and reinvention through 2030–2036</w:t>
      </w:r>
    </w:p>
    <w:p xmlns:wp14="http://schemas.microsoft.com/office/word/2010/wordml" w14:paraId="672A6659" wp14:textId="77777777">
      <w:pPr>
        <w:pBdr>
          <w:bottom w:val="single" w:color="1F8A8A" w:sz="14" w:space="1"/>
        </w:pBdr>
        <w:spacing w:after="340"/>
      </w:pPr>
      <w:r/>
    </w:p>
    <w:p xmlns:wp14="http://schemas.microsoft.com/office/word/2010/wordml" w14:paraId="6C50550A" wp14:textId="77777777">
      <w:pPr>
        <w:spacing w:after="120"/>
      </w:pPr>
      <w:r>
        <w:rPr>
          <w:rFonts w:ascii="Arial" w:hAnsi="Arial" w:eastAsia="Arial" w:cs="Arial"/>
          <w:b/>
          <w:bCs/>
          <w:color w:val="1F8A8A"/>
          <w:sz w:val="18"/>
          <w:szCs w:val="18"/>
        </w:rPr>
        <w:t xml:space="preserve">Prepared for</w:t>
      </w:r>
    </w:p>
    <w:p xmlns:wp14="http://schemas.microsoft.com/office/word/2010/wordml" w14:paraId="75AD5D57" wp14:textId="77777777">
      <w:pPr>
        <w:spacing w:after="260"/>
      </w:pPr>
      <w:r>
        <w:rPr>
          <w:rFonts w:ascii="Arial" w:hAnsi="Arial" w:eastAsia="Arial" w:cs="Arial"/>
          <w:color w:val="1A1A1A"/>
          <w:sz w:val="22"/>
          <w:szCs w:val="22"/>
        </w:rPr>
        <w:t xml:space="preserve">MSP owners • Microsoft partners • technology-service executives • boards • private-equity investors</w:t>
      </w:r>
    </w:p>
    <w:p xmlns:wp14="http://schemas.microsoft.com/office/word/2010/wordml" w14:paraId="489A7EF8" wp14:textId="77777777">
      <w:pPr>
        <w:spacing w:after="80"/>
      </w:pPr>
      <w:r>
        <w:rPr>
          <w:rFonts w:ascii="Arial" w:hAnsi="Arial" w:eastAsia="Arial" w:cs="Arial"/>
          <w:b/>
          <w:bCs/>
          <w:color w:val="1F8A8A"/>
          <w:sz w:val="18"/>
          <w:szCs w:val="18"/>
        </w:rPr>
        <w:t xml:space="preserve">Evidence cutoff</w:t>
      </w:r>
    </w:p>
    <w:p xmlns:wp14="http://schemas.microsoft.com/office/word/2010/wordml" w14:paraId="6D73AA57" wp14:textId="77777777">
      <w:pPr>
        <w:spacing w:after="500"/>
      </w:pPr>
      <w:r>
        <w:rPr>
          <w:rFonts w:ascii="Arial" w:hAnsi="Arial" w:eastAsia="Arial" w:cs="Arial"/>
          <w:color w:val="1A1A1A"/>
          <w:sz w:val="22"/>
          <w:szCs w:val="22"/>
        </w:rPr>
        <w:t xml:space="preserve">30 September 2026</w:t>
      </w:r>
    </w:p>
    <w:p xmlns:wp14="http://schemas.microsoft.com/office/word/2010/wordml" w:rsidP="72A2CC76" w14:paraId="1B81D82A" wp14:textId="77777777">
      <w:pPr>
        <w:pBdr>
          <w:left w:val="single" w:color="2F6BFF" w:sz="18" w:space="1"/>
        </w:pBdr>
        <w:shd w:val="clear" w:color="auto" w:fill="EEF3F7"/>
        <w:spacing w:before="600" w:after="0"/>
        <w:ind w:left="220" w:right="220"/>
      </w:pPr>
      <w:r w:rsidRPr="72A2CC76" w:rsidR="72A2CC76">
        <w:rPr>
          <w:rFonts w:ascii="Arial" w:hAnsi="Arial" w:eastAsia="Arial" w:cs="Arial"/>
          <w:b w:val="1"/>
          <w:bCs w:val="1"/>
          <w:color w:val="173F5F"/>
          <w:sz w:val="21"/>
          <w:szCs w:val="21"/>
          <w:lang w:val="en-US"/>
        </w:rPr>
        <w:t>Board conclusion: managed services remains viable; the labor-dependent, task-centric delivery model does not remain strategically safe. The likely future is value migration, margin divergence and consolidation—not universal extinction.</w:t>
      </w:r>
    </w:p>
    <w:p xmlns:wp14="http://schemas.microsoft.com/office/word/2010/wordml" w14:paraId="0A37501D" wp14:textId="77777777">
      <w:pPr>
        <w:sectPr>
          <w:pgSz w:w="12240" w:h="15840" w:orient="portrait"/>
          <w:pgMar w:top="1008" w:right="792" w:bottom="1008" w:left="792" w:header="708" w:footer="708" w:gutter="0"/>
          <w:pgNumType/>
          <w:docGrid w:linePitch="360"/>
          <w:cols w:num="1"/>
        </w:sectPr>
      </w:pPr>
    </w:p>
    <w:p xmlns:wp14="http://schemas.microsoft.com/office/word/2010/wordml" w14:paraId="406425CA" wp14:textId="77777777">
      <w:pPr>
        <w:pStyle w:val="Heading2"/>
      </w:pPr>
      <w:r>
        <w:rPr>
          <w:rFonts w:ascii="Arial" w:hAnsi="Arial" w:eastAsia="Arial" w:cs="Arial"/>
          <w:b/>
          <w:bCs/>
          <w:color w:val="1F8A8A"/>
          <w:sz w:val="25"/>
          <w:szCs w:val="25"/>
        </w:rPr>
        <w:t xml:space="preserve">Contents</w:t>
      </w:r>
    </w:p>
    <w:p xmlns:wp14="http://schemas.microsoft.com/office/word/2010/wordml" w14:paraId="0583529C" wp14:textId="77777777">
      <w:pPr>
        <w:spacing w:after="70" w:line="260"/>
        <w:ind w:left="480" w:hanging="240"/>
      </w:pPr>
      <w:r>
        <w:rPr>
          <w:rFonts w:ascii="Arial" w:hAnsi="Arial" w:eastAsia="Arial" w:cs="Arial"/>
          <w:b w:val="false"/>
          <w:bCs w:val="false"/>
          <w:i w:val="false"/>
          <w:iCs w:val="false"/>
          <w:color w:val="1A1A1A"/>
          <w:sz w:val="19"/>
          <w:szCs w:val="19"/>
        </w:rPr>
        <w:t xml:space="preserve">1. Executive Summary</w:t>
      </w:r>
    </w:p>
    <w:p xmlns:wp14="http://schemas.microsoft.com/office/word/2010/wordml" w14:paraId="406E9DD5" wp14:textId="77777777">
      <w:pPr>
        <w:spacing w:after="70" w:line="260"/>
        <w:ind w:left="480" w:hanging="240"/>
      </w:pPr>
      <w:r>
        <w:rPr>
          <w:rFonts w:ascii="Arial" w:hAnsi="Arial" w:eastAsia="Arial" w:cs="Arial"/>
          <w:b w:val="false"/>
          <w:bCs w:val="false"/>
          <w:i w:val="false"/>
          <w:iCs w:val="false"/>
          <w:color w:val="1A1A1A"/>
          <w:sz w:val="19"/>
          <w:szCs w:val="19"/>
        </w:rPr>
        <w:t xml:space="preserve">2. Research Methodology</w:t>
      </w:r>
    </w:p>
    <w:p xmlns:wp14="http://schemas.microsoft.com/office/word/2010/wordml" w14:paraId="6B3BE9CE" wp14:textId="77777777">
      <w:pPr>
        <w:spacing w:after="70" w:line="260"/>
        <w:ind w:left="480" w:hanging="240"/>
      </w:pPr>
      <w:r>
        <w:rPr>
          <w:rFonts w:ascii="Arial" w:hAnsi="Arial" w:eastAsia="Arial" w:cs="Arial"/>
          <w:b w:val="false"/>
          <w:bCs w:val="false"/>
          <w:i w:val="false"/>
          <w:iCs w:val="false"/>
          <w:color w:val="1A1A1A"/>
          <w:sz w:val="19"/>
          <w:szCs w:val="19"/>
        </w:rPr>
        <w:t xml:space="preserve">3. Key Findings</w:t>
      </w:r>
    </w:p>
    <w:p xmlns:wp14="http://schemas.microsoft.com/office/word/2010/wordml" w14:paraId="12C1BBE1" wp14:textId="77777777">
      <w:pPr>
        <w:spacing w:after="70" w:line="260"/>
        <w:ind w:left="480" w:hanging="240"/>
      </w:pPr>
      <w:r>
        <w:rPr>
          <w:rFonts w:ascii="Arial" w:hAnsi="Arial" w:eastAsia="Arial" w:cs="Arial"/>
          <w:b w:val="false"/>
          <w:bCs w:val="false"/>
          <w:i w:val="false"/>
          <w:iCs w:val="false"/>
          <w:color w:val="1A1A1A"/>
          <w:sz w:val="19"/>
          <w:szCs w:val="19"/>
        </w:rPr>
        <w:t xml:space="preserve">4. Evidence and Source Citations</w:t>
      </w:r>
    </w:p>
    <w:p xmlns:wp14="http://schemas.microsoft.com/office/word/2010/wordml" w14:paraId="1CC0D68D" wp14:textId="77777777">
      <w:pPr>
        <w:spacing w:after="70" w:line="260"/>
        <w:ind w:left="480" w:hanging="240"/>
      </w:pPr>
      <w:r>
        <w:rPr>
          <w:rFonts w:ascii="Arial" w:hAnsi="Arial" w:eastAsia="Arial" w:cs="Arial"/>
          <w:b w:val="false"/>
          <w:bCs w:val="false"/>
          <w:i w:val="false"/>
          <w:iCs w:val="false"/>
          <w:color w:val="1A1A1A"/>
          <w:sz w:val="19"/>
          <w:szCs w:val="19"/>
        </w:rPr>
        <w:t xml:space="preserve">5. Market Analysis</w:t>
      </w:r>
    </w:p>
    <w:p xmlns:wp14="http://schemas.microsoft.com/office/word/2010/wordml" w14:paraId="6494505C" wp14:textId="77777777">
      <w:pPr>
        <w:spacing w:after="70" w:line="260"/>
        <w:ind w:left="480" w:hanging="240"/>
      </w:pPr>
      <w:r>
        <w:rPr>
          <w:rFonts w:ascii="Arial" w:hAnsi="Arial" w:eastAsia="Arial" w:cs="Arial"/>
          <w:b w:val="false"/>
          <w:bCs w:val="false"/>
          <w:i w:val="false"/>
          <w:iCs w:val="false"/>
          <w:color w:val="1A1A1A"/>
          <w:sz w:val="19"/>
          <w:szCs w:val="19"/>
        </w:rPr>
        <w:t xml:space="preserve">6. Financial Analysis</w:t>
      </w:r>
    </w:p>
    <w:p xmlns:wp14="http://schemas.microsoft.com/office/word/2010/wordml" w14:paraId="6D4E4AB6" wp14:textId="77777777">
      <w:pPr>
        <w:spacing w:after="70" w:line="260"/>
        <w:ind w:left="480" w:hanging="240"/>
      </w:pPr>
      <w:r>
        <w:rPr>
          <w:rFonts w:ascii="Arial" w:hAnsi="Arial" w:eastAsia="Arial" w:cs="Arial"/>
          <w:b w:val="false"/>
          <w:bCs w:val="false"/>
          <w:i w:val="false"/>
          <w:iCs w:val="false"/>
          <w:color w:val="1A1A1A"/>
          <w:sz w:val="19"/>
          <w:szCs w:val="19"/>
        </w:rPr>
        <w:t xml:space="preserve">7. Microsoft Strategy Analysis</w:t>
      </w:r>
    </w:p>
    <w:p xmlns:wp14="http://schemas.microsoft.com/office/word/2010/wordml" w14:paraId="6C890C24" wp14:textId="77777777">
      <w:pPr>
        <w:spacing w:after="70" w:line="260"/>
        <w:ind w:left="480" w:hanging="240"/>
      </w:pPr>
      <w:r>
        <w:rPr>
          <w:rFonts w:ascii="Arial" w:hAnsi="Arial" w:eastAsia="Arial" w:cs="Arial"/>
          <w:b w:val="false"/>
          <w:bCs w:val="false"/>
          <w:i w:val="false"/>
          <w:iCs w:val="false"/>
          <w:color w:val="1A1A1A"/>
          <w:sz w:val="19"/>
          <w:szCs w:val="19"/>
        </w:rPr>
        <w:t xml:space="preserve">8. AI Impact Analysis</w:t>
      </w:r>
    </w:p>
    <w:p xmlns:wp14="http://schemas.microsoft.com/office/word/2010/wordml" w14:paraId="417A8D8E" wp14:textId="77777777">
      <w:pPr>
        <w:spacing w:after="70" w:line="260"/>
        <w:ind w:left="480" w:hanging="240"/>
      </w:pPr>
      <w:r>
        <w:rPr>
          <w:rFonts w:ascii="Arial" w:hAnsi="Arial" w:eastAsia="Arial" w:cs="Arial"/>
          <w:b w:val="false"/>
          <w:bCs w:val="false"/>
          <w:i w:val="false"/>
          <w:iCs w:val="false"/>
          <w:color w:val="1A1A1A"/>
          <w:sz w:val="19"/>
          <w:szCs w:val="19"/>
        </w:rPr>
        <w:t xml:space="preserve">9. Future Industry Scenarios</w:t>
      </w:r>
    </w:p>
    <w:p xmlns:wp14="http://schemas.microsoft.com/office/word/2010/wordml" w14:paraId="5FC7B37D" wp14:textId="77777777">
      <w:pPr>
        <w:spacing w:after="70" w:line="260"/>
        <w:ind w:left="480" w:hanging="240"/>
      </w:pPr>
      <w:r>
        <w:rPr>
          <w:rFonts w:ascii="Arial" w:hAnsi="Arial" w:eastAsia="Arial" w:cs="Arial"/>
          <w:b w:val="false"/>
          <w:bCs w:val="false"/>
          <w:i w:val="false"/>
          <w:iCs w:val="false"/>
          <w:color w:val="1A1A1A"/>
          <w:sz w:val="19"/>
          <w:szCs w:val="19"/>
        </w:rPr>
        <w:t xml:space="preserve">10. Transformation Framework</w:t>
      </w:r>
    </w:p>
    <w:p xmlns:wp14="http://schemas.microsoft.com/office/word/2010/wordml" w14:paraId="1AB81C34" wp14:textId="77777777">
      <w:pPr>
        <w:spacing w:after="70" w:line="260"/>
        <w:ind w:left="480" w:hanging="240"/>
      </w:pPr>
      <w:r>
        <w:rPr>
          <w:rFonts w:ascii="Arial" w:hAnsi="Arial" w:eastAsia="Arial" w:cs="Arial"/>
          <w:b w:val="false"/>
          <w:bCs w:val="false"/>
          <w:i w:val="false"/>
          <w:iCs w:val="false"/>
          <w:color w:val="1A1A1A"/>
          <w:sz w:val="19"/>
          <w:szCs w:val="19"/>
        </w:rPr>
        <w:t xml:space="preserve">11. Recommended Actions</w:t>
      </w:r>
    </w:p>
    <w:p xmlns:wp14="http://schemas.microsoft.com/office/word/2010/wordml" w14:paraId="5F753EDF" wp14:textId="77777777">
      <w:pPr>
        <w:spacing w:after="70" w:line="260"/>
        <w:ind w:left="480" w:hanging="240"/>
      </w:pPr>
      <w:r>
        <w:rPr>
          <w:rFonts w:ascii="Arial" w:hAnsi="Arial" w:eastAsia="Arial" w:cs="Arial"/>
          <w:b w:val="false"/>
          <w:bCs w:val="false"/>
          <w:i w:val="false"/>
          <w:iCs w:val="false"/>
          <w:color w:val="1A1A1A"/>
          <w:sz w:val="19"/>
          <w:szCs w:val="19"/>
        </w:rPr>
        <w:t xml:space="preserve">12. Risks and Counterarguments</w:t>
      </w:r>
    </w:p>
    <w:p xmlns:wp14="http://schemas.microsoft.com/office/word/2010/wordml" w14:paraId="02F77A6F" wp14:textId="77777777">
      <w:pPr>
        <w:spacing w:after="70" w:line="260"/>
        <w:ind w:left="480" w:hanging="240"/>
      </w:pPr>
      <w:r>
        <w:rPr>
          <w:rFonts w:ascii="Arial" w:hAnsi="Arial" w:eastAsia="Arial" w:cs="Arial"/>
          <w:b w:val="false"/>
          <w:bCs w:val="false"/>
          <w:i w:val="false"/>
          <w:iCs w:val="false"/>
          <w:color w:val="1A1A1A"/>
          <w:sz w:val="19"/>
          <w:szCs w:val="19"/>
        </w:rPr>
        <w:t xml:space="preserve">13. Final Conclusions</w:t>
      </w:r>
    </w:p>
    <w:p xmlns:wp14="http://schemas.microsoft.com/office/word/2010/wordml" w14:paraId="49D5DE9B" wp14:textId="77777777">
      <w:pPr>
        <w:spacing w:after="70" w:line="260"/>
        <w:ind w:left="480" w:hanging="240"/>
      </w:pPr>
      <w:r>
        <w:rPr>
          <w:rFonts w:ascii="Arial" w:hAnsi="Arial" w:eastAsia="Arial" w:cs="Arial"/>
          <w:b w:val="false"/>
          <w:bCs w:val="false"/>
          <w:i w:val="false"/>
          <w:iCs w:val="false"/>
          <w:color w:val="1A1A1A"/>
          <w:sz w:val="19"/>
          <w:szCs w:val="19"/>
        </w:rPr>
        <w:t xml:space="preserve">14. Complete Reference List</w:t>
      </w:r>
    </w:p>
    <w:p xmlns:wp14="http://schemas.microsoft.com/office/word/2010/wordml" w14:paraId="2F0834B2" wp14:textId="77777777">
      <w:pPr>
        <w:pStyle w:val="Heading1"/>
        <w:pageBreakBefore/>
      </w:pPr>
      <w:r>
        <w:rPr>
          <w:rFonts w:ascii="Arial" w:hAnsi="Arial" w:eastAsia="Arial" w:cs="Arial"/>
          <w:b/>
          <w:bCs/>
          <w:color w:val="173F5F"/>
          <w:sz w:val="30"/>
          <w:szCs w:val="30"/>
        </w:rPr>
        <w:t xml:space="preserve">1. Executive Summary</w:t>
      </w:r>
    </w:p>
    <w:p xmlns:wp14="http://schemas.microsoft.com/office/word/2010/wordml" w14:paraId="2049BD1F" wp14:textId="77777777">
      <w:pPr>
        <w:pStyle w:val="Heading2"/>
      </w:pPr>
      <w:r>
        <w:rPr>
          <w:rFonts w:ascii="Arial" w:hAnsi="Arial" w:eastAsia="Arial" w:cs="Arial"/>
          <w:b/>
          <w:bCs/>
          <w:color w:val="1F8A8A"/>
          <w:sz w:val="25"/>
          <w:szCs w:val="25"/>
        </w:rPr>
        <w:t xml:space="preserve">1.1 Board-level answer</w:t>
      </w:r>
    </w:p>
    <w:p xmlns:wp14="http://schemas.microsoft.com/office/word/2010/wordml" w14:paraId="5FB2F8FF" wp14:textId="77777777">
      <w:pPr>
        <w:keepLines w:val="1"/>
        <w:spacing w:after="130" w:line="290" w:lineRule="auto"/>
        <w:jc w:val="left"/>
      </w:pPr>
      <w:r w:rsidRPr="72A2CC76" w:rsidR="72A2CC76">
        <w:rPr>
          <w:rFonts w:ascii="Arial" w:hAnsi="Arial" w:eastAsia="Arial" w:cs="Arial"/>
          <w:b w:val="0"/>
          <w:bCs w:val="0"/>
          <w:i w:val="0"/>
          <w:iCs w:val="0"/>
          <w:color w:val="1A1A1A"/>
          <w:sz w:val="20"/>
          <w:szCs w:val="20"/>
          <w:lang w:val="en-US"/>
        </w:rPr>
        <w:t xml:space="preserve">The traditional MSP/TSP model is not yet obsolete as a category, and the available evidence does not support a forecast of universal failure by 2030. Participating MSPs in Service Leadership's 2026 benchmark reported 9.6% revenue growth and 17.1% adjusted-EBITDA growth for 2025, while Omdia forecast global managed-services spending growth of 13% in 2025. Those observations are inconsistent with a blanket collapse thesis. </w:t>
      </w:r>
      <w:hyperlink r:id="R1495c14c0ad64e5c">
        <w:r w:rsidRPr="72A2CC76" w:rsidR="72A2CC76">
          <w:rPr>
            <w:rStyle w:val="Hyperlink"/>
            <w:rFonts w:ascii="Arial" w:hAnsi="Arial" w:eastAsia="Arial" w:cs="Arial"/>
            <w:b w:val="1"/>
            <w:bCs w:val="1"/>
            <w:sz w:val="16"/>
            <w:szCs w:val="16"/>
            <w:lang w:val="en-US"/>
          </w:rPr>
          <w:t>[1]</w:t>
        </w:r>
      </w:hyperlink>
      <w:r w:rsidRPr="72A2CC76" w:rsidR="72A2CC76">
        <w:rPr>
          <w:rFonts w:ascii="Arial" w:hAnsi="Arial" w:eastAsia="Arial" w:cs="Arial"/>
          <w:b w:val="0"/>
          <w:bCs w:val="0"/>
          <w:i w:val="0"/>
          <w:iCs w:val="0"/>
          <w:color w:val="1A1A1A"/>
          <w:sz w:val="20"/>
          <w:szCs w:val="20"/>
          <w:lang w:val="en-US"/>
        </w:rPr>
        <w:t xml:space="preserve"> </w:t>
      </w:r>
      <w:hyperlink r:id="R8b3d235e20574c1b">
        <w:r w:rsidRPr="72A2CC76" w:rsidR="72A2CC76">
          <w:rPr>
            <w:rStyle w:val="Hyperlink"/>
            <w:rFonts w:ascii="Arial" w:hAnsi="Arial" w:eastAsia="Arial" w:cs="Arial"/>
            <w:b w:val="1"/>
            <w:bCs w:val="1"/>
            <w:sz w:val="16"/>
            <w:szCs w:val="16"/>
            <w:lang w:val="en-US"/>
          </w:rPr>
          <w:t>[3]</w:t>
        </w:r>
      </w:hyperlink>
    </w:p>
    <w:p xmlns:wp14="http://schemas.microsoft.com/office/word/2010/wordml" w14:paraId="45AAFCCB" wp14:textId="77777777">
      <w:pPr>
        <w:keepLines w:val="1"/>
        <w:spacing w:after="130" w:line="290" w:lineRule="auto"/>
        <w:jc w:val="left"/>
      </w:pPr>
      <w:r w:rsidRPr="72A2CC76" w:rsidR="72A2CC76">
        <w:rPr>
          <w:rFonts w:ascii="Arial" w:hAnsi="Arial" w:eastAsia="Arial" w:cs="Arial"/>
          <w:b w:val="0"/>
          <w:bCs w:val="0"/>
          <w:i w:val="0"/>
          <w:iCs w:val="0"/>
          <w:color w:val="1A1A1A"/>
          <w:sz w:val="20"/>
          <w:szCs w:val="20"/>
          <w:lang w:val="en-US"/>
        </w:rPr>
        <w:t xml:space="preserve">The evidence does support a more important and investable thesis: economic value is migrating away from repetitive administration, human ticket handling, first-line troubleshooting, routine monitoring and undifferentiated product resale. Gartner forecasts only 5.3% growth in IT-services spending in 2026 versus 15.5% for software and 29.3% for infrastructure as a service. ISG's Q2 2026 index likewise reported managed-services annual contract value up 2.7%, compared with 65% growth in cloud-based as-a-service ACV; its population is large contracts, not SMB MSPs, but the reallocation signal is clear. </w:t>
      </w:r>
      <w:hyperlink r:id="R82cb8850694e4f9b">
        <w:r w:rsidRPr="72A2CC76" w:rsidR="72A2CC76">
          <w:rPr>
            <w:rStyle w:val="Hyperlink"/>
            <w:rFonts w:ascii="Arial" w:hAnsi="Arial" w:eastAsia="Arial" w:cs="Arial"/>
            <w:b w:val="1"/>
            <w:bCs w:val="1"/>
            <w:sz w:val="16"/>
            <w:szCs w:val="16"/>
            <w:lang w:val="en-US"/>
          </w:rPr>
          <w:t>[4]</w:t>
        </w:r>
      </w:hyperlink>
      <w:r w:rsidRPr="72A2CC76" w:rsidR="72A2CC76">
        <w:rPr>
          <w:rFonts w:ascii="Arial" w:hAnsi="Arial" w:eastAsia="Arial" w:cs="Arial"/>
          <w:b w:val="0"/>
          <w:bCs w:val="0"/>
          <w:i w:val="0"/>
          <w:iCs w:val="0"/>
          <w:color w:val="1A1A1A"/>
          <w:sz w:val="20"/>
          <w:szCs w:val="20"/>
          <w:lang w:val="en-US"/>
        </w:rPr>
        <w:t xml:space="preserve"> </w:t>
      </w:r>
      <w:hyperlink r:id="Ra0b1743ce91d4736">
        <w:r w:rsidRPr="72A2CC76" w:rsidR="72A2CC76">
          <w:rPr>
            <w:rStyle w:val="Hyperlink"/>
            <w:rFonts w:ascii="Arial" w:hAnsi="Arial" w:eastAsia="Arial" w:cs="Arial"/>
            <w:b w:val="1"/>
            <w:bCs w:val="1"/>
            <w:sz w:val="16"/>
            <w:szCs w:val="16"/>
            <w:lang w:val="en-US"/>
          </w:rPr>
          <w:t>[5]</w:t>
        </w:r>
      </w:hyperlink>
    </w:p>
    <w:p xmlns:wp14="http://schemas.microsoft.com/office/word/2010/wordml" w14:paraId="339969E1" wp14:textId="77777777">
      <w:pPr>
        <w:keepLines w:val="1"/>
        <w:spacing w:after="130" w:line="290" w:lineRule="auto"/>
        <w:jc w:val="left"/>
      </w:pPr>
      <w:r w:rsidRPr="72A2CC76" w:rsidR="72A2CC76">
        <w:rPr>
          <w:rFonts w:ascii="Arial" w:hAnsi="Arial" w:eastAsia="Arial" w:cs="Arial"/>
          <w:b w:val="0"/>
          <w:bCs w:val="0"/>
          <w:i w:val="0"/>
          <w:iCs w:val="0"/>
          <w:color w:val="1A1A1A"/>
          <w:sz w:val="20"/>
          <w:szCs w:val="20"/>
          <w:lang w:val="en-US"/>
        </w:rPr>
        <w:t>The central conclusion is therefore selective obsolescence. A per-user contract can remain attractive if delivery is automated and the customer is buying resilience, security, governance and business outcomes. The vulnerable model is a fixed-fee promise whose cost base still behaves like time and materials, whose differentiation is ticket volume and responsiveness, and whose gross margin depends on repeatedly selling scarce human attention.</w:t>
      </w:r>
    </w:p>
    <w:p xmlns:wp14="http://schemas.microsoft.com/office/word/2010/wordml" w14:paraId="09DFBF82" wp14:textId="77777777">
      <w:pPr>
        <w:pStyle w:val="Heading2"/>
      </w:pPr>
      <w:r>
        <w:rPr>
          <w:rFonts w:ascii="Arial" w:hAnsi="Arial" w:eastAsia="Arial" w:cs="Arial"/>
          <w:b/>
          <w:bCs/>
          <w:color w:val="1F8A8A"/>
          <w:sz w:val="25"/>
          <w:szCs w:val="25"/>
        </w:rPr>
        <w:t xml:space="preserve">1.2 What changes the economics</w:t>
      </w:r>
    </w:p>
    <w:p xmlns:wp14="http://schemas.microsoft.com/office/word/2010/wordml" w14:paraId="16E29B2A" wp14:textId="77777777">
      <w:pPr>
        <w:keepLines w:val="1"/>
        <w:spacing w:after="130" w:line="290" w:lineRule="auto"/>
        <w:jc w:val="left"/>
      </w:pPr>
      <w:r w:rsidRPr="72A2CC76" w:rsidR="72A2CC76">
        <w:rPr>
          <w:rFonts w:ascii="Arial" w:hAnsi="Arial" w:eastAsia="Arial" w:cs="Arial"/>
          <w:b w:val="0"/>
          <w:bCs w:val="0"/>
          <w:i w:val="0"/>
          <w:iCs w:val="0"/>
          <w:color w:val="1A1A1A"/>
          <w:sz w:val="20"/>
          <w:szCs w:val="20"/>
          <w:lang w:val="en-US"/>
        </w:rPr>
        <w:t xml:space="preserve">AI assistance has already demonstrated material productivity effects in customer support. A field study of 5,179 support agents found 14% more issues resolved per hour overall and 34% among novice and lower-skilled agents. That is evidence of task augmentation at one company, not proof that 14% of MSP payroll disappears. Gartner separately forecasts that agentic AI could autonomously resolve 80% of common customer-service issues by 2029 and reduce operational costs by 30%, but those are analyst forecasts with different denominators, not MSP staffing forecasts. Gartner also expects more than 40% of agentic-AI projects to be cancelled by the end of 2027 because of cost, unclear value or inadequate risk controls. </w:t>
      </w:r>
      <w:hyperlink r:id="R64b92a216ea742a2">
        <w:r w:rsidRPr="72A2CC76" w:rsidR="72A2CC76">
          <w:rPr>
            <w:rStyle w:val="Hyperlink"/>
            <w:rFonts w:ascii="Arial" w:hAnsi="Arial" w:eastAsia="Arial" w:cs="Arial"/>
            <w:b w:val="1"/>
            <w:bCs w:val="1"/>
            <w:sz w:val="16"/>
            <w:szCs w:val="16"/>
            <w:lang w:val="en-US"/>
          </w:rPr>
          <w:t>[6]</w:t>
        </w:r>
      </w:hyperlink>
      <w:r w:rsidRPr="72A2CC76" w:rsidR="72A2CC76">
        <w:rPr>
          <w:rFonts w:ascii="Arial" w:hAnsi="Arial" w:eastAsia="Arial" w:cs="Arial"/>
          <w:b w:val="0"/>
          <w:bCs w:val="0"/>
          <w:i w:val="0"/>
          <w:iCs w:val="0"/>
          <w:color w:val="1A1A1A"/>
          <w:sz w:val="20"/>
          <w:szCs w:val="20"/>
          <w:lang w:val="en-US"/>
        </w:rPr>
        <w:t xml:space="preserve"> </w:t>
      </w:r>
      <w:hyperlink r:id="Ra0d790b5fa204b8d">
        <w:r w:rsidRPr="72A2CC76" w:rsidR="72A2CC76">
          <w:rPr>
            <w:rStyle w:val="Hyperlink"/>
            <w:rFonts w:ascii="Arial" w:hAnsi="Arial" w:eastAsia="Arial" w:cs="Arial"/>
            <w:b w:val="1"/>
            <w:bCs w:val="1"/>
            <w:sz w:val="16"/>
            <w:szCs w:val="16"/>
            <w:lang w:val="en-US"/>
          </w:rPr>
          <w:t>[7]</w:t>
        </w:r>
      </w:hyperlink>
      <w:r w:rsidRPr="72A2CC76" w:rsidR="72A2CC76">
        <w:rPr>
          <w:rFonts w:ascii="Arial" w:hAnsi="Arial" w:eastAsia="Arial" w:cs="Arial"/>
          <w:b w:val="0"/>
          <w:bCs w:val="0"/>
          <w:i w:val="0"/>
          <w:iCs w:val="0"/>
          <w:color w:val="1A1A1A"/>
          <w:sz w:val="20"/>
          <w:szCs w:val="20"/>
          <w:lang w:val="en-US"/>
        </w:rPr>
        <w:t xml:space="preserve"> </w:t>
      </w:r>
      <w:hyperlink r:id="Ra181cbda943f44a0">
        <w:r w:rsidRPr="72A2CC76" w:rsidR="72A2CC76">
          <w:rPr>
            <w:rStyle w:val="Hyperlink"/>
            <w:rFonts w:ascii="Arial" w:hAnsi="Arial" w:eastAsia="Arial" w:cs="Arial"/>
            <w:b w:val="1"/>
            <w:bCs w:val="1"/>
            <w:sz w:val="16"/>
            <w:szCs w:val="16"/>
            <w:lang w:val="en-US"/>
          </w:rPr>
          <w:t>[8]</w:t>
        </w:r>
      </w:hyperlink>
    </w:p>
    <w:p xmlns:wp14="http://schemas.microsoft.com/office/word/2010/wordml" w14:paraId="67EA32C9" wp14:textId="77777777">
      <w:pPr>
        <w:keepLines w:val="1"/>
        <w:spacing w:after="130" w:line="290" w:lineRule="auto"/>
        <w:jc w:val="left"/>
      </w:pPr>
      <w:r w:rsidRPr="72A2CC76" w:rsidR="72A2CC76">
        <w:rPr>
          <w:rFonts w:ascii="Arial" w:hAnsi="Arial" w:eastAsia="Arial" w:cs="Arial"/>
          <w:b w:val="0"/>
          <w:bCs w:val="0"/>
          <w:i w:val="0"/>
          <w:iCs w:val="0"/>
          <w:color w:val="1A1A1A"/>
          <w:sz w:val="20"/>
          <w:szCs w:val="20"/>
          <w:lang w:val="en-US"/>
        </w:rPr>
        <w:t>This combination matters. If automation raises throughput while customer prices remain unchanged, a well-run fixed-fee MSP can expand gross margin. If competitors and customers demand the productivity dividend through lower prices, if the provider fails to remove or redeploy capacity, or if AI consumption and oversight costs rise, the same automation can compress revenue faster than cost. AI is thus a margin opportunity and a price-reset mechanism.</w:t>
      </w:r>
    </w:p>
    <w:p xmlns:wp14="http://schemas.microsoft.com/office/word/2010/wordml" w14:paraId="213AB683" wp14:textId="77777777">
      <w:pPr>
        <w:keepLines w:val="1"/>
        <w:spacing w:after="130" w:line="290" w:lineRule="auto"/>
        <w:jc w:val="left"/>
      </w:pPr>
      <w:r w:rsidRPr="72A2CC76" w:rsidR="72A2CC76">
        <w:rPr>
          <w:rFonts w:ascii="Arial" w:hAnsi="Arial" w:eastAsia="Arial" w:cs="Arial"/>
          <w:b w:val="0"/>
          <w:bCs w:val="0"/>
          <w:i w:val="0"/>
          <w:iCs w:val="0"/>
          <w:color w:val="1A1A1A"/>
          <w:sz w:val="20"/>
          <w:szCs w:val="20"/>
          <w:lang w:val="en-US"/>
        </w:rPr>
        <w:t xml:space="preserve">Microsoft, AWS, Google Cloud, ServiceNow and security vendors are building capabilities directly into the platforms customers already buy. Microsoft is integrating Copilot, agents, security and business applications; AWS's generally available DevOps Agent investigates and triages operational events; Google Cloud is adding proactive Cloud Assist capabilities; and ServiceNow is productizing Level-1 service-desk work. These products do not eliminate configuration, identity, data readiness, change management, exception handling or accountability. They do, however, move the boundary between product and service. </w:t>
      </w:r>
      <w:hyperlink r:id="R7721a60a0d764717">
        <w:r w:rsidRPr="72A2CC76" w:rsidR="72A2CC76">
          <w:rPr>
            <w:rStyle w:val="Hyperlink"/>
            <w:rFonts w:ascii="Arial" w:hAnsi="Arial" w:eastAsia="Arial" w:cs="Arial"/>
            <w:b w:val="1"/>
            <w:bCs w:val="1"/>
            <w:sz w:val="16"/>
            <w:szCs w:val="16"/>
            <w:lang w:val="en-US"/>
          </w:rPr>
          <w:t>[18]</w:t>
        </w:r>
      </w:hyperlink>
      <w:r w:rsidRPr="72A2CC76" w:rsidR="72A2CC76">
        <w:rPr>
          <w:rFonts w:ascii="Arial" w:hAnsi="Arial" w:eastAsia="Arial" w:cs="Arial"/>
          <w:b w:val="0"/>
          <w:bCs w:val="0"/>
          <w:i w:val="0"/>
          <w:iCs w:val="0"/>
          <w:color w:val="1A1A1A"/>
          <w:sz w:val="20"/>
          <w:szCs w:val="20"/>
          <w:lang w:val="en-US"/>
        </w:rPr>
        <w:t xml:space="preserve"> </w:t>
      </w:r>
      <w:hyperlink r:id="R71c6563a5644440f">
        <w:r w:rsidRPr="72A2CC76" w:rsidR="72A2CC76">
          <w:rPr>
            <w:rStyle w:val="Hyperlink"/>
            <w:rFonts w:ascii="Arial" w:hAnsi="Arial" w:eastAsia="Arial" w:cs="Arial"/>
            <w:b w:val="1"/>
            <w:bCs w:val="1"/>
            <w:sz w:val="16"/>
            <w:szCs w:val="16"/>
            <w:lang w:val="en-US"/>
          </w:rPr>
          <w:t>[20]</w:t>
        </w:r>
      </w:hyperlink>
      <w:r w:rsidRPr="72A2CC76" w:rsidR="72A2CC76">
        <w:rPr>
          <w:rFonts w:ascii="Arial" w:hAnsi="Arial" w:eastAsia="Arial" w:cs="Arial"/>
          <w:b w:val="0"/>
          <w:bCs w:val="0"/>
          <w:i w:val="0"/>
          <w:iCs w:val="0"/>
          <w:color w:val="1A1A1A"/>
          <w:sz w:val="20"/>
          <w:szCs w:val="20"/>
          <w:lang w:val="en-US"/>
        </w:rPr>
        <w:t xml:space="preserve"> </w:t>
      </w:r>
      <w:hyperlink r:id="Rb68a2c6332a34d02">
        <w:r w:rsidRPr="72A2CC76" w:rsidR="72A2CC76">
          <w:rPr>
            <w:rStyle w:val="Hyperlink"/>
            <w:rFonts w:ascii="Arial" w:hAnsi="Arial" w:eastAsia="Arial" w:cs="Arial"/>
            <w:b w:val="1"/>
            <w:bCs w:val="1"/>
            <w:sz w:val="16"/>
            <w:szCs w:val="16"/>
            <w:lang w:val="en-US"/>
          </w:rPr>
          <w:t>[25]</w:t>
        </w:r>
      </w:hyperlink>
      <w:r w:rsidRPr="72A2CC76" w:rsidR="72A2CC76">
        <w:rPr>
          <w:rFonts w:ascii="Arial" w:hAnsi="Arial" w:eastAsia="Arial" w:cs="Arial"/>
          <w:b w:val="0"/>
          <w:bCs w:val="0"/>
          <w:i w:val="0"/>
          <w:iCs w:val="0"/>
          <w:color w:val="1A1A1A"/>
          <w:sz w:val="20"/>
          <w:szCs w:val="20"/>
          <w:lang w:val="en-US"/>
        </w:rPr>
        <w:t xml:space="preserve"> </w:t>
      </w:r>
      <w:hyperlink r:id="Rbbe56ded6be64c52">
        <w:r w:rsidRPr="72A2CC76" w:rsidR="72A2CC76">
          <w:rPr>
            <w:rStyle w:val="Hyperlink"/>
            <w:rFonts w:ascii="Arial" w:hAnsi="Arial" w:eastAsia="Arial" w:cs="Arial"/>
            <w:b w:val="1"/>
            <w:bCs w:val="1"/>
            <w:sz w:val="16"/>
            <w:szCs w:val="16"/>
            <w:lang w:val="en-US"/>
          </w:rPr>
          <w:t>[27]</w:t>
        </w:r>
      </w:hyperlink>
      <w:r w:rsidRPr="72A2CC76" w:rsidR="72A2CC76">
        <w:rPr>
          <w:rFonts w:ascii="Arial" w:hAnsi="Arial" w:eastAsia="Arial" w:cs="Arial"/>
          <w:b w:val="0"/>
          <w:bCs w:val="0"/>
          <w:i w:val="0"/>
          <w:iCs w:val="0"/>
          <w:color w:val="1A1A1A"/>
          <w:sz w:val="20"/>
          <w:szCs w:val="20"/>
          <w:lang w:val="en-US"/>
        </w:rPr>
        <w:t xml:space="preserve"> </w:t>
      </w:r>
      <w:hyperlink r:id="R99e97d7174954dce">
        <w:r w:rsidRPr="72A2CC76" w:rsidR="72A2CC76">
          <w:rPr>
            <w:rStyle w:val="Hyperlink"/>
            <w:rFonts w:ascii="Arial" w:hAnsi="Arial" w:eastAsia="Arial" w:cs="Arial"/>
            <w:b w:val="1"/>
            <w:bCs w:val="1"/>
            <w:sz w:val="16"/>
            <w:szCs w:val="16"/>
            <w:lang w:val="en-US"/>
          </w:rPr>
          <w:t>[28]</w:t>
        </w:r>
      </w:hyperlink>
    </w:p>
    <w:p xmlns:wp14="http://schemas.microsoft.com/office/word/2010/wordml" w14:paraId="3DC1D5D9" wp14:textId="77777777">
      <w:pPr>
        <w:pStyle w:val="Heading2"/>
      </w:pPr>
      <w:r>
        <w:rPr>
          <w:rFonts w:ascii="Arial" w:hAnsi="Arial" w:eastAsia="Arial" w:cs="Arial"/>
          <w:b/>
          <w:bCs/>
          <w:color w:val="1F8A8A"/>
          <w:sz w:val="25"/>
          <w:szCs w:val="25"/>
        </w:rPr>
        <w:t xml:space="preserve">1.3 The skeptical owner's decision</w:t>
      </w:r>
    </w:p>
    <w:p xmlns:wp14="http://schemas.microsoft.com/office/word/2010/wordml" w14:paraId="1F1DDC2F" wp14:textId="77777777">
      <w:pPr>
        <w:keepLines/>
        <w:spacing w:after="130" w:line="290"/>
        <w:jc w:val="left"/>
      </w:pPr>
      <w:r>
        <w:rPr>
          <w:rFonts w:ascii="Arial" w:hAnsi="Arial" w:eastAsia="Arial" w:cs="Arial"/>
          <w:b w:val="false"/>
          <w:bCs w:val="false"/>
          <w:i w:val="false"/>
          <w:iCs w:val="false"/>
          <w:color w:val="1A1A1A"/>
          <w:sz w:val="20"/>
          <w:szCs w:val="20"/>
        </w:rPr>
        <w:t xml:space="preserve">A successful conventional MSP should not abandon a profitable recurring book. It should stop treating current profitability as proof that the operating model is durable. The correct response is a measured transition:</w:t>
      </w:r>
    </w:p>
    <w:p xmlns:wp14="http://schemas.microsoft.com/office/word/2010/wordml" w14:paraId="6EDB25B0"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instrument service-line economics, including cost per correctly resolved ticket, automation cost, reopen rate and price retention;</w:t>
      </w:r>
    </w:p>
    <w:p xmlns:wp14="http://schemas.microsoft.com/office/word/2010/wordml" w14:paraId="1770669B"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automate internally before selling AI transformation externally;</w:t>
      </w:r>
    </w:p>
    <w:p xmlns:wp14="http://schemas.microsoft.com/office/word/2010/wordml" w14:paraId="5AD29926"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narrow commodity scope and standardize aggressively;</w:t>
      </w:r>
    </w:p>
    <w:p xmlns:wp14="http://schemas.microsoft.com/office/word/2010/wordml" w14:paraId="748CADEF" wp14:textId="77777777">
      <w:pPr>
        <w:pStyle w:val="ListParagraph"/>
        <w:numPr>
          <w:ilvl w:val="0"/>
          <w:numId w:val="2"/>
        </w:numPr>
        <w:spacing w:after="70" w:line="260" w:lineRule="auto"/>
        <w:rPr/>
      </w:pPr>
      <w:r w:rsidRPr="72A2CC76" w:rsidR="72A2CC76">
        <w:rPr>
          <w:rFonts w:ascii="Arial" w:hAnsi="Arial" w:eastAsia="Arial" w:cs="Arial"/>
          <w:b w:val="0"/>
          <w:bCs w:val="0"/>
          <w:i w:val="0"/>
          <w:iCs w:val="0"/>
          <w:color w:val="1A1A1A"/>
          <w:sz w:val="19"/>
          <w:szCs w:val="19"/>
          <w:lang w:val="en-US"/>
        </w:rPr>
        <w:t>build repeatable security, identity, compliance, data and AI-governance services;</w:t>
      </w:r>
    </w:p>
    <w:p xmlns:wp14="http://schemas.microsoft.com/office/word/2010/wordml" w14:paraId="38768062"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change commercial architecture so customers buy managed outcomes and platforms rather than evidence of human effort;</w:t>
      </w:r>
    </w:p>
    <w:p xmlns:wp14="http://schemas.microsoft.com/office/word/2010/wordml" w14:paraId="6D796C8B"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preserve cash for a two- to three-year transition J-curve.</w:t>
      </w:r>
    </w:p>
    <w:p xmlns:wp14="http://schemas.microsoft.com/office/word/2010/wordml" w14:paraId="12C3AFA3" wp14:textId="77777777">
      <w:pPr>
        <w:keepLines w:val="1"/>
        <w:spacing w:after="130" w:line="290" w:lineRule="auto"/>
        <w:jc w:val="left"/>
      </w:pPr>
      <w:r w:rsidRPr="72A2CC76" w:rsidR="72A2CC76">
        <w:rPr>
          <w:rFonts w:ascii="Arial" w:hAnsi="Arial" w:eastAsia="Arial" w:cs="Arial"/>
          <w:b w:val="0"/>
          <w:bCs w:val="0"/>
          <w:i w:val="0"/>
          <w:iCs w:val="0"/>
          <w:color w:val="1A1A1A"/>
          <w:sz w:val="20"/>
          <w:szCs w:val="20"/>
          <w:lang w:val="en-US"/>
        </w:rPr>
        <w:t>The illustrative financial model in this report starts with a $5.0 million net-service-revenue MSP, 30 employees and 16.0% EBITDA. By 2030, the no-change case remains profitable but falls to 7.7% EBITDA; staged transformation reaches $6.58 million revenue and 16.9% adjusted EBITDA; successful transformation reaches $7.87 million and 22.6%; severe disruption produces $3.73 million and negative EBITDA. These are conditional planning cases, not industry forecasts.</w:t>
      </w:r>
    </w:p>
    <w:p xmlns:wp14="http://schemas.microsoft.com/office/word/2010/wordml" w14:paraId="31C241F7" wp14:textId="77777777">
      <w:pPr>
        <w:pStyle w:val="Heading1"/>
        <w:pageBreakBefore/>
      </w:pPr>
      <w:r>
        <w:rPr>
          <w:rFonts w:ascii="Arial" w:hAnsi="Arial" w:eastAsia="Arial" w:cs="Arial"/>
          <w:b/>
          <w:bCs/>
          <w:color w:val="173F5F"/>
          <w:sz w:val="30"/>
          <w:szCs w:val="30"/>
        </w:rPr>
        <w:t xml:space="preserve">2. Research Methodology</w:t>
      </w:r>
    </w:p>
    <w:p xmlns:wp14="http://schemas.microsoft.com/office/word/2010/wordml" w14:paraId="596EA8E5" wp14:textId="77777777">
      <w:pPr>
        <w:pStyle w:val="Heading2"/>
      </w:pPr>
      <w:r>
        <w:rPr>
          <w:rFonts w:ascii="Arial" w:hAnsi="Arial" w:eastAsia="Arial" w:cs="Arial"/>
          <w:b/>
          <w:bCs/>
          <w:color w:val="1F8A8A"/>
          <w:sz w:val="25"/>
          <w:szCs w:val="25"/>
        </w:rPr>
        <w:t xml:space="preserve">2.1 Research question and definitions</w:t>
      </w:r>
    </w:p>
    <w:p xmlns:wp14="http://schemas.microsoft.com/office/word/2010/wordml" w14:paraId="3EC84568" wp14:textId="77777777">
      <w:pPr>
        <w:keepLines w:val="1"/>
        <w:spacing w:after="130" w:line="290" w:lineRule="auto"/>
        <w:jc w:val="left"/>
      </w:pPr>
      <w:r w:rsidRPr="72A2CC76" w:rsidR="72A2CC76">
        <w:rPr>
          <w:rFonts w:ascii="Arial" w:hAnsi="Arial" w:eastAsia="Arial" w:cs="Arial"/>
          <w:b w:val="0"/>
          <w:bCs w:val="0"/>
          <w:i w:val="0"/>
          <w:iCs w:val="0"/>
          <w:color w:val="1A1A1A"/>
          <w:sz w:val="20"/>
          <w:szCs w:val="20"/>
          <w:lang w:val="en-US"/>
        </w:rPr>
        <w:t>The question is whether a traditional MSP/TSP model becomes economically or strategically unsustainable over the next three to ten years. Traditional means meaningful dependence on per-user or per-device bundles, human help-desk throughput, reactive support, infrastructure administration, monitoring, fixed-fee support and resale economics. The definition does not assume that per-seat pricing itself is defective; it separates the billing unit from the delivery engine and value proposition.</w:t>
      </w:r>
    </w:p>
    <w:p xmlns:wp14="http://schemas.microsoft.com/office/word/2010/wordml" w14:paraId="37EB52F0" wp14:textId="77777777">
      <w:pPr>
        <w:keepLines w:val="1"/>
        <w:spacing w:after="130" w:line="290" w:lineRule="auto"/>
        <w:jc w:val="left"/>
      </w:pPr>
      <w:r w:rsidRPr="72A2CC76" w:rsidR="72A2CC76">
        <w:rPr>
          <w:rFonts w:ascii="Arial" w:hAnsi="Arial" w:eastAsia="Arial" w:cs="Arial"/>
          <w:b w:val="0"/>
          <w:bCs w:val="0"/>
          <w:i w:val="0"/>
          <w:iCs w:val="0"/>
          <w:color w:val="1A1A1A"/>
          <w:sz w:val="20"/>
          <w:szCs w:val="20"/>
          <w:lang w:val="en-US"/>
        </w:rPr>
        <w:t>The evidence cutoff is 30 September 2026. The near-term horizon is 2030 and the strategic horizon is 2033–2036. Geography is mixed because the best evidence includes global vendor strategy, global analyst forecasts, US labor data, OECD SME surveys and EU regulation. Each statistic retains its own population.</w:t>
      </w:r>
    </w:p>
    <w:p xmlns:wp14="http://schemas.microsoft.com/office/word/2010/wordml" w14:paraId="26FD0716" wp14:textId="77777777">
      <w:pPr>
        <w:pStyle w:val="Heading2"/>
      </w:pPr>
      <w:r>
        <w:rPr>
          <w:rFonts w:ascii="Arial" w:hAnsi="Arial" w:eastAsia="Arial" w:cs="Arial"/>
          <w:b/>
          <w:bCs/>
          <w:color w:val="1F8A8A"/>
          <w:sz w:val="25"/>
          <w:szCs w:val="25"/>
        </w:rPr>
        <w:t xml:space="preserve">2.2 Evidence hierarchy</w:t>
      </w:r>
    </w:p>
    <w:p xmlns:wp14="http://schemas.microsoft.com/office/word/2010/wordml" w14:paraId="5D4FE556" wp14:textId="77777777">
      <w:pPr>
        <w:keepLines w:val="1"/>
        <w:spacing w:after="130" w:line="290" w:lineRule="auto"/>
        <w:jc w:val="left"/>
      </w:pPr>
      <w:r w:rsidRPr="72A2CC76" w:rsidR="72A2CC76">
        <w:rPr>
          <w:rFonts w:ascii="Arial" w:hAnsi="Arial" w:eastAsia="Arial" w:cs="Arial"/>
          <w:b w:val="0"/>
          <w:bCs w:val="0"/>
          <w:i w:val="0"/>
          <w:iCs w:val="0"/>
          <w:color w:val="1A1A1A"/>
          <w:sz w:val="20"/>
          <w:szCs w:val="20"/>
          <w:lang w:val="en-US"/>
        </w:rPr>
        <w:t>Priority was given to original corporate financial releases, official product documentation, government statistics, regulation, peer-reviewed or working-paper research with an identifiable design, and analyst releases that state their forecast. Vendor sources are used to establish product capability and commercial direction, not independent savings. Surveys are used with their sample and self-report limitations. Gated analyst abstracts are not treated as if the full paid report had been reviewed.</w:t>
      </w:r>
    </w:p>
    <w:p xmlns:wp14="http://schemas.microsoft.com/office/word/2010/wordml" w14:paraId="7E7AD8FD" wp14:textId="77777777">
      <w:pPr>
        <w:keepLines/>
        <w:spacing w:after="130" w:line="290"/>
        <w:jc w:val="left"/>
      </w:pPr>
      <w:r>
        <w:rPr>
          <w:rFonts w:ascii="Arial" w:hAnsi="Arial" w:eastAsia="Arial" w:cs="Arial"/>
          <w:b w:val="false"/>
          <w:bCs w:val="false"/>
          <w:i w:val="false"/>
          <w:iCs w:val="false"/>
          <w:color w:val="1A1A1A"/>
          <w:sz w:val="20"/>
          <w:szCs w:val="20"/>
        </w:rPr>
        <w:t xml:space="preserve">The report distinguishes six evidence classes:</w:t>
      </w:r>
    </w:p>
    <w:p xmlns:wp14="http://schemas.microsoft.com/office/word/2010/wordml" w14:paraId="4F0CC8EC"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observed results, such as reported company or benchmark performance;</w:t>
      </w:r>
    </w:p>
    <w:p xmlns:wp14="http://schemas.microsoft.com/office/word/2010/wordml" w14:paraId="5B2B6096"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empirical studies with a stated sample and design;</w:t>
      </w:r>
    </w:p>
    <w:p xmlns:wp14="http://schemas.microsoft.com/office/word/2010/wordml" w14:paraId="03D99566"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surveys of expectations or adoption;</w:t>
      </w:r>
    </w:p>
    <w:p xmlns:wp14="http://schemas.microsoft.com/office/word/2010/wordml" w14:paraId="07D25485"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analyst forecasts;</w:t>
      </w:r>
    </w:p>
    <w:p xmlns:wp14="http://schemas.microsoft.com/office/word/2010/wordml" w14:paraId="77ECE274"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vendor capabilities and product status;</w:t>
      </w:r>
    </w:p>
    <w:p xmlns:wp14="http://schemas.microsoft.com/office/word/2010/wordml" w14:paraId="4F67FA60"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analytical assumptions used in the financial and cohort models.</w:t>
      </w:r>
    </w:p>
    <w:p xmlns:wp14="http://schemas.microsoft.com/office/word/2010/wordml" w14:paraId="0E4BCF38" wp14:textId="77777777">
      <w:pPr>
        <w:pStyle w:val="Heading2"/>
      </w:pPr>
      <w:r>
        <w:rPr>
          <w:rFonts w:ascii="Arial" w:hAnsi="Arial" w:eastAsia="Arial" w:cs="Arial"/>
          <w:b/>
          <w:bCs/>
          <w:color w:val="1F8A8A"/>
          <w:sz w:val="25"/>
          <w:szCs w:val="25"/>
        </w:rPr>
        <w:t xml:space="preserve">2.3 Analytical discipline and limitations</w:t>
      </w:r>
    </w:p>
    <w:p xmlns:wp14="http://schemas.microsoft.com/office/word/2010/wordml" w14:paraId="5A566DE1" wp14:textId="77777777">
      <w:pPr>
        <w:keepLines w:val="1"/>
        <w:spacing w:after="130" w:line="290" w:lineRule="auto"/>
        <w:jc w:val="left"/>
      </w:pPr>
      <w:r w:rsidRPr="72A2CC76" w:rsidR="72A2CC76">
        <w:rPr>
          <w:rFonts w:ascii="Arial" w:hAnsi="Arial" w:eastAsia="Arial" w:cs="Arial"/>
          <w:b w:val="0"/>
          <w:bCs w:val="0"/>
          <w:i w:val="0"/>
          <w:iCs w:val="0"/>
          <w:color w:val="1A1A1A"/>
          <w:sz w:val="20"/>
          <w:szCs w:val="20"/>
          <w:lang w:val="en-US"/>
        </w:rPr>
        <w:t>Task automation is not payroll reduction. The chain is: technical task exposure, successful automation, quality-adjusted time saved, released capacity, realized cash savings or new revenue, customer repricing, and net margin after software, governance and transition costs. Every model output in this report follows that chain conceptually.</w:t>
      </w:r>
    </w:p>
    <w:p xmlns:wp14="http://schemas.microsoft.com/office/word/2010/wordml" w14:paraId="567DDBFF" wp14:textId="77777777">
      <w:pPr>
        <w:keepLines w:val="1"/>
        <w:spacing w:after="130" w:line="290" w:lineRule="auto"/>
        <w:jc w:val="left"/>
      </w:pPr>
      <w:r w:rsidRPr="72A2CC76" w:rsidR="72A2CC76">
        <w:rPr>
          <w:rFonts w:ascii="Arial" w:hAnsi="Arial" w:eastAsia="Arial" w:cs="Arial"/>
          <w:b w:val="0"/>
          <w:bCs w:val="0"/>
          <w:i w:val="0"/>
          <w:iCs w:val="0"/>
          <w:color w:val="1A1A1A"/>
          <w:sz w:val="20"/>
          <w:szCs w:val="20"/>
          <w:lang w:val="en-US"/>
        </w:rPr>
        <w:t>No verified longitudinal global census was found that tracks MSP entries, failures, acquisitions and exits. The percentage estimates in section 9 are explicitly an analyst planning illustration. They are not measured failure rates. Similarly, no representative study was found that links MSP AI adoption to audited service quality, staffing, renewal pricing and realized cash margin over time. That is the most important evidence gap.</w:t>
      </w:r>
    </w:p>
    <w:p xmlns:wp14="http://schemas.microsoft.com/office/word/2010/wordml" w14:paraId="4B1DBC37" wp14:textId="77777777">
      <w:pPr>
        <w:pStyle w:val="Heading1"/>
        <w:pageBreakBefore/>
      </w:pPr>
      <w:r>
        <w:rPr>
          <w:rFonts w:ascii="Arial" w:hAnsi="Arial" w:eastAsia="Arial" w:cs="Arial"/>
          <w:b/>
          <w:bCs/>
          <w:color w:val="173F5F"/>
          <w:sz w:val="30"/>
          <w:szCs w:val="30"/>
        </w:rPr>
        <w:t xml:space="preserve">3. Key Findings</w:t>
      </w:r>
    </w:p>
    <w:tbl>
      <w:tblPr>
        <w:tblW w:w="10656" w:type="dxa"/>
        <w:tblBorders>
          <w:top w:val="single" w:color="auto" w:sz="4"/>
          <w:left w:val="single" w:color="auto" w:sz="4"/>
          <w:bottom w:val="single" w:color="auto" w:sz="4"/>
          <w:right w:val="single" w:color="auto" w:sz="4"/>
          <w:insideH w:val="single" w:color="auto" w:sz="4"/>
          <w:insideV w:val="single" w:color="auto" w:sz="4"/>
        </w:tblBorders>
      </w:tblPr>
      <w:tblGrid>
        <w:gridCol w:w="3552"/>
        <w:gridCol w:w="3552"/>
        <w:gridCol w:w="3552"/>
      </w:tblGrid>
      <w:tr xmlns:wp14="http://schemas.microsoft.com/office/word/2010/wordml" w:rsidTr="72A2CC76" w14:paraId="5B604601" wp14:textId="77777777">
        <w:trPr>
          <w:cantSplit/>
          <w:tblHeader/>
        </w:trPr>
        <w:tc>
          <w:tcPr>
            <w:tcW w:w="3552" w:type="dxa"/>
            <w:tcBorders>
              <w:top w:val="single" w:color="D8E0E8" w:sz="4"/>
              <w:left w:val="single" w:color="D8E0E8" w:sz="4"/>
              <w:bottom w:val="single" w:color="D8E0E8" w:sz="4"/>
              <w:right w:val="single" w:color="D8E0E8" w:sz="4"/>
            </w:tcBorders>
            <w:shd w:val="clear" w:color="auto" w:fill="173F5F"/>
            <w:tcMar>
              <w:top w:w="90" w:type="dxa"/>
              <w:left w:w="110" w:type="dxa"/>
              <w:bottom w:w="90" w:type="dxa"/>
              <w:right w:w="110" w:type="dxa"/>
            </w:tcMar>
            <w:vAlign w:val="center"/>
          </w:tcPr>
          <w:p w14:paraId="78F74C83" wp14:textId="77777777">
            <w:pPr>
              <w:spacing w:after="0" w:line="220"/>
            </w:pPr>
            <w:r>
              <w:rPr>
                <w:rFonts w:ascii="Arial" w:hAnsi="Arial" w:eastAsia="Arial" w:cs="Arial"/>
                <w:b/>
                <w:bCs/>
                <w:i w:val="false"/>
                <w:iCs w:val="false"/>
                <w:color w:val="FFFFFF"/>
                <w:sz w:val="17"/>
                <w:szCs w:val="17"/>
              </w:rPr>
              <w:t xml:space="preserve">Finding</w:t>
            </w:r>
          </w:p>
        </w:tc>
        <w:tc>
          <w:tcPr>
            <w:tcW w:w="3552" w:type="dxa"/>
            <w:tcBorders>
              <w:top w:val="single" w:color="D8E0E8" w:sz="4"/>
              <w:left w:val="single" w:color="D8E0E8" w:sz="4"/>
              <w:bottom w:val="single" w:color="D8E0E8" w:sz="4"/>
              <w:right w:val="single" w:color="D8E0E8" w:sz="4"/>
            </w:tcBorders>
            <w:shd w:val="clear" w:color="auto" w:fill="173F5F"/>
            <w:tcMar>
              <w:top w:w="90" w:type="dxa"/>
              <w:left w:w="110" w:type="dxa"/>
              <w:bottom w:w="90" w:type="dxa"/>
              <w:right w:w="110" w:type="dxa"/>
            </w:tcMar>
            <w:vAlign w:val="center"/>
          </w:tcPr>
          <w:p w14:paraId="4AE1417D" wp14:textId="77777777">
            <w:pPr>
              <w:spacing w:after="0" w:line="220"/>
            </w:pPr>
            <w:r>
              <w:rPr>
                <w:rFonts w:ascii="Arial" w:hAnsi="Arial" w:eastAsia="Arial" w:cs="Arial"/>
                <w:b/>
                <w:bCs/>
                <w:i w:val="false"/>
                <w:iCs w:val="false"/>
                <w:color w:val="FFFFFF"/>
                <w:sz w:val="17"/>
                <w:szCs w:val="17"/>
              </w:rPr>
              <w:t xml:space="preserve">Evidence</w:t>
            </w:r>
          </w:p>
        </w:tc>
        <w:tc>
          <w:tcPr>
            <w:tcW w:w="3552" w:type="dxa"/>
            <w:tcBorders>
              <w:top w:val="single" w:color="D8E0E8" w:sz="4"/>
              <w:left w:val="single" w:color="D8E0E8" w:sz="4"/>
              <w:bottom w:val="single" w:color="D8E0E8" w:sz="4"/>
              <w:right w:val="single" w:color="D8E0E8" w:sz="4"/>
            </w:tcBorders>
            <w:shd w:val="clear" w:color="auto" w:fill="173F5F"/>
            <w:tcMar>
              <w:top w:w="90" w:type="dxa"/>
              <w:left w:w="110" w:type="dxa"/>
              <w:bottom w:w="90" w:type="dxa"/>
              <w:right w:w="110" w:type="dxa"/>
            </w:tcMar>
            <w:vAlign w:val="center"/>
          </w:tcPr>
          <w:p w14:paraId="28EDA3CB" wp14:textId="77777777">
            <w:pPr>
              <w:spacing w:after="0" w:line="220"/>
            </w:pPr>
            <w:r>
              <w:rPr>
                <w:rFonts w:ascii="Arial" w:hAnsi="Arial" w:eastAsia="Arial" w:cs="Arial"/>
                <w:b/>
                <w:bCs/>
                <w:i w:val="false"/>
                <w:iCs w:val="false"/>
                <w:color w:val="FFFFFF"/>
                <w:sz w:val="17"/>
                <w:szCs w:val="17"/>
              </w:rPr>
              <w:t xml:space="preserve">Board implication</w:t>
            </w:r>
          </w:p>
        </w:tc>
      </w:tr>
      <w:tr xmlns:wp14="http://schemas.microsoft.com/office/word/2010/wordml" w:rsidTr="72A2CC76" w14:paraId="4A6F5712" wp14:textId="77777777">
        <w:trPr>
          <w:cantSplit/>
          <w:tblHeader w:val="false"/>
        </w:trPr>
        <w:tc>
          <w:tcPr>
            <w:tcW w:w="3552" w:type="dxa"/>
            <w:tcBorders>
              <w:top w:val="single" w:color="D8E0E8" w:sz="4"/>
              <w:left w:val="single" w:color="D8E0E8" w:sz="4"/>
              <w:bottom w:val="single" w:color="D8E0E8" w:sz="4"/>
              <w:right w:val="single" w:color="D8E0E8" w:sz="4"/>
            </w:tcBorders>
            <w:shd w:val="clear" w:color="auto" w:fill="FFFFFF"/>
            <w:tcMar>
              <w:top w:w="90" w:type="dxa"/>
              <w:left w:w="110" w:type="dxa"/>
              <w:bottom w:w="90" w:type="dxa"/>
              <w:right w:w="110" w:type="dxa"/>
            </w:tcMar>
            <w:vAlign w:val="center"/>
          </w:tcPr>
          <w:p w14:paraId="633B22FE" wp14:textId="77777777">
            <w:pPr>
              <w:spacing w:after="0" w:line="220" w:lineRule="auto"/>
            </w:pPr>
            <w:r w:rsidRPr="72A2CC76" w:rsidR="72A2CC76">
              <w:rPr>
                <w:rFonts w:ascii="Arial" w:hAnsi="Arial" w:eastAsia="Arial" w:cs="Arial"/>
                <w:b w:val="0"/>
                <w:bCs w:val="0"/>
                <w:i w:val="0"/>
                <w:iCs w:val="0"/>
                <w:color w:val="1A1A1A"/>
                <w:sz w:val="17"/>
                <w:szCs w:val="17"/>
                <w:lang w:val="en-US"/>
              </w:rPr>
              <w:t>Managed services is not disappearing</w:t>
            </w:r>
          </w:p>
        </w:tc>
        <w:tc>
          <w:tcPr>
            <w:tcW w:w="3552" w:type="dxa"/>
            <w:tcBorders>
              <w:top w:val="single" w:color="D8E0E8" w:sz="4"/>
              <w:left w:val="single" w:color="D8E0E8" w:sz="4"/>
              <w:bottom w:val="single" w:color="D8E0E8" w:sz="4"/>
              <w:right w:val="single" w:color="D8E0E8" w:sz="4"/>
            </w:tcBorders>
            <w:shd w:val="clear" w:color="auto" w:fill="FFFFFF"/>
            <w:tcMar>
              <w:top w:w="90" w:type="dxa"/>
              <w:left w:w="110" w:type="dxa"/>
              <w:bottom w:w="90" w:type="dxa"/>
              <w:right w:w="110" w:type="dxa"/>
            </w:tcMar>
            <w:vAlign w:val="center"/>
          </w:tcPr>
          <w:p w14:paraId="562C1B0E" wp14:textId="77777777">
            <w:pPr>
              <w:spacing w:after="0" w:line="220" w:lineRule="auto"/>
            </w:pPr>
            <w:r w:rsidRPr="72A2CC76" w:rsidR="72A2CC76">
              <w:rPr>
                <w:rFonts w:ascii="Arial" w:hAnsi="Arial" w:eastAsia="Arial" w:cs="Arial"/>
                <w:b w:val="0"/>
                <w:bCs w:val="0"/>
                <w:i w:val="0"/>
                <w:iCs w:val="0"/>
                <w:color w:val="1A1A1A"/>
                <w:sz w:val="17"/>
                <w:szCs w:val="17"/>
                <w:lang w:val="en-US"/>
              </w:rPr>
              <w:t xml:space="preserve">Participating MSP revenue grew 9.6% in 2025; Omdia forecast 13% global managed-services spending growth in 2025. </w:t>
            </w:r>
            <w:hyperlink r:id="R121848a9f1d14d90">
              <w:r w:rsidRPr="72A2CC76" w:rsidR="72A2CC76">
                <w:rPr>
                  <w:rStyle w:val="Hyperlink"/>
                  <w:rFonts w:ascii="Arial" w:hAnsi="Arial" w:eastAsia="Arial" w:cs="Arial"/>
                  <w:b w:val="1"/>
                  <w:bCs w:val="1"/>
                  <w:sz w:val="14"/>
                  <w:szCs w:val="14"/>
                  <w:lang w:val="en-US"/>
                </w:rPr>
                <w:t>[1]</w:t>
              </w:r>
            </w:hyperlink>
            <w:r w:rsidRPr="72A2CC76" w:rsidR="72A2CC76">
              <w:rPr>
                <w:rFonts w:ascii="Arial" w:hAnsi="Arial" w:eastAsia="Arial" w:cs="Arial"/>
                <w:b w:val="0"/>
                <w:bCs w:val="0"/>
                <w:i w:val="0"/>
                <w:iCs w:val="0"/>
                <w:color w:val="1A1A1A"/>
                <w:sz w:val="17"/>
                <w:szCs w:val="17"/>
                <w:lang w:val="en-US"/>
              </w:rPr>
              <w:t xml:space="preserve"> </w:t>
            </w:r>
            <w:hyperlink r:id="R1e4c1f522c4d414a">
              <w:r w:rsidRPr="72A2CC76" w:rsidR="72A2CC76">
                <w:rPr>
                  <w:rStyle w:val="Hyperlink"/>
                  <w:rFonts w:ascii="Arial" w:hAnsi="Arial" w:eastAsia="Arial" w:cs="Arial"/>
                  <w:b w:val="1"/>
                  <w:bCs w:val="1"/>
                  <w:sz w:val="14"/>
                  <w:szCs w:val="14"/>
                  <w:lang w:val="en-US"/>
                </w:rPr>
                <w:t>[3]</w:t>
              </w:r>
            </w:hyperlink>
          </w:p>
        </w:tc>
        <w:tc>
          <w:tcPr>
            <w:tcW w:w="3552" w:type="dxa"/>
            <w:tcBorders>
              <w:top w:val="single" w:color="D8E0E8" w:sz="4"/>
              <w:left w:val="single" w:color="D8E0E8" w:sz="4"/>
              <w:bottom w:val="single" w:color="D8E0E8" w:sz="4"/>
              <w:right w:val="single" w:color="D8E0E8" w:sz="4"/>
            </w:tcBorders>
            <w:shd w:val="clear" w:color="auto" w:fill="FFFFFF"/>
            <w:tcMar>
              <w:top w:w="90" w:type="dxa"/>
              <w:left w:w="110" w:type="dxa"/>
              <w:bottom w:w="90" w:type="dxa"/>
              <w:right w:w="110" w:type="dxa"/>
            </w:tcMar>
            <w:vAlign w:val="center"/>
          </w:tcPr>
          <w:p w14:paraId="77468A8E" wp14:textId="77777777">
            <w:pPr>
              <w:spacing w:after="0" w:line="220"/>
            </w:pPr>
            <w:r>
              <w:rPr>
                <w:rFonts w:ascii="Arial" w:hAnsi="Arial" w:eastAsia="Arial" w:cs="Arial"/>
                <w:b w:val="false"/>
                <w:bCs w:val="false"/>
                <w:i w:val="false"/>
                <w:iCs w:val="false"/>
                <w:color w:val="1A1A1A"/>
                <w:sz w:val="17"/>
                <w:szCs w:val="17"/>
              </w:rPr>
              <w:t xml:space="preserve">Do not confuse model disruption with market extinction.</w:t>
            </w:r>
          </w:p>
        </w:tc>
      </w:tr>
      <w:tr xmlns:wp14="http://schemas.microsoft.com/office/word/2010/wordml" w:rsidTr="72A2CC76" w14:paraId="70520F6E" wp14:textId="77777777">
        <w:trPr>
          <w:cantSplit/>
          <w:tblHeader w:val="false"/>
        </w:trPr>
        <w:tc>
          <w:tcPr>
            <w:tcW w:w="3552" w:type="dxa"/>
            <w:tcBorders>
              <w:top w:val="single" w:color="D8E0E8" w:sz="4"/>
              <w:left w:val="single" w:color="D8E0E8" w:sz="4"/>
              <w:bottom w:val="single" w:color="D8E0E8" w:sz="4"/>
              <w:right w:val="single" w:color="D8E0E8" w:sz="4"/>
            </w:tcBorders>
            <w:shd w:val="clear" w:color="auto" w:fill="F7F9FB"/>
            <w:tcMar>
              <w:top w:w="90" w:type="dxa"/>
              <w:left w:w="110" w:type="dxa"/>
              <w:bottom w:w="90" w:type="dxa"/>
              <w:right w:w="110" w:type="dxa"/>
            </w:tcMar>
            <w:vAlign w:val="center"/>
          </w:tcPr>
          <w:p w14:paraId="39E99A8C" wp14:textId="77777777">
            <w:pPr>
              <w:spacing w:after="0" w:line="220"/>
            </w:pPr>
            <w:r>
              <w:rPr>
                <w:rFonts w:ascii="Arial" w:hAnsi="Arial" w:eastAsia="Arial" w:cs="Arial"/>
                <w:b w:val="false"/>
                <w:bCs w:val="false"/>
                <w:i w:val="false"/>
                <w:iCs w:val="false"/>
                <w:color w:val="1A1A1A"/>
                <w:sz w:val="17"/>
                <w:szCs w:val="17"/>
              </w:rPr>
              <w:t xml:space="preserve">Value is migrating faster than demand</w:t>
            </w:r>
          </w:p>
        </w:tc>
        <w:tc>
          <w:tcPr>
            <w:tcW w:w="3552" w:type="dxa"/>
            <w:tcBorders>
              <w:top w:val="single" w:color="D8E0E8" w:sz="4"/>
              <w:left w:val="single" w:color="D8E0E8" w:sz="4"/>
              <w:bottom w:val="single" w:color="D8E0E8" w:sz="4"/>
              <w:right w:val="single" w:color="D8E0E8" w:sz="4"/>
            </w:tcBorders>
            <w:shd w:val="clear" w:color="auto" w:fill="F7F9FB"/>
            <w:tcMar>
              <w:top w:w="90" w:type="dxa"/>
              <w:left w:w="110" w:type="dxa"/>
              <w:bottom w:w="90" w:type="dxa"/>
              <w:right w:w="110" w:type="dxa"/>
            </w:tcMar>
            <w:vAlign w:val="center"/>
          </w:tcPr>
          <w:p w14:paraId="4E654F89" wp14:textId="77777777">
            <w:pPr>
              <w:spacing w:after="0" w:line="220" w:lineRule="auto"/>
            </w:pPr>
            <w:r w:rsidRPr="72A2CC76" w:rsidR="72A2CC76">
              <w:rPr>
                <w:rFonts w:ascii="Arial" w:hAnsi="Arial" w:eastAsia="Arial" w:cs="Arial"/>
                <w:b w:val="0"/>
                <w:bCs w:val="0"/>
                <w:i w:val="0"/>
                <w:iCs w:val="0"/>
                <w:color w:val="1A1A1A"/>
                <w:sz w:val="17"/>
                <w:szCs w:val="17"/>
                <w:lang w:val="en-US"/>
              </w:rPr>
              <w:t xml:space="preserve">Gartner forecasts 2026 software and IaaS spending growth far above IT services; ISG shows much faster XaaS than managed-services ACV growth. </w:t>
            </w:r>
            <w:hyperlink r:id="Rc4b57b7e7de2465d">
              <w:r w:rsidRPr="72A2CC76" w:rsidR="72A2CC76">
                <w:rPr>
                  <w:rStyle w:val="Hyperlink"/>
                  <w:rFonts w:ascii="Arial" w:hAnsi="Arial" w:eastAsia="Arial" w:cs="Arial"/>
                  <w:b w:val="1"/>
                  <w:bCs w:val="1"/>
                  <w:sz w:val="14"/>
                  <w:szCs w:val="14"/>
                  <w:lang w:val="en-US"/>
                </w:rPr>
                <w:t>[4]</w:t>
              </w:r>
            </w:hyperlink>
            <w:r w:rsidRPr="72A2CC76" w:rsidR="72A2CC76">
              <w:rPr>
                <w:rFonts w:ascii="Arial" w:hAnsi="Arial" w:eastAsia="Arial" w:cs="Arial"/>
                <w:b w:val="0"/>
                <w:bCs w:val="0"/>
                <w:i w:val="0"/>
                <w:iCs w:val="0"/>
                <w:color w:val="1A1A1A"/>
                <w:sz w:val="17"/>
                <w:szCs w:val="17"/>
                <w:lang w:val="en-US"/>
              </w:rPr>
              <w:t xml:space="preserve"> </w:t>
            </w:r>
            <w:hyperlink r:id="R4e502491bd244435">
              <w:r w:rsidRPr="72A2CC76" w:rsidR="72A2CC76">
                <w:rPr>
                  <w:rStyle w:val="Hyperlink"/>
                  <w:rFonts w:ascii="Arial" w:hAnsi="Arial" w:eastAsia="Arial" w:cs="Arial"/>
                  <w:b w:val="1"/>
                  <w:bCs w:val="1"/>
                  <w:sz w:val="14"/>
                  <w:szCs w:val="14"/>
                  <w:lang w:val="en-US"/>
                </w:rPr>
                <w:t>[5]</w:t>
              </w:r>
            </w:hyperlink>
          </w:p>
        </w:tc>
        <w:tc>
          <w:tcPr>
            <w:tcW w:w="3552" w:type="dxa"/>
            <w:tcBorders>
              <w:top w:val="single" w:color="D8E0E8" w:sz="4"/>
              <w:left w:val="single" w:color="D8E0E8" w:sz="4"/>
              <w:bottom w:val="single" w:color="D8E0E8" w:sz="4"/>
              <w:right w:val="single" w:color="D8E0E8" w:sz="4"/>
            </w:tcBorders>
            <w:shd w:val="clear" w:color="auto" w:fill="F7F9FB"/>
            <w:tcMar>
              <w:top w:w="90" w:type="dxa"/>
              <w:left w:w="110" w:type="dxa"/>
              <w:bottom w:w="90" w:type="dxa"/>
              <w:right w:w="110" w:type="dxa"/>
            </w:tcMar>
            <w:vAlign w:val="center"/>
          </w:tcPr>
          <w:p w14:paraId="611EDA7D" wp14:textId="77777777">
            <w:pPr>
              <w:spacing w:after="0" w:line="220"/>
            </w:pPr>
            <w:r>
              <w:rPr>
                <w:rFonts w:ascii="Arial" w:hAnsi="Arial" w:eastAsia="Arial" w:cs="Arial"/>
                <w:b w:val="false"/>
                <w:bCs w:val="false"/>
                <w:i w:val="false"/>
                <w:iCs w:val="false"/>
                <w:color w:val="1A1A1A"/>
                <w:sz w:val="17"/>
                <w:szCs w:val="17"/>
              </w:rPr>
              <w:t xml:space="preserve">Revenue growth can coexist with declining relevance and pricing power.</w:t>
            </w:r>
          </w:p>
        </w:tc>
      </w:tr>
      <w:tr xmlns:wp14="http://schemas.microsoft.com/office/word/2010/wordml" w:rsidTr="72A2CC76" w14:paraId="55D982F0" wp14:textId="77777777">
        <w:trPr>
          <w:cantSplit/>
          <w:tblHeader w:val="false"/>
        </w:trPr>
        <w:tc>
          <w:tcPr>
            <w:tcW w:w="3552" w:type="dxa"/>
            <w:tcBorders>
              <w:top w:val="single" w:color="D8E0E8" w:sz="4"/>
              <w:left w:val="single" w:color="D8E0E8" w:sz="4"/>
              <w:bottom w:val="single" w:color="D8E0E8" w:sz="4"/>
              <w:right w:val="single" w:color="D8E0E8" w:sz="4"/>
            </w:tcBorders>
            <w:shd w:val="clear" w:color="auto" w:fill="FFFFFF"/>
            <w:tcMar>
              <w:top w:w="90" w:type="dxa"/>
              <w:left w:w="110" w:type="dxa"/>
              <w:bottom w:w="90" w:type="dxa"/>
              <w:right w:w="110" w:type="dxa"/>
            </w:tcMar>
            <w:vAlign w:val="center"/>
          </w:tcPr>
          <w:p w14:paraId="143B0DAF" wp14:textId="77777777">
            <w:pPr>
              <w:spacing w:after="0" w:line="220"/>
            </w:pPr>
            <w:r>
              <w:rPr>
                <w:rFonts w:ascii="Arial" w:hAnsi="Arial" w:eastAsia="Arial" w:cs="Arial"/>
                <w:b w:val="false"/>
                <w:bCs w:val="false"/>
                <w:i w:val="false"/>
                <w:iCs w:val="false"/>
                <w:color w:val="1A1A1A"/>
                <w:sz w:val="17"/>
                <w:szCs w:val="17"/>
              </w:rPr>
              <w:t xml:space="preserve">Routine support work is economically exposed</w:t>
            </w:r>
          </w:p>
        </w:tc>
        <w:tc>
          <w:tcPr>
            <w:tcW w:w="3552" w:type="dxa"/>
            <w:tcBorders>
              <w:top w:val="single" w:color="D8E0E8" w:sz="4"/>
              <w:left w:val="single" w:color="D8E0E8" w:sz="4"/>
              <w:bottom w:val="single" w:color="D8E0E8" w:sz="4"/>
              <w:right w:val="single" w:color="D8E0E8" w:sz="4"/>
            </w:tcBorders>
            <w:shd w:val="clear" w:color="auto" w:fill="FFFFFF"/>
            <w:tcMar>
              <w:top w:w="90" w:type="dxa"/>
              <w:left w:w="110" w:type="dxa"/>
              <w:bottom w:w="90" w:type="dxa"/>
              <w:right w:w="110" w:type="dxa"/>
            </w:tcMar>
            <w:vAlign w:val="center"/>
          </w:tcPr>
          <w:p w14:paraId="75D31D4B" wp14:textId="77777777">
            <w:pPr>
              <w:spacing w:after="0" w:line="220"/>
            </w:pPr>
            <w:r>
              <w:rPr>
                <w:rFonts w:ascii="Arial" w:hAnsi="Arial" w:eastAsia="Arial" w:cs="Arial"/>
                <w:b w:val="false"/>
                <w:bCs w:val="false"/>
                <w:i w:val="false"/>
                <w:iCs w:val="false"/>
                <w:color w:val="1A1A1A"/>
                <w:sz w:val="17"/>
                <w:szCs w:val="17"/>
              </w:rPr>
              <w:t xml:space="preserve">NBER support productivity rose 14% overall and 34% for novice/lower-skilled agents; vendors now offer bounded autonomous service and operations functions. </w:t>
            </w:r>
            <w:hyperlink w:history="1" r:id="rIdq7orwrr4yth6g1tghzruu">
              <w:r>
                <w:rPr>
                  <w:rStyle w:val="Hyperlink"/>
                  <w:rFonts w:ascii="Arial" w:hAnsi="Arial" w:eastAsia="Arial" w:cs="Arial"/>
                  <w:b/>
                  <w:bCs/>
                  <w:sz w:val="14"/>
                  <w:szCs w:val="14"/>
                </w:rPr>
                <w:t xml:space="preserve">[8]</w:t>
              </w:r>
            </w:hyperlink>
            <w:r>
              <w:rPr>
                <w:rFonts w:ascii="Arial" w:hAnsi="Arial" w:eastAsia="Arial" w:cs="Arial"/>
                <w:b w:val="false"/>
                <w:bCs w:val="false"/>
                <w:i w:val="false"/>
                <w:iCs w:val="false"/>
                <w:color w:val="1A1A1A"/>
                <w:sz w:val="17"/>
                <w:szCs w:val="17"/>
              </w:rPr>
              <w:t xml:space="preserve"> </w:t>
            </w:r>
            <w:hyperlink w:history="1" r:id="rIdulocmppw3kksom9rb5i74">
              <w:r>
                <w:rPr>
                  <w:rStyle w:val="Hyperlink"/>
                  <w:rFonts w:ascii="Arial" w:hAnsi="Arial" w:eastAsia="Arial" w:cs="Arial"/>
                  <w:b/>
                  <w:bCs/>
                  <w:sz w:val="14"/>
                  <w:szCs w:val="14"/>
                </w:rPr>
                <w:t xml:space="preserve">[25]</w:t>
              </w:r>
            </w:hyperlink>
            <w:r>
              <w:rPr>
                <w:rFonts w:ascii="Arial" w:hAnsi="Arial" w:eastAsia="Arial" w:cs="Arial"/>
                <w:b w:val="false"/>
                <w:bCs w:val="false"/>
                <w:i w:val="false"/>
                <w:iCs w:val="false"/>
                <w:color w:val="1A1A1A"/>
                <w:sz w:val="17"/>
                <w:szCs w:val="17"/>
              </w:rPr>
              <w:t xml:space="preserve"> </w:t>
            </w:r>
            <w:hyperlink w:history="1" r:id="rIdr5x0llz2onm1tshiglsli">
              <w:r>
                <w:rPr>
                  <w:rStyle w:val="Hyperlink"/>
                  <w:rFonts w:ascii="Arial" w:hAnsi="Arial" w:eastAsia="Arial" w:cs="Arial"/>
                  <w:b/>
                  <w:bCs/>
                  <w:sz w:val="14"/>
                  <w:szCs w:val="14"/>
                </w:rPr>
                <w:t xml:space="preserve">[28]</w:t>
              </w:r>
            </w:hyperlink>
          </w:p>
        </w:tc>
        <w:tc>
          <w:tcPr>
            <w:tcW w:w="3552" w:type="dxa"/>
            <w:tcBorders>
              <w:top w:val="single" w:color="D8E0E8" w:sz="4"/>
              <w:left w:val="single" w:color="D8E0E8" w:sz="4"/>
              <w:bottom w:val="single" w:color="D8E0E8" w:sz="4"/>
              <w:right w:val="single" w:color="D8E0E8" w:sz="4"/>
            </w:tcBorders>
            <w:shd w:val="clear" w:color="auto" w:fill="FFFFFF"/>
            <w:tcMar>
              <w:top w:w="90" w:type="dxa"/>
              <w:left w:w="110" w:type="dxa"/>
              <w:bottom w:w="90" w:type="dxa"/>
              <w:right w:w="110" w:type="dxa"/>
            </w:tcMar>
            <w:vAlign w:val="center"/>
          </w:tcPr>
          <w:p w14:paraId="4FB006FD" wp14:textId="77777777">
            <w:pPr>
              <w:spacing w:after="0" w:line="220" w:lineRule="auto"/>
            </w:pPr>
            <w:r w:rsidRPr="72A2CC76" w:rsidR="72A2CC76">
              <w:rPr>
                <w:rFonts w:ascii="Arial" w:hAnsi="Arial" w:eastAsia="Arial" w:cs="Arial"/>
                <w:b w:val="0"/>
                <w:bCs w:val="0"/>
                <w:i w:val="0"/>
                <w:iCs w:val="0"/>
                <w:color w:val="1A1A1A"/>
                <w:sz w:val="17"/>
                <w:szCs w:val="17"/>
                <w:lang w:val="en-US"/>
              </w:rPr>
              <w:t>L1, triage, documentation and monitoring should be redesigned now.</w:t>
            </w:r>
          </w:p>
        </w:tc>
      </w:tr>
      <w:tr xmlns:wp14="http://schemas.microsoft.com/office/word/2010/wordml" w:rsidTr="72A2CC76" w14:paraId="3ED49D15" wp14:textId="77777777">
        <w:trPr>
          <w:cantSplit/>
          <w:tblHeader w:val="false"/>
        </w:trPr>
        <w:tc>
          <w:tcPr>
            <w:tcW w:w="3552" w:type="dxa"/>
            <w:tcBorders>
              <w:top w:val="single" w:color="D8E0E8" w:sz="4"/>
              <w:left w:val="single" w:color="D8E0E8" w:sz="4"/>
              <w:bottom w:val="single" w:color="D8E0E8" w:sz="4"/>
              <w:right w:val="single" w:color="D8E0E8" w:sz="4"/>
            </w:tcBorders>
            <w:shd w:val="clear" w:color="auto" w:fill="F7F9FB"/>
            <w:tcMar>
              <w:top w:w="90" w:type="dxa"/>
              <w:left w:w="110" w:type="dxa"/>
              <w:bottom w:w="90" w:type="dxa"/>
              <w:right w:w="110" w:type="dxa"/>
            </w:tcMar>
            <w:vAlign w:val="center"/>
          </w:tcPr>
          <w:p w14:paraId="436BB0F8" wp14:textId="77777777">
            <w:pPr>
              <w:spacing w:after="0" w:line="220"/>
            </w:pPr>
            <w:r>
              <w:rPr>
                <w:rFonts w:ascii="Arial" w:hAnsi="Arial" w:eastAsia="Arial" w:cs="Arial"/>
                <w:b w:val="false"/>
                <w:bCs w:val="false"/>
                <w:i w:val="false"/>
                <w:iCs w:val="false"/>
                <w:color w:val="1A1A1A"/>
                <w:sz w:val="17"/>
                <w:szCs w:val="17"/>
              </w:rPr>
              <w:t xml:space="preserve">The pricing unit is not the real problem</w:t>
            </w:r>
          </w:p>
        </w:tc>
        <w:tc>
          <w:tcPr>
            <w:tcW w:w="3552" w:type="dxa"/>
            <w:tcBorders>
              <w:top w:val="single" w:color="D8E0E8" w:sz="4"/>
              <w:left w:val="single" w:color="D8E0E8" w:sz="4"/>
              <w:bottom w:val="single" w:color="D8E0E8" w:sz="4"/>
              <w:right w:val="single" w:color="D8E0E8" w:sz="4"/>
            </w:tcBorders>
            <w:shd w:val="clear" w:color="auto" w:fill="F7F9FB"/>
            <w:tcMar>
              <w:top w:w="90" w:type="dxa"/>
              <w:left w:w="110" w:type="dxa"/>
              <w:bottom w:w="90" w:type="dxa"/>
              <w:right w:w="110" w:type="dxa"/>
            </w:tcMar>
            <w:vAlign w:val="center"/>
          </w:tcPr>
          <w:p w14:paraId="4F5788EF" wp14:textId="77777777">
            <w:pPr>
              <w:spacing w:after="0" w:line="220"/>
            </w:pPr>
            <w:r>
              <w:rPr>
                <w:rFonts w:ascii="Arial" w:hAnsi="Arial" w:eastAsia="Arial" w:cs="Arial"/>
                <w:b w:val="false"/>
                <w:bCs w:val="false"/>
                <w:i w:val="false"/>
                <w:iCs w:val="false"/>
                <w:color w:val="1A1A1A"/>
                <w:sz w:val="17"/>
                <w:szCs w:val="17"/>
              </w:rPr>
              <w:t xml:space="preserve">Fixed-fee economics improve when the provider keeps efficiency; they deteriorate when price falls before cost.</w:t>
            </w:r>
          </w:p>
        </w:tc>
        <w:tc>
          <w:tcPr>
            <w:tcW w:w="3552" w:type="dxa"/>
            <w:tcBorders>
              <w:top w:val="single" w:color="D8E0E8" w:sz="4"/>
              <w:left w:val="single" w:color="D8E0E8" w:sz="4"/>
              <w:bottom w:val="single" w:color="D8E0E8" w:sz="4"/>
              <w:right w:val="single" w:color="D8E0E8" w:sz="4"/>
            </w:tcBorders>
            <w:shd w:val="clear" w:color="auto" w:fill="F7F9FB"/>
            <w:tcMar>
              <w:top w:w="90" w:type="dxa"/>
              <w:left w:w="110" w:type="dxa"/>
              <w:bottom w:w="90" w:type="dxa"/>
              <w:right w:w="110" w:type="dxa"/>
            </w:tcMar>
            <w:vAlign w:val="center"/>
          </w:tcPr>
          <w:p w14:paraId="5769759C" wp14:textId="77777777">
            <w:pPr>
              <w:spacing w:after="0" w:line="220" w:lineRule="auto"/>
            </w:pPr>
            <w:r w:rsidRPr="72A2CC76" w:rsidR="72A2CC76">
              <w:rPr>
                <w:rFonts w:ascii="Arial" w:hAnsi="Arial" w:eastAsia="Arial" w:cs="Arial"/>
                <w:b w:val="0"/>
                <w:bCs w:val="0"/>
                <w:i w:val="0"/>
                <w:iCs w:val="0"/>
                <w:color w:val="1A1A1A"/>
                <w:sz w:val="17"/>
                <w:szCs w:val="17"/>
                <w:lang w:val="en-US"/>
              </w:rPr>
              <w:t>Replace a labor story with an outcome and risk story; retain simple billing where useful.</w:t>
            </w:r>
          </w:p>
        </w:tc>
      </w:tr>
      <w:tr xmlns:wp14="http://schemas.microsoft.com/office/word/2010/wordml" w:rsidTr="72A2CC76" w14:paraId="633C5D86" wp14:textId="77777777">
        <w:trPr>
          <w:cantSplit/>
          <w:tblHeader w:val="false"/>
        </w:trPr>
        <w:tc>
          <w:tcPr>
            <w:tcW w:w="3552" w:type="dxa"/>
            <w:tcBorders>
              <w:top w:val="single" w:color="D8E0E8" w:sz="4"/>
              <w:left w:val="single" w:color="D8E0E8" w:sz="4"/>
              <w:bottom w:val="single" w:color="D8E0E8" w:sz="4"/>
              <w:right w:val="single" w:color="D8E0E8" w:sz="4"/>
            </w:tcBorders>
            <w:shd w:val="clear" w:color="auto" w:fill="FFFFFF"/>
            <w:tcMar>
              <w:top w:w="90" w:type="dxa"/>
              <w:left w:w="110" w:type="dxa"/>
              <w:bottom w:w="90" w:type="dxa"/>
              <w:right w:w="110" w:type="dxa"/>
            </w:tcMar>
            <w:vAlign w:val="center"/>
          </w:tcPr>
          <w:p w14:paraId="7EE294E1" wp14:textId="77777777">
            <w:pPr>
              <w:spacing w:after="0" w:line="220"/>
            </w:pPr>
            <w:r>
              <w:rPr>
                <w:rFonts w:ascii="Arial" w:hAnsi="Arial" w:eastAsia="Arial" w:cs="Arial"/>
                <w:b w:val="false"/>
                <w:bCs w:val="false"/>
                <w:i w:val="false"/>
                <w:iCs w:val="false"/>
                <w:color w:val="1A1A1A"/>
                <w:sz w:val="17"/>
                <w:szCs w:val="17"/>
              </w:rPr>
              <w:t xml:space="preserve">Microsoft both enables and disintermediates</w:t>
            </w:r>
          </w:p>
        </w:tc>
        <w:tc>
          <w:tcPr>
            <w:tcW w:w="3552" w:type="dxa"/>
            <w:tcBorders>
              <w:top w:val="single" w:color="D8E0E8" w:sz="4"/>
              <w:left w:val="single" w:color="D8E0E8" w:sz="4"/>
              <w:bottom w:val="single" w:color="D8E0E8" w:sz="4"/>
              <w:right w:val="single" w:color="D8E0E8" w:sz="4"/>
            </w:tcBorders>
            <w:shd w:val="clear" w:color="auto" w:fill="FFFFFF"/>
            <w:tcMar>
              <w:top w:w="90" w:type="dxa"/>
              <w:left w:w="110" w:type="dxa"/>
              <w:bottom w:w="90" w:type="dxa"/>
              <w:right w:w="110" w:type="dxa"/>
            </w:tcMar>
            <w:vAlign w:val="center"/>
          </w:tcPr>
          <w:p w14:paraId="457E0D68" wp14:textId="77777777">
            <w:pPr>
              <w:spacing w:after="0" w:line="220"/>
            </w:pPr>
            <w:r>
              <w:rPr>
                <w:rFonts w:ascii="Arial" w:hAnsi="Arial" w:eastAsia="Arial" w:cs="Arial"/>
                <w:b w:val="false"/>
                <w:bCs w:val="false"/>
                <w:i w:val="false"/>
                <w:iCs w:val="false"/>
                <w:color w:val="1A1A1A"/>
                <w:sz w:val="17"/>
                <w:szCs w:val="17"/>
              </w:rPr>
              <w:t xml:space="preserve">Copilot, Agent 365, security integration and platform governance create partner work while absorbing administration. </w:t>
            </w:r>
            <w:hyperlink w:history="1" r:id="rIdq_qgg5h3exwrkapbcnd1s">
              <w:r>
                <w:rPr>
                  <w:rStyle w:val="Hyperlink"/>
                  <w:rFonts w:ascii="Arial" w:hAnsi="Arial" w:eastAsia="Arial" w:cs="Arial"/>
                  <w:b/>
                  <w:bCs/>
                  <w:sz w:val="14"/>
                  <w:szCs w:val="14"/>
                </w:rPr>
                <w:t xml:space="preserve">[17]</w:t>
              </w:r>
            </w:hyperlink>
            <w:r>
              <w:rPr>
                <w:rFonts w:ascii="Arial" w:hAnsi="Arial" w:eastAsia="Arial" w:cs="Arial"/>
                <w:b w:val="false"/>
                <w:bCs w:val="false"/>
                <w:i w:val="false"/>
                <w:iCs w:val="false"/>
                <w:color w:val="1A1A1A"/>
                <w:sz w:val="17"/>
                <w:szCs w:val="17"/>
              </w:rPr>
              <w:t xml:space="preserve"> </w:t>
            </w:r>
            <w:hyperlink w:history="1" r:id="rIdsmcxz7pnh7rxe4m79gcw1">
              <w:r>
                <w:rPr>
                  <w:rStyle w:val="Hyperlink"/>
                  <w:rFonts w:ascii="Arial" w:hAnsi="Arial" w:eastAsia="Arial" w:cs="Arial"/>
                  <w:b/>
                  <w:bCs/>
                  <w:sz w:val="14"/>
                  <w:szCs w:val="14"/>
                </w:rPr>
                <w:t xml:space="preserve">[18]</w:t>
              </w:r>
            </w:hyperlink>
            <w:r>
              <w:rPr>
                <w:rFonts w:ascii="Arial" w:hAnsi="Arial" w:eastAsia="Arial" w:cs="Arial"/>
                <w:b w:val="false"/>
                <w:bCs w:val="false"/>
                <w:i w:val="false"/>
                <w:iCs w:val="false"/>
                <w:color w:val="1A1A1A"/>
                <w:sz w:val="17"/>
                <w:szCs w:val="17"/>
              </w:rPr>
              <w:t xml:space="preserve"> </w:t>
            </w:r>
            <w:hyperlink w:history="1" r:id="rIdcwqgpk_b-3atbxusc-kcj">
              <w:r>
                <w:rPr>
                  <w:rStyle w:val="Hyperlink"/>
                  <w:rFonts w:ascii="Arial" w:hAnsi="Arial" w:eastAsia="Arial" w:cs="Arial"/>
                  <w:b/>
                  <w:bCs/>
                  <w:sz w:val="14"/>
                  <w:szCs w:val="14"/>
                </w:rPr>
                <w:t xml:space="preserve">[20]</w:t>
              </w:r>
            </w:hyperlink>
            <w:r>
              <w:rPr>
                <w:rFonts w:ascii="Arial" w:hAnsi="Arial" w:eastAsia="Arial" w:cs="Arial"/>
                <w:b w:val="false"/>
                <w:bCs w:val="false"/>
                <w:i w:val="false"/>
                <w:iCs w:val="false"/>
                <w:color w:val="1A1A1A"/>
                <w:sz w:val="17"/>
                <w:szCs w:val="17"/>
              </w:rPr>
              <w:t xml:space="preserve"> </w:t>
            </w:r>
            <w:hyperlink w:history="1" r:id="rIdjgkgglkkmab8qgxjnry0v">
              <w:r>
                <w:rPr>
                  <w:rStyle w:val="Hyperlink"/>
                  <w:rFonts w:ascii="Arial" w:hAnsi="Arial" w:eastAsia="Arial" w:cs="Arial"/>
                  <w:b/>
                  <w:bCs/>
                  <w:sz w:val="14"/>
                  <w:szCs w:val="14"/>
                </w:rPr>
                <w:t xml:space="preserve">[23]</w:t>
              </w:r>
            </w:hyperlink>
            <w:r>
              <w:rPr>
                <w:rFonts w:ascii="Arial" w:hAnsi="Arial" w:eastAsia="Arial" w:cs="Arial"/>
                <w:b w:val="false"/>
                <w:bCs w:val="false"/>
                <w:i w:val="false"/>
                <w:iCs w:val="false"/>
                <w:color w:val="1A1A1A"/>
                <w:sz w:val="17"/>
                <w:szCs w:val="17"/>
              </w:rPr>
              <w:t xml:space="preserve"> </w:t>
            </w:r>
            <w:hyperlink w:history="1" r:id="rIdg6gtdtmkkk1pscurn4sti">
              <w:r>
                <w:rPr>
                  <w:rStyle w:val="Hyperlink"/>
                  <w:rFonts w:ascii="Arial" w:hAnsi="Arial" w:eastAsia="Arial" w:cs="Arial"/>
                  <w:b/>
                  <w:bCs/>
                  <w:sz w:val="14"/>
                  <w:szCs w:val="14"/>
                </w:rPr>
                <w:t xml:space="preserve">[24]</w:t>
              </w:r>
            </w:hyperlink>
          </w:p>
        </w:tc>
        <w:tc>
          <w:tcPr>
            <w:tcW w:w="3552" w:type="dxa"/>
            <w:tcBorders>
              <w:top w:val="single" w:color="D8E0E8" w:sz="4"/>
              <w:left w:val="single" w:color="D8E0E8" w:sz="4"/>
              <w:bottom w:val="single" w:color="D8E0E8" w:sz="4"/>
              <w:right w:val="single" w:color="D8E0E8" w:sz="4"/>
            </w:tcBorders>
            <w:shd w:val="clear" w:color="auto" w:fill="FFFFFF"/>
            <w:tcMar>
              <w:top w:w="90" w:type="dxa"/>
              <w:left w:w="110" w:type="dxa"/>
              <w:bottom w:w="90" w:type="dxa"/>
              <w:right w:w="110" w:type="dxa"/>
            </w:tcMar>
            <w:vAlign w:val="center"/>
          </w:tcPr>
          <w:p w14:paraId="25D47F7F" wp14:textId="77777777">
            <w:pPr>
              <w:spacing w:after="0" w:line="220"/>
            </w:pPr>
            <w:r>
              <w:rPr>
                <w:rFonts w:ascii="Arial" w:hAnsi="Arial" w:eastAsia="Arial" w:cs="Arial"/>
                <w:b w:val="false"/>
                <w:bCs w:val="false"/>
                <w:i w:val="false"/>
                <w:iCs w:val="false"/>
                <w:color w:val="1A1A1A"/>
                <w:sz w:val="17"/>
                <w:szCs w:val="17"/>
              </w:rPr>
              <w:t xml:space="preserve">Build around the control plane; do not compete with it on commodity tasks.</w:t>
            </w:r>
          </w:p>
        </w:tc>
      </w:tr>
      <w:tr xmlns:wp14="http://schemas.microsoft.com/office/word/2010/wordml" w:rsidTr="72A2CC76" w14:paraId="48CBDF51" wp14:textId="77777777">
        <w:trPr>
          <w:cantSplit/>
          <w:tblHeader w:val="false"/>
        </w:trPr>
        <w:tc>
          <w:tcPr>
            <w:tcW w:w="3552" w:type="dxa"/>
            <w:tcBorders>
              <w:top w:val="single" w:color="D8E0E8" w:sz="4"/>
              <w:left w:val="single" w:color="D8E0E8" w:sz="4"/>
              <w:bottom w:val="single" w:color="D8E0E8" w:sz="4"/>
              <w:right w:val="single" w:color="D8E0E8" w:sz="4"/>
            </w:tcBorders>
            <w:shd w:val="clear" w:color="auto" w:fill="F7F9FB"/>
            <w:tcMar>
              <w:top w:w="90" w:type="dxa"/>
              <w:left w:w="110" w:type="dxa"/>
              <w:bottom w:w="90" w:type="dxa"/>
              <w:right w:w="110" w:type="dxa"/>
            </w:tcMar>
            <w:vAlign w:val="center"/>
          </w:tcPr>
          <w:p w14:paraId="46033907" wp14:textId="77777777">
            <w:pPr>
              <w:spacing w:after="0" w:line="220"/>
            </w:pPr>
            <w:r>
              <w:rPr>
                <w:rFonts w:ascii="Arial" w:hAnsi="Arial" w:eastAsia="Arial" w:cs="Arial"/>
                <w:b w:val="false"/>
                <w:bCs w:val="false"/>
                <w:i w:val="false"/>
                <w:iCs w:val="false"/>
                <w:color w:val="1A1A1A"/>
                <w:sz w:val="17"/>
                <w:szCs w:val="17"/>
              </w:rPr>
              <w:t xml:space="preserve">Security is attractive but not automatically defensible</w:t>
            </w:r>
          </w:p>
        </w:tc>
        <w:tc>
          <w:tcPr>
            <w:tcW w:w="3552" w:type="dxa"/>
            <w:tcBorders>
              <w:top w:val="single" w:color="D8E0E8" w:sz="4"/>
              <w:left w:val="single" w:color="D8E0E8" w:sz="4"/>
              <w:bottom w:val="single" w:color="D8E0E8" w:sz="4"/>
              <w:right w:val="single" w:color="D8E0E8" w:sz="4"/>
            </w:tcBorders>
            <w:shd w:val="clear" w:color="auto" w:fill="F7F9FB"/>
            <w:tcMar>
              <w:top w:w="90" w:type="dxa"/>
              <w:left w:w="110" w:type="dxa"/>
              <w:bottom w:w="90" w:type="dxa"/>
              <w:right w:w="110" w:type="dxa"/>
            </w:tcMar>
            <w:vAlign w:val="center"/>
          </w:tcPr>
          <w:p w14:paraId="3861A691" wp14:textId="77777777">
            <w:pPr>
              <w:spacing w:after="0" w:line="220"/>
            </w:pPr>
            <w:r>
              <w:rPr>
                <w:rFonts w:ascii="Arial" w:hAnsi="Arial" w:eastAsia="Arial" w:cs="Arial"/>
                <w:b w:val="false"/>
                <w:bCs w:val="false"/>
                <w:i w:val="false"/>
                <w:iCs w:val="false"/>
                <w:color w:val="1A1A1A"/>
                <w:sz w:val="17"/>
                <w:szCs w:val="17"/>
              </w:rPr>
              <w:t xml:space="preserve">Security spending is growing, security labor demand is strong, and vendor MDR is increasingly packaged. </w:t>
            </w:r>
            <w:hyperlink w:history="1" r:id="rId2_hj-xmxo3ycwzpkzfswi">
              <w:r>
                <w:rPr>
                  <w:rStyle w:val="Hyperlink"/>
                  <w:rFonts w:ascii="Arial" w:hAnsi="Arial" w:eastAsia="Arial" w:cs="Arial"/>
                  <w:b/>
                  <w:bCs/>
                  <w:sz w:val="14"/>
                  <w:szCs w:val="14"/>
                </w:rPr>
                <w:t xml:space="preserve">[10]</w:t>
              </w:r>
            </w:hyperlink>
            <w:r>
              <w:rPr>
                <w:rFonts w:ascii="Arial" w:hAnsi="Arial" w:eastAsia="Arial" w:cs="Arial"/>
                <w:b w:val="false"/>
                <w:bCs w:val="false"/>
                <w:i w:val="false"/>
                <w:iCs w:val="false"/>
                <w:color w:val="1A1A1A"/>
                <w:sz w:val="17"/>
                <w:szCs w:val="17"/>
              </w:rPr>
              <w:t xml:space="preserve"> </w:t>
            </w:r>
            <w:hyperlink w:history="1" r:id="rIduisfsvtlvgqkwcou-pv_u">
              <w:r>
                <w:rPr>
                  <w:rStyle w:val="Hyperlink"/>
                  <w:rFonts w:ascii="Arial" w:hAnsi="Arial" w:eastAsia="Arial" w:cs="Arial"/>
                  <w:b/>
                  <w:bCs/>
                  <w:sz w:val="14"/>
                  <w:szCs w:val="14"/>
                </w:rPr>
                <w:t xml:space="preserve">[29]</w:t>
              </w:r>
            </w:hyperlink>
            <w:r>
              <w:rPr>
                <w:rFonts w:ascii="Arial" w:hAnsi="Arial" w:eastAsia="Arial" w:cs="Arial"/>
                <w:b w:val="false"/>
                <w:bCs w:val="false"/>
                <w:i w:val="false"/>
                <w:iCs w:val="false"/>
                <w:color w:val="1A1A1A"/>
                <w:sz w:val="17"/>
                <w:szCs w:val="17"/>
              </w:rPr>
              <w:t xml:space="preserve"> </w:t>
            </w:r>
            <w:hyperlink w:history="1" r:id="rId6b-c9h2tsfiossqckz8hq">
              <w:r>
                <w:rPr>
                  <w:rStyle w:val="Hyperlink"/>
                  <w:rFonts w:ascii="Arial" w:hAnsi="Arial" w:eastAsia="Arial" w:cs="Arial"/>
                  <w:b/>
                  <w:bCs/>
                  <w:sz w:val="14"/>
                  <w:szCs w:val="14"/>
                </w:rPr>
                <w:t xml:space="preserve">[38]</w:t>
              </w:r>
            </w:hyperlink>
          </w:p>
        </w:tc>
        <w:tc>
          <w:tcPr>
            <w:tcW w:w="3552" w:type="dxa"/>
            <w:tcBorders>
              <w:top w:val="single" w:color="D8E0E8" w:sz="4"/>
              <w:left w:val="single" w:color="D8E0E8" w:sz="4"/>
              <w:bottom w:val="single" w:color="D8E0E8" w:sz="4"/>
              <w:right w:val="single" w:color="D8E0E8" w:sz="4"/>
            </w:tcBorders>
            <w:shd w:val="clear" w:color="auto" w:fill="F7F9FB"/>
            <w:tcMar>
              <w:top w:w="90" w:type="dxa"/>
              <w:left w:w="110" w:type="dxa"/>
              <w:bottom w:w="90" w:type="dxa"/>
              <w:right w:w="110" w:type="dxa"/>
            </w:tcMar>
            <w:vAlign w:val="center"/>
          </w:tcPr>
          <w:p w14:paraId="0693171B" wp14:textId="77777777">
            <w:pPr>
              <w:spacing w:after="0" w:line="220"/>
            </w:pPr>
            <w:r>
              <w:rPr>
                <w:rFonts w:ascii="Arial" w:hAnsi="Arial" w:eastAsia="Arial" w:cs="Arial"/>
                <w:b w:val="false"/>
                <w:bCs w:val="false"/>
                <w:i w:val="false"/>
                <w:iCs w:val="false"/>
                <w:color w:val="1A1A1A"/>
                <w:sz w:val="17"/>
                <w:szCs w:val="17"/>
              </w:rPr>
              <w:t xml:space="preserve">Sell accountable response, identity and assurance, not alert forwarding.</w:t>
            </w:r>
          </w:p>
        </w:tc>
      </w:tr>
      <w:tr xmlns:wp14="http://schemas.microsoft.com/office/word/2010/wordml" w:rsidTr="72A2CC76" w14:paraId="3DAA7354" wp14:textId="77777777">
        <w:trPr>
          <w:cantSplit/>
          <w:tblHeader w:val="false"/>
        </w:trPr>
        <w:tc>
          <w:tcPr>
            <w:tcW w:w="3552" w:type="dxa"/>
            <w:tcBorders>
              <w:top w:val="single" w:color="D8E0E8" w:sz="4"/>
              <w:left w:val="single" w:color="D8E0E8" w:sz="4"/>
              <w:bottom w:val="single" w:color="D8E0E8" w:sz="4"/>
              <w:right w:val="single" w:color="D8E0E8" w:sz="4"/>
            </w:tcBorders>
            <w:shd w:val="clear" w:color="auto" w:fill="FFFFFF"/>
            <w:tcMar>
              <w:top w:w="90" w:type="dxa"/>
              <w:left w:w="110" w:type="dxa"/>
              <w:bottom w:w="90" w:type="dxa"/>
              <w:right w:w="110" w:type="dxa"/>
            </w:tcMar>
            <w:vAlign w:val="center"/>
          </w:tcPr>
          <w:p w14:paraId="2CA03E9E" wp14:textId="77777777">
            <w:pPr>
              <w:spacing w:after="0" w:line="220"/>
            </w:pPr>
            <w:r>
              <w:rPr>
                <w:rFonts w:ascii="Arial" w:hAnsi="Arial" w:eastAsia="Arial" w:cs="Arial"/>
                <w:b w:val="false"/>
                <w:bCs w:val="false"/>
                <w:i w:val="false"/>
                <w:iCs w:val="false"/>
                <w:color w:val="1A1A1A"/>
                <w:sz w:val="17"/>
                <w:szCs w:val="17"/>
              </w:rPr>
              <w:t xml:space="preserve">Transformation has a cash J-curve</w:t>
            </w:r>
          </w:p>
        </w:tc>
        <w:tc>
          <w:tcPr>
            <w:tcW w:w="3552" w:type="dxa"/>
            <w:tcBorders>
              <w:top w:val="single" w:color="D8E0E8" w:sz="4"/>
              <w:left w:val="single" w:color="D8E0E8" w:sz="4"/>
              <w:bottom w:val="single" w:color="D8E0E8" w:sz="4"/>
              <w:right w:val="single" w:color="D8E0E8" w:sz="4"/>
            </w:tcBorders>
            <w:shd w:val="clear" w:color="auto" w:fill="FFFFFF"/>
            <w:tcMar>
              <w:top w:w="90" w:type="dxa"/>
              <w:left w:w="110" w:type="dxa"/>
              <w:bottom w:w="90" w:type="dxa"/>
              <w:right w:w="110" w:type="dxa"/>
            </w:tcMar>
            <w:vAlign w:val="center"/>
          </w:tcPr>
          <w:p w14:paraId="63667177" wp14:textId="77777777">
            <w:pPr>
              <w:spacing w:after="0" w:line="220" w:lineRule="auto"/>
            </w:pPr>
            <w:r w:rsidRPr="72A2CC76" w:rsidR="72A2CC76">
              <w:rPr>
                <w:rFonts w:ascii="Arial" w:hAnsi="Arial" w:eastAsia="Arial" w:cs="Arial"/>
                <w:b w:val="0"/>
                <w:bCs w:val="0"/>
                <w:i w:val="0"/>
                <w:iCs w:val="0"/>
                <w:color w:val="1A1A1A"/>
                <w:sz w:val="17"/>
                <w:szCs w:val="17"/>
                <w:lang w:val="en-US"/>
              </w:rPr>
              <w:t>New capabilities require training, tooling, product management and sales before recurring revenue scales.</w:t>
            </w:r>
          </w:p>
        </w:tc>
        <w:tc>
          <w:tcPr>
            <w:tcW w:w="3552" w:type="dxa"/>
            <w:tcBorders>
              <w:top w:val="single" w:color="D8E0E8" w:sz="4"/>
              <w:left w:val="single" w:color="D8E0E8" w:sz="4"/>
              <w:bottom w:val="single" w:color="D8E0E8" w:sz="4"/>
              <w:right w:val="single" w:color="D8E0E8" w:sz="4"/>
            </w:tcBorders>
            <w:shd w:val="clear" w:color="auto" w:fill="FFFFFF"/>
            <w:tcMar>
              <w:top w:w="90" w:type="dxa"/>
              <w:left w:w="110" w:type="dxa"/>
              <w:bottom w:w="90" w:type="dxa"/>
              <w:right w:w="110" w:type="dxa"/>
            </w:tcMar>
            <w:vAlign w:val="center"/>
          </w:tcPr>
          <w:p w14:paraId="18CF57BB" wp14:textId="77777777">
            <w:pPr>
              <w:spacing w:after="0" w:line="220"/>
            </w:pPr>
            <w:r>
              <w:rPr>
                <w:rFonts w:ascii="Arial" w:hAnsi="Arial" w:eastAsia="Arial" w:cs="Arial"/>
                <w:b w:val="false"/>
                <w:bCs w:val="false"/>
                <w:i w:val="false"/>
                <w:iCs w:val="false"/>
                <w:color w:val="1A1A1A"/>
                <w:sz w:val="17"/>
                <w:szCs w:val="17"/>
              </w:rPr>
              <w:t xml:space="preserve">A weak balance sheet can fail during the right strategy.</w:t>
            </w:r>
          </w:p>
        </w:tc>
      </w:tr>
      <w:tr xmlns:wp14="http://schemas.microsoft.com/office/word/2010/wordml" w:rsidTr="72A2CC76" w14:paraId="4CE4DCEC" wp14:textId="77777777">
        <w:trPr>
          <w:cantSplit/>
          <w:tblHeader w:val="false"/>
        </w:trPr>
        <w:tc>
          <w:tcPr>
            <w:tcW w:w="3552" w:type="dxa"/>
            <w:tcBorders>
              <w:top w:val="single" w:color="D8E0E8" w:sz="4"/>
              <w:left w:val="single" w:color="D8E0E8" w:sz="4"/>
              <w:bottom w:val="single" w:color="D8E0E8" w:sz="4"/>
              <w:right w:val="single" w:color="D8E0E8" w:sz="4"/>
            </w:tcBorders>
            <w:shd w:val="clear" w:color="auto" w:fill="F7F9FB"/>
            <w:tcMar>
              <w:top w:w="90" w:type="dxa"/>
              <w:left w:w="110" w:type="dxa"/>
              <w:bottom w:w="90" w:type="dxa"/>
              <w:right w:w="110" w:type="dxa"/>
            </w:tcMar>
            <w:vAlign w:val="center"/>
          </w:tcPr>
          <w:p w14:paraId="61689543" wp14:textId="77777777">
            <w:pPr>
              <w:spacing w:after="0" w:line="220"/>
            </w:pPr>
            <w:r>
              <w:rPr>
                <w:rFonts w:ascii="Arial" w:hAnsi="Arial" w:eastAsia="Arial" w:cs="Arial"/>
                <w:b w:val="false"/>
                <w:bCs w:val="false"/>
                <w:i w:val="false"/>
                <w:iCs w:val="false"/>
                <w:color w:val="1A1A1A"/>
                <w:sz w:val="17"/>
                <w:szCs w:val="17"/>
              </w:rPr>
              <w:t xml:space="preserve">The likely outcome is bifurcation</w:t>
            </w:r>
          </w:p>
        </w:tc>
        <w:tc>
          <w:tcPr>
            <w:tcW w:w="3552" w:type="dxa"/>
            <w:tcBorders>
              <w:top w:val="single" w:color="D8E0E8" w:sz="4"/>
              <w:left w:val="single" w:color="D8E0E8" w:sz="4"/>
              <w:bottom w:val="single" w:color="D8E0E8" w:sz="4"/>
              <w:right w:val="single" w:color="D8E0E8" w:sz="4"/>
            </w:tcBorders>
            <w:shd w:val="clear" w:color="auto" w:fill="F7F9FB"/>
            <w:tcMar>
              <w:top w:w="90" w:type="dxa"/>
              <w:left w:w="110" w:type="dxa"/>
              <w:bottom w:w="90" w:type="dxa"/>
              <w:right w:w="110" w:type="dxa"/>
            </w:tcMar>
            <w:vAlign w:val="center"/>
          </w:tcPr>
          <w:p w14:paraId="100265BE" wp14:textId="77777777">
            <w:pPr>
              <w:spacing w:after="0" w:line="220"/>
            </w:pPr>
            <w:r>
              <w:rPr>
                <w:rFonts w:ascii="Arial" w:hAnsi="Arial" w:eastAsia="Arial" w:cs="Arial"/>
                <w:b w:val="false"/>
                <w:bCs w:val="false"/>
                <w:i w:val="false"/>
                <w:iCs w:val="false"/>
                <w:color w:val="1A1A1A"/>
                <w:sz w:val="17"/>
                <w:szCs w:val="17"/>
              </w:rPr>
              <w:t xml:space="preserve">Standardized, automated specialists and scaled consolidators gain; labor-heavy generalists lose margin or sell.</w:t>
            </w:r>
          </w:p>
        </w:tc>
        <w:tc>
          <w:tcPr>
            <w:tcW w:w="3552" w:type="dxa"/>
            <w:tcBorders>
              <w:top w:val="single" w:color="D8E0E8" w:sz="4"/>
              <w:left w:val="single" w:color="D8E0E8" w:sz="4"/>
              <w:bottom w:val="single" w:color="D8E0E8" w:sz="4"/>
              <w:right w:val="single" w:color="D8E0E8" w:sz="4"/>
            </w:tcBorders>
            <w:shd w:val="clear" w:color="auto" w:fill="F7F9FB"/>
            <w:tcMar>
              <w:top w:w="90" w:type="dxa"/>
              <w:left w:w="110" w:type="dxa"/>
              <w:bottom w:w="90" w:type="dxa"/>
              <w:right w:w="110" w:type="dxa"/>
            </w:tcMar>
            <w:vAlign w:val="center"/>
          </w:tcPr>
          <w:p w14:paraId="54CD5DAA" wp14:textId="77777777">
            <w:pPr>
              <w:spacing w:after="0" w:line="220" w:lineRule="auto"/>
            </w:pPr>
            <w:r w:rsidRPr="72A2CC76" w:rsidR="72A2CC76">
              <w:rPr>
                <w:rFonts w:ascii="Arial" w:hAnsi="Arial" w:eastAsia="Arial" w:cs="Arial"/>
                <w:b w:val="0"/>
                <w:bCs w:val="0"/>
                <w:i w:val="0"/>
                <w:iCs w:val="0"/>
                <w:color w:val="1A1A1A"/>
                <w:sz w:val="17"/>
                <w:szCs w:val="17"/>
                <w:lang w:val="en-US"/>
              </w:rPr>
              <w:t>Strategy should be judged by service mix, automation capture and defensibility, not revenue alone.</w:t>
            </w:r>
          </w:p>
        </w:tc>
      </w:tr>
    </w:tbl>
    <w:p xmlns:wp14="http://schemas.microsoft.com/office/word/2010/wordml" w14:paraId="5DAB6C7B" wp14:textId="77777777">
      <w:pPr>
        <w:spacing w:after="120"/>
      </w:pPr>
    </w:p>
    <w:p xmlns:wp14="http://schemas.microsoft.com/office/word/2010/wordml" w14:paraId="4F8F3170" wp14:textId="77777777">
      <w:pPr>
        <w:pStyle w:val="Heading1"/>
        <w:pageBreakBefore/>
      </w:pPr>
      <w:r>
        <w:rPr>
          <w:rFonts w:ascii="Arial" w:hAnsi="Arial" w:eastAsia="Arial" w:cs="Arial"/>
          <w:b/>
          <w:bCs/>
          <w:color w:val="173F5F"/>
          <w:sz w:val="30"/>
          <w:szCs w:val="30"/>
        </w:rPr>
        <w:t xml:space="preserve">4. Evidence and Source Citations</w:t>
      </w:r>
    </w:p>
    <w:p xmlns:wp14="http://schemas.microsoft.com/office/word/2010/wordml" w14:paraId="3244BBE3" wp14:textId="77777777">
      <w:pPr>
        <w:pStyle w:val="Heading2"/>
      </w:pPr>
      <w:r>
        <w:rPr>
          <w:rFonts w:ascii="Arial" w:hAnsi="Arial" w:eastAsia="Arial" w:cs="Arial"/>
          <w:b/>
          <w:bCs/>
          <w:color w:val="1F8A8A"/>
          <w:sz w:val="25"/>
          <w:szCs w:val="25"/>
        </w:rPr>
        <w:t xml:space="preserve">4.1 Evidence anchors</w:t>
      </w:r>
    </w:p>
    <w:p xmlns:wp14="http://schemas.microsoft.com/office/word/2010/wordml" w14:paraId="02EB378F" wp14:textId="77777777">
      <w:pPr>
        <w:spacing w:before="160" w:after="70"/>
        <w:jc w:val="center"/>
      </w:pPr>
      <w:r>
        <w:drawing>
          <wp:inline xmlns:wp14="http://schemas.microsoft.com/office/word/2010/wordprocessingDrawing" distT="0" distB="0" distL="0" distR="0" wp14:anchorId="6DD0BE48" wp14:editId="7777777">
            <wp:extent cx="6572250" cy="3581400"/>
            <wp:effectExtent l="0" t="0" r="0" b="0"/>
            <wp:docPr id="1" name="chart_market_signals.png" descr="Figure 1. Demand remains positive, but published growth rates point toward value concentration in software and cloud platforms." title="Figure 1. Demand remains positive, but published growth rates point toward value concentration in software and cloud plat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3581400"/>
                    </a:xfrm>
                    <a:prstGeom prst="rect">
                      <a:avLst/>
                    </a:prstGeom>
                  </pic:spPr>
                </pic:pic>
              </a:graphicData>
            </a:graphic>
          </wp:inline>
        </w:drawing>
      </w:r>
    </w:p>
    <w:p xmlns:wp14="http://schemas.microsoft.com/office/word/2010/wordml" w14:paraId="4D396652" wp14:textId="77777777">
      <w:pPr>
        <w:spacing w:after="180"/>
        <w:jc w:val="center"/>
      </w:pPr>
      <w:r w:rsidRPr="72A2CC76" w:rsidR="72A2CC76">
        <w:rPr>
          <w:rFonts w:ascii="Arial" w:hAnsi="Arial" w:eastAsia="Arial" w:cs="Arial"/>
          <w:i w:val="1"/>
          <w:iCs w:val="1"/>
          <w:color w:val="526578"/>
          <w:sz w:val="16"/>
          <w:szCs w:val="16"/>
          <w:lang w:val="en-US"/>
        </w:rPr>
        <w:t>Figure 1. Demand remains positive, but published growth rates point toward value concentration in software and cloud platforms.</w:t>
      </w:r>
    </w:p>
    <w:p xmlns:wp14="http://schemas.microsoft.com/office/word/2010/wordml" w14:paraId="1D412BB8" wp14:textId="77777777">
      <w:pPr>
        <w:keepLines w:val="1"/>
        <w:spacing w:after="130" w:line="290" w:lineRule="auto"/>
        <w:jc w:val="left"/>
      </w:pPr>
      <w:r w:rsidRPr="72A2CC76" w:rsidR="72A2CC76">
        <w:rPr>
          <w:rFonts w:ascii="Arial" w:hAnsi="Arial" w:eastAsia="Arial" w:cs="Arial"/>
          <w:b w:val="0"/>
          <w:bCs w:val="0"/>
          <w:i w:val="0"/>
          <w:iCs w:val="0"/>
          <w:color w:val="1A1A1A"/>
          <w:sz w:val="20"/>
          <w:szCs w:val="20"/>
          <w:lang w:val="en-US"/>
        </w:rPr>
        <w:t xml:space="preserve">The metrics in Figure 1 are not directly comparable populations. Service Leadership reports participating providers; ISG tracks commercial outsourcing contracts with ACV of at least $5 million; Gartner publishes global spending forecasts. The chart is a directional mosaic, not a pooled estimate. </w:t>
      </w:r>
      <w:hyperlink r:id="R3ce7a1f3e6204b5b">
        <w:r w:rsidRPr="72A2CC76" w:rsidR="72A2CC76">
          <w:rPr>
            <w:rStyle w:val="Hyperlink"/>
            <w:rFonts w:ascii="Arial" w:hAnsi="Arial" w:eastAsia="Arial" w:cs="Arial"/>
            <w:b w:val="1"/>
            <w:bCs w:val="1"/>
            <w:sz w:val="16"/>
            <w:szCs w:val="16"/>
            <w:lang w:val="en-US"/>
          </w:rPr>
          <w:t>[1]</w:t>
        </w:r>
      </w:hyperlink>
      <w:r w:rsidRPr="72A2CC76" w:rsidR="72A2CC76">
        <w:rPr>
          <w:rFonts w:ascii="Arial" w:hAnsi="Arial" w:eastAsia="Arial" w:cs="Arial"/>
          <w:b w:val="0"/>
          <w:bCs w:val="0"/>
          <w:i w:val="0"/>
          <w:iCs w:val="0"/>
          <w:color w:val="1A1A1A"/>
          <w:sz w:val="20"/>
          <w:szCs w:val="20"/>
          <w:lang w:val="en-US"/>
        </w:rPr>
        <w:t xml:space="preserve"> </w:t>
      </w:r>
      <w:hyperlink r:id="R33b8b1522f8f4c4c">
        <w:r w:rsidRPr="72A2CC76" w:rsidR="72A2CC76">
          <w:rPr>
            <w:rStyle w:val="Hyperlink"/>
            <w:rFonts w:ascii="Arial" w:hAnsi="Arial" w:eastAsia="Arial" w:cs="Arial"/>
            <w:b w:val="1"/>
            <w:bCs w:val="1"/>
            <w:sz w:val="16"/>
            <w:szCs w:val="16"/>
            <w:lang w:val="en-US"/>
          </w:rPr>
          <w:t>[4]</w:t>
        </w:r>
      </w:hyperlink>
      <w:r w:rsidRPr="72A2CC76" w:rsidR="72A2CC76">
        <w:rPr>
          <w:rFonts w:ascii="Arial" w:hAnsi="Arial" w:eastAsia="Arial" w:cs="Arial"/>
          <w:b w:val="0"/>
          <w:bCs w:val="0"/>
          <w:i w:val="0"/>
          <w:iCs w:val="0"/>
          <w:color w:val="1A1A1A"/>
          <w:sz w:val="20"/>
          <w:szCs w:val="20"/>
          <w:lang w:val="en-US"/>
        </w:rPr>
        <w:t xml:space="preserve"> </w:t>
      </w:r>
      <w:hyperlink r:id="R9c2005b8f8a14567">
        <w:r w:rsidRPr="72A2CC76" w:rsidR="72A2CC76">
          <w:rPr>
            <w:rStyle w:val="Hyperlink"/>
            <w:rFonts w:ascii="Arial" w:hAnsi="Arial" w:eastAsia="Arial" w:cs="Arial"/>
            <w:b w:val="1"/>
            <w:bCs w:val="1"/>
            <w:sz w:val="16"/>
            <w:szCs w:val="16"/>
            <w:lang w:val="en-US"/>
          </w:rPr>
          <w:t>[5]</w:t>
        </w:r>
      </w:hyperlink>
    </w:p>
    <w:p xmlns:wp14="http://schemas.microsoft.com/office/word/2010/wordml" w14:paraId="784F1AC5" wp14:textId="77777777">
      <w:pPr>
        <w:keepLines/>
        <w:spacing w:after="130" w:line="290"/>
        <w:jc w:val="left"/>
      </w:pPr>
      <w:r>
        <w:rPr>
          <w:rFonts w:ascii="Arial" w:hAnsi="Arial" w:eastAsia="Arial" w:cs="Arial"/>
          <w:b w:val="false"/>
          <w:bCs w:val="false"/>
          <w:i w:val="false"/>
          <w:iCs w:val="false"/>
          <w:color w:val="1A1A1A"/>
          <w:sz w:val="20"/>
          <w:szCs w:val="20"/>
        </w:rPr>
        <w:t xml:space="preserve">Other evidence anchors are similarly bounded:</w:t>
      </w:r>
    </w:p>
    <w:p xmlns:wp14="http://schemas.microsoft.com/office/word/2010/wordml" w14:paraId="53A6ED2B" wp14:textId="77777777">
      <w:pPr>
        <w:pStyle w:val="ListParagraph"/>
        <w:numPr>
          <w:ilvl w:val="0"/>
          <w:numId w:val="2"/>
        </w:numPr>
        <w:spacing w:after="70" w:line="260" w:lineRule="auto"/>
        <w:rPr/>
      </w:pPr>
      <w:r w:rsidRPr="72A2CC76" w:rsidR="72A2CC76">
        <w:rPr>
          <w:rFonts w:ascii="Arial" w:hAnsi="Arial" w:eastAsia="Arial" w:cs="Arial"/>
          <w:b w:val="0"/>
          <w:bCs w:val="0"/>
          <w:i w:val="0"/>
          <w:iCs w:val="0"/>
          <w:color w:val="1A1A1A"/>
          <w:sz w:val="19"/>
          <w:szCs w:val="19"/>
          <w:lang w:val="en-US"/>
        </w:rPr>
        <w:t xml:space="preserve">The NBER study demonstrates assistance in one customer-support environment, not autonomous multi-client IT operations. </w:t>
      </w:r>
      <w:hyperlink r:id="R619f02d58a154f86">
        <w:r w:rsidRPr="72A2CC76" w:rsidR="72A2CC76">
          <w:rPr>
            <w:rStyle w:val="Hyperlink"/>
            <w:rFonts w:ascii="Arial" w:hAnsi="Arial" w:eastAsia="Arial" w:cs="Arial"/>
            <w:b w:val="1"/>
            <w:bCs w:val="1"/>
            <w:sz w:val="16"/>
            <w:szCs w:val="16"/>
            <w:lang w:val="en-US"/>
          </w:rPr>
          <w:t>[8]</w:t>
        </w:r>
      </w:hyperlink>
    </w:p>
    <w:p xmlns:wp14="http://schemas.microsoft.com/office/word/2010/wordml" w14:paraId="3F0649B9" wp14:textId="77777777">
      <w:pPr>
        <w:pStyle w:val="ListParagraph"/>
        <w:numPr>
          <w:ilvl w:val="0"/>
          <w:numId w:val="2"/>
        </w:numPr>
        <w:spacing w:after="70" w:line="260" w:lineRule="auto"/>
        <w:rPr/>
      </w:pPr>
      <w:r w:rsidRPr="72A2CC76" w:rsidR="72A2CC76">
        <w:rPr>
          <w:rFonts w:ascii="Arial" w:hAnsi="Arial" w:eastAsia="Arial" w:cs="Arial"/>
          <w:b w:val="0"/>
          <w:bCs w:val="0"/>
          <w:i w:val="0"/>
          <w:iCs w:val="0"/>
          <w:color w:val="1A1A1A"/>
          <w:sz w:val="19"/>
          <w:szCs w:val="19"/>
          <w:lang w:val="en-US"/>
        </w:rPr>
        <w:t xml:space="preserve">Gartner's 80% common-issue forecast is about issue resolution, not the share of a provider's revenue or payroll. </w:t>
      </w:r>
      <w:hyperlink r:id="R17264db8297c41c7">
        <w:r w:rsidRPr="72A2CC76" w:rsidR="72A2CC76">
          <w:rPr>
            <w:rStyle w:val="Hyperlink"/>
            <w:rFonts w:ascii="Arial" w:hAnsi="Arial" w:eastAsia="Arial" w:cs="Arial"/>
            <w:b w:val="1"/>
            <w:bCs w:val="1"/>
            <w:sz w:val="16"/>
            <w:szCs w:val="16"/>
            <w:lang w:val="en-US"/>
          </w:rPr>
          <w:t>[6]</w:t>
        </w:r>
      </w:hyperlink>
    </w:p>
    <w:p xmlns:wp14="http://schemas.microsoft.com/office/word/2010/wordml" w14:paraId="357DD0FA"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The US Bureau of Labor Statistics projects computer-support-specialist employment down 3% and information-security-analyst employment up 21% over 2025–2035; both are economy-wide occupations, not MSP-specific headcount forecasts. </w:t>
      </w:r>
      <w:hyperlink w:history="1" r:id="rIdrxc6at-fec9yty5ffd-67">
        <w:r>
          <w:rPr>
            <w:rStyle w:val="Hyperlink"/>
            <w:rFonts w:ascii="Arial" w:hAnsi="Arial" w:eastAsia="Arial" w:cs="Arial"/>
            <w:b/>
            <w:bCs/>
            <w:sz w:val="16"/>
            <w:szCs w:val="16"/>
          </w:rPr>
          <w:t xml:space="preserve">[9]</w:t>
        </w:r>
      </w:hyperlink>
      <w:r>
        <w:rPr>
          <w:rFonts w:ascii="Arial" w:hAnsi="Arial" w:eastAsia="Arial" w:cs="Arial"/>
          <w:b w:val="false"/>
          <w:bCs w:val="false"/>
          <w:i w:val="false"/>
          <w:iCs w:val="false"/>
          <w:color w:val="1A1A1A"/>
          <w:sz w:val="19"/>
          <w:szCs w:val="19"/>
        </w:rPr>
        <w:t xml:space="preserve"> </w:t>
      </w:r>
      <w:hyperlink w:history="1" r:id="rId58baizrrehtwwxwf7jirk">
        <w:r>
          <w:rPr>
            <w:rStyle w:val="Hyperlink"/>
            <w:rFonts w:ascii="Arial" w:hAnsi="Arial" w:eastAsia="Arial" w:cs="Arial"/>
            <w:b/>
            <w:bCs/>
            <w:sz w:val="16"/>
            <w:szCs w:val="16"/>
          </w:rPr>
          <w:t xml:space="preserve">[10]</w:t>
        </w:r>
      </w:hyperlink>
    </w:p>
    <w:p xmlns:wp14="http://schemas.microsoft.com/office/word/2010/wordml" w14:paraId="35AC887D"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OECD found generative AI in use at 31% of surveyed SMEs across seven countries in 2024, with performance benefits and skills, legal and regulatory concerns. The survey did not include the United States and did not measure MSP displacement. </w:t>
      </w:r>
      <w:hyperlink w:history="1" r:id="rIdu4rkdcfmjm5zpcay8cmjw">
        <w:r>
          <w:rPr>
            <w:rStyle w:val="Hyperlink"/>
            <w:rFonts w:ascii="Arial" w:hAnsi="Arial" w:eastAsia="Arial" w:cs="Arial"/>
            <w:b/>
            <w:bCs/>
            <w:sz w:val="16"/>
            <w:szCs w:val="16"/>
          </w:rPr>
          <w:t xml:space="preserve">[12]</w:t>
        </w:r>
      </w:hyperlink>
    </w:p>
    <w:p xmlns:wp14="http://schemas.microsoft.com/office/word/2010/wordml" w14:paraId="1A6C7981"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McKinsey's 2026 survey reports that 37% of respondents attribute some EBIT impact to AI; 14% reported workforce reductions in the prior year while 39% expected reductions in the next year. Expectations should not be substituted for realized outcomes. </w:t>
      </w:r>
      <w:hyperlink w:history="1" r:id="rIddlgl0-t82rg5w-zokkmwo">
        <w:r>
          <w:rPr>
            <w:rStyle w:val="Hyperlink"/>
            <w:rFonts w:ascii="Arial" w:hAnsi="Arial" w:eastAsia="Arial" w:cs="Arial"/>
            <w:b/>
            <w:bCs/>
            <w:sz w:val="16"/>
            <w:szCs w:val="16"/>
          </w:rPr>
          <w:t xml:space="preserve">[13]</w:t>
        </w:r>
      </w:hyperlink>
    </w:p>
    <w:p xmlns:wp14="http://schemas.microsoft.com/office/word/2010/wordml" w14:paraId="72498842" wp14:textId="77777777">
      <w:pPr>
        <w:pStyle w:val="Heading2"/>
      </w:pPr>
      <w:r>
        <w:rPr>
          <w:rFonts w:ascii="Arial" w:hAnsi="Arial" w:eastAsia="Arial" w:cs="Arial"/>
          <w:b/>
          <w:bCs/>
          <w:color w:val="1F8A8A"/>
          <w:sz w:val="25"/>
          <w:szCs w:val="25"/>
        </w:rPr>
        <w:t xml:space="preserve">4.2 What the evidence does not establish</w:t>
      </w:r>
    </w:p>
    <w:p xmlns:wp14="http://schemas.microsoft.com/office/word/2010/wordml" w14:paraId="76C8E3CA" wp14:textId="77777777">
      <w:pPr>
        <w:keepLines w:val="1"/>
        <w:spacing w:after="130" w:line="290" w:lineRule="auto"/>
        <w:jc w:val="left"/>
      </w:pPr>
      <w:r w:rsidRPr="72A2CC76" w:rsidR="72A2CC76">
        <w:rPr>
          <w:rFonts w:ascii="Arial" w:hAnsi="Arial" w:eastAsia="Arial" w:cs="Arial"/>
          <w:b w:val="0"/>
          <w:bCs w:val="0"/>
          <w:i w:val="0"/>
          <w:iCs w:val="0"/>
          <w:color w:val="1A1A1A"/>
          <w:sz w:val="20"/>
          <w:szCs w:val="20"/>
          <w:lang w:val="en-US"/>
        </w:rPr>
        <w:t>The source base does not establish that every MSP will face price deflation, that security specialists universally earn higher margins, that autonomous agents can safely run every customer estate, or that partner channels will be eliminated. It does establish that the technical boundary is moving, that customers can compare providers against platform-native capabilities, and that AI economics are creating new price and productivity expectations. The investment case must therefore be conditional.</w:t>
      </w:r>
    </w:p>
    <w:p xmlns:wp14="http://schemas.microsoft.com/office/word/2010/wordml" w14:paraId="2069C8AD" wp14:textId="77777777">
      <w:pPr>
        <w:pStyle w:val="Heading1"/>
        <w:pageBreakBefore/>
      </w:pPr>
      <w:r>
        <w:rPr>
          <w:rFonts w:ascii="Arial" w:hAnsi="Arial" w:eastAsia="Arial" w:cs="Arial"/>
          <w:b/>
          <w:bCs/>
          <w:color w:val="173F5F"/>
          <w:sz w:val="30"/>
          <w:szCs w:val="30"/>
        </w:rPr>
        <w:t xml:space="preserve">5. Market Analysis</w:t>
      </w:r>
    </w:p>
    <w:p xmlns:wp14="http://schemas.microsoft.com/office/word/2010/wordml" w14:paraId="5AE7CCA2" wp14:textId="77777777">
      <w:pPr>
        <w:pStyle w:val="Heading2"/>
      </w:pPr>
      <w:r>
        <w:rPr>
          <w:rFonts w:ascii="Arial" w:hAnsi="Arial" w:eastAsia="Arial" w:cs="Arial"/>
          <w:b/>
          <w:bCs/>
          <w:color w:val="1F8A8A"/>
          <w:sz w:val="25"/>
          <w:szCs w:val="25"/>
        </w:rPr>
        <w:t xml:space="preserve">5.1 Is the traditional model fundamentally broken?</w:t>
      </w:r>
    </w:p>
    <w:p xmlns:wp14="http://schemas.microsoft.com/office/word/2010/wordml" w14:paraId="4A318EE4" wp14:textId="77777777">
      <w:pPr>
        <w:keepLines w:val="1"/>
        <w:spacing w:after="130" w:line="290" w:lineRule="auto"/>
        <w:jc w:val="left"/>
      </w:pPr>
      <w:r w:rsidRPr="72A2CC76" w:rsidR="72A2CC76">
        <w:rPr>
          <w:rFonts w:ascii="Arial" w:hAnsi="Arial" w:eastAsia="Arial" w:cs="Arial"/>
          <w:b w:val="0"/>
          <w:bCs w:val="0"/>
          <w:i w:val="0"/>
          <w:iCs w:val="0"/>
          <w:color w:val="1A1A1A"/>
          <w:sz w:val="20"/>
          <w:szCs w:val="20"/>
          <w:lang w:val="en-US"/>
        </w:rPr>
        <w:t xml:space="preserve">Not in the accounting sense today. A standardized MSP with disciplined scope, mature tooling, strong customer retention and fixed fees can still produce attractive recurring cash flow. Service Leadership's participating-provider results are the strongest counter-evidence to universal obsolescence. </w:t>
      </w:r>
      <w:hyperlink r:id="R3efa09584f6444e5">
        <w:r w:rsidRPr="72A2CC76" w:rsidR="72A2CC76">
          <w:rPr>
            <w:rStyle w:val="Hyperlink"/>
            <w:rFonts w:ascii="Arial" w:hAnsi="Arial" w:eastAsia="Arial" w:cs="Arial"/>
            <w:b w:val="1"/>
            <w:bCs w:val="1"/>
            <w:sz w:val="16"/>
            <w:szCs w:val="16"/>
            <w:lang w:val="en-US"/>
          </w:rPr>
          <w:t>[1]</w:t>
        </w:r>
      </w:hyperlink>
      <w:r w:rsidRPr="72A2CC76" w:rsidR="72A2CC76">
        <w:rPr>
          <w:rFonts w:ascii="Arial" w:hAnsi="Arial" w:eastAsia="Arial" w:cs="Arial"/>
          <w:b w:val="0"/>
          <w:bCs w:val="0"/>
          <w:i w:val="0"/>
          <w:iCs w:val="0"/>
          <w:color w:val="1A1A1A"/>
          <w:sz w:val="20"/>
          <w:szCs w:val="20"/>
          <w:lang w:val="en-US"/>
        </w:rPr>
        <w:t xml:space="preserve"> </w:t>
      </w:r>
      <w:hyperlink r:id="R2190d9685eeb49e9">
        <w:r w:rsidRPr="72A2CC76" w:rsidR="72A2CC76">
          <w:rPr>
            <w:rStyle w:val="Hyperlink"/>
            <w:rFonts w:ascii="Arial" w:hAnsi="Arial" w:eastAsia="Arial" w:cs="Arial"/>
            <w:b w:val="1"/>
            <w:bCs w:val="1"/>
            <w:sz w:val="16"/>
            <w:szCs w:val="16"/>
            <w:lang w:val="en-US"/>
          </w:rPr>
          <w:t>[2]</w:t>
        </w:r>
      </w:hyperlink>
    </w:p>
    <w:p xmlns:wp14="http://schemas.microsoft.com/office/word/2010/wordml" w14:paraId="3A712472" wp14:textId="77777777">
      <w:pPr>
        <w:keepLines/>
        <w:spacing w:after="130" w:line="290"/>
        <w:jc w:val="left"/>
      </w:pPr>
      <w:r>
        <w:rPr>
          <w:rFonts w:ascii="Arial" w:hAnsi="Arial" w:eastAsia="Arial" w:cs="Arial"/>
          <w:b w:val="false"/>
          <w:bCs w:val="false"/>
          <w:i w:val="false"/>
          <w:iCs w:val="false"/>
          <w:color w:val="1A1A1A"/>
          <w:sz w:val="20"/>
          <w:szCs w:val="20"/>
        </w:rPr>
        <w:t xml:space="preserve">The model is increasingly vulnerable in five structural ways.</w:t>
      </w:r>
    </w:p>
    <w:p xmlns:wp14="http://schemas.microsoft.com/office/word/2010/wordml" w14:paraId="410480B5" wp14:textId="77777777">
      <w:pPr>
        <w:pStyle w:val="Heading3"/>
      </w:pPr>
      <w:r>
        <w:rPr>
          <w:rFonts w:ascii="Arial" w:hAnsi="Arial" w:eastAsia="Arial" w:cs="Arial"/>
          <w:b/>
          <w:bCs/>
          <w:color w:val="526578"/>
          <w:sz w:val="21"/>
          <w:szCs w:val="21"/>
        </w:rPr>
        <w:t xml:space="preserve">5.1.1 Labor dependence</w:t>
      </w:r>
    </w:p>
    <w:p xmlns:wp14="http://schemas.microsoft.com/office/word/2010/wordml" w14:paraId="4696EC82" wp14:textId="77777777">
      <w:pPr>
        <w:keepLines/>
        <w:spacing w:after="130" w:line="290"/>
        <w:jc w:val="left"/>
      </w:pPr>
      <w:r>
        <w:rPr>
          <w:rFonts w:ascii="Arial" w:hAnsi="Arial" w:eastAsia="Arial" w:cs="Arial"/>
          <w:b w:val="false"/>
          <w:bCs w:val="false"/>
          <w:i w:val="false"/>
          <w:iCs w:val="false"/>
          <w:color w:val="1A1A1A"/>
          <w:sz w:val="20"/>
          <w:szCs w:val="20"/>
        </w:rPr>
        <w:t xml:space="preserve">Service delivery scales by adding scarce people when processes and tools do not. Revenue per employee can rise through price, product pass-through or acquisition without true productivity. The important metrics are net service revenue per employee, direct labor as a share of service revenue, correct resolutions per paid hour, and gross margin by line.</w:t>
      </w:r>
    </w:p>
    <w:p xmlns:wp14="http://schemas.microsoft.com/office/word/2010/wordml" w14:paraId="29504815" wp14:textId="77777777">
      <w:pPr>
        <w:keepLines/>
        <w:spacing w:after="130" w:line="290"/>
        <w:jc w:val="left"/>
      </w:pPr>
      <w:r>
        <w:rPr>
          <w:rFonts w:ascii="Arial" w:hAnsi="Arial" w:eastAsia="Arial" w:cs="Arial"/>
          <w:b w:val="false"/>
          <w:bCs w:val="false"/>
          <w:i w:val="false"/>
          <w:iCs w:val="false"/>
          <w:color w:val="1A1A1A"/>
          <w:sz w:val="20"/>
          <w:szCs w:val="20"/>
        </w:rPr>
        <w:t xml:space="preserve">US labor projections reinforce the direction of travel: support employment is projected to contract modestly while information-security employment grows rapidly. The market is not eliminating technical labor; it is repricing the mix of technical labor. </w:t>
      </w:r>
      <w:hyperlink w:history="1" r:id="rIdomgxkjv5hamsekwf5guea">
        <w:r>
          <w:rPr>
            <w:rStyle w:val="Hyperlink"/>
            <w:rFonts w:ascii="Arial" w:hAnsi="Arial" w:eastAsia="Arial" w:cs="Arial"/>
            <w:b/>
            <w:bCs/>
            <w:sz w:val="16"/>
            <w:szCs w:val="16"/>
          </w:rPr>
          <w:t xml:space="preserve">[9]</w:t>
        </w:r>
      </w:hyperlink>
      <w:r>
        <w:rPr>
          <w:rFonts w:ascii="Arial" w:hAnsi="Arial" w:eastAsia="Arial" w:cs="Arial"/>
          <w:b w:val="false"/>
          <w:bCs w:val="false"/>
          <w:i w:val="false"/>
          <w:iCs w:val="false"/>
          <w:color w:val="1A1A1A"/>
          <w:sz w:val="20"/>
          <w:szCs w:val="20"/>
        </w:rPr>
        <w:t xml:space="preserve"> </w:t>
      </w:r>
      <w:hyperlink w:history="1" r:id="rIdvq8hu5slcuy2oxzrunk3t">
        <w:r>
          <w:rPr>
            <w:rStyle w:val="Hyperlink"/>
            <w:rFonts w:ascii="Arial" w:hAnsi="Arial" w:eastAsia="Arial" w:cs="Arial"/>
            <w:b/>
            <w:bCs/>
            <w:sz w:val="16"/>
            <w:szCs w:val="16"/>
          </w:rPr>
          <w:t xml:space="preserve">[10]</w:t>
        </w:r>
      </w:hyperlink>
    </w:p>
    <w:p xmlns:wp14="http://schemas.microsoft.com/office/word/2010/wordml" w14:paraId="58A7C50C" wp14:textId="77777777">
      <w:pPr>
        <w:pStyle w:val="Heading3"/>
      </w:pPr>
      <w:r>
        <w:rPr>
          <w:rFonts w:ascii="Arial" w:hAnsi="Arial" w:eastAsia="Arial" w:cs="Arial"/>
          <w:b/>
          <w:bCs/>
          <w:color w:val="526578"/>
          <w:sz w:val="21"/>
          <w:szCs w:val="21"/>
        </w:rPr>
        <w:t xml:space="preserve">5.1.2 Commoditization and standardization</w:t>
      </w:r>
    </w:p>
    <w:p xmlns:wp14="http://schemas.microsoft.com/office/word/2010/wordml" w14:paraId="1FF1E78F" wp14:textId="77777777">
      <w:pPr>
        <w:keepLines/>
        <w:spacing w:after="130" w:line="290"/>
        <w:jc w:val="left"/>
      </w:pPr>
      <w:r>
        <w:rPr>
          <w:rFonts w:ascii="Arial" w:hAnsi="Arial" w:eastAsia="Arial" w:cs="Arial"/>
          <w:b w:val="false"/>
          <w:bCs w:val="false"/>
          <w:i w:val="false"/>
          <w:iCs w:val="false"/>
          <w:color w:val="1A1A1A"/>
          <w:sz w:val="20"/>
          <w:szCs w:val="20"/>
        </w:rPr>
        <w:t xml:space="preserve">Remote monitoring, patching, endpoint policy, backup alerts, password resets, routine Microsoft 365 administration and common troubleshooting are increasingly standardized. Standardization benefits efficient MSPs first, but it also makes tasks easier for vendors and new entrants to automate. What once required proprietary process knowledge can become a platform feature.</w:t>
      </w:r>
    </w:p>
    <w:p xmlns:wp14="http://schemas.microsoft.com/office/word/2010/wordml" w14:paraId="079ED6E0" wp14:textId="77777777">
      <w:pPr>
        <w:pStyle w:val="Heading3"/>
      </w:pPr>
      <w:r>
        <w:rPr>
          <w:rFonts w:ascii="Arial" w:hAnsi="Arial" w:eastAsia="Arial" w:cs="Arial"/>
          <w:b/>
          <w:bCs/>
          <w:color w:val="526578"/>
          <w:sz w:val="21"/>
          <w:szCs w:val="21"/>
        </w:rPr>
        <w:t xml:space="preserve">5.1.3 Fixed-fee asymmetry</w:t>
      </w:r>
    </w:p>
    <w:p xmlns:wp14="http://schemas.microsoft.com/office/word/2010/wordml" w14:paraId="7F8D7719" wp14:textId="77777777">
      <w:pPr>
        <w:keepLines/>
        <w:spacing w:after="130" w:line="290"/>
        <w:jc w:val="left"/>
      </w:pPr>
      <w:r>
        <w:rPr>
          <w:rFonts w:ascii="Arial" w:hAnsi="Arial" w:eastAsia="Arial" w:cs="Arial"/>
          <w:b w:val="false"/>
          <w:bCs w:val="false"/>
          <w:i w:val="false"/>
          <w:iCs w:val="false"/>
          <w:color w:val="1A1A1A"/>
          <w:sz w:val="20"/>
          <w:szCs w:val="20"/>
        </w:rPr>
        <w:t xml:space="preserve">Fixed fees create operating leverage in both directions. Automation that reduces cost while price holds creates margin. Wage inflation, scope creep, security obligations and rising tool costs create negative leverage if price is fixed. The risk is highest when contracts promise broad outcomes but delivery remains manual and exception-heavy.</w:t>
      </w:r>
    </w:p>
    <w:p xmlns:wp14="http://schemas.microsoft.com/office/word/2010/wordml" w14:paraId="612A1D6F" wp14:textId="77777777">
      <w:pPr>
        <w:pStyle w:val="Heading3"/>
      </w:pPr>
      <w:r>
        <w:rPr>
          <w:rFonts w:ascii="Arial" w:hAnsi="Arial" w:eastAsia="Arial" w:cs="Arial"/>
          <w:b/>
          <w:bCs/>
          <w:color w:val="526578"/>
          <w:sz w:val="21"/>
          <w:szCs w:val="21"/>
        </w:rPr>
        <w:t xml:space="preserve">5.1.4 Competitive reset</w:t>
      </w:r>
    </w:p>
    <w:p xmlns:wp14="http://schemas.microsoft.com/office/word/2010/wordml" w14:paraId="7660BA63" wp14:textId="77777777">
      <w:pPr>
        <w:keepLines/>
        <w:spacing w:after="130" w:line="290"/>
        <w:jc w:val="left"/>
      </w:pPr>
      <w:r>
        <w:rPr>
          <w:rFonts w:ascii="Arial" w:hAnsi="Arial" w:eastAsia="Arial" w:cs="Arial"/>
          <w:b w:val="false"/>
          <w:bCs w:val="false"/>
          <w:i w:val="false"/>
          <w:iCs w:val="false"/>
          <w:color w:val="1A1A1A"/>
          <w:sz w:val="20"/>
          <w:szCs w:val="20"/>
        </w:rPr>
        <w:t xml:space="preserve">Gartner's 2026 spending forecast describes a market in which growth is concentrated in software, infrastructure and AI. Bain argues that AI has repriced the technology-services sector as buyers expect providers to deliver more efficiently and tie value to outcomes. Forrester's 2026 technology-services outlook similarly emphasizes AI/data services, relationships and outcome-oriented commercial models. </w:t>
      </w:r>
      <w:hyperlink w:history="1" r:id="rIdia4-dmxhuhxqr0smmva_f">
        <w:r>
          <w:rPr>
            <w:rStyle w:val="Hyperlink"/>
            <w:rFonts w:ascii="Arial" w:hAnsi="Arial" w:eastAsia="Arial" w:cs="Arial"/>
            <w:b/>
            <w:bCs/>
            <w:sz w:val="16"/>
            <w:szCs w:val="16"/>
          </w:rPr>
          <w:t xml:space="preserve">[5]</w:t>
        </w:r>
      </w:hyperlink>
      <w:r>
        <w:rPr>
          <w:rFonts w:ascii="Arial" w:hAnsi="Arial" w:eastAsia="Arial" w:cs="Arial"/>
          <w:b w:val="false"/>
          <w:bCs w:val="false"/>
          <w:i w:val="false"/>
          <w:iCs w:val="false"/>
          <w:color w:val="1A1A1A"/>
          <w:sz w:val="20"/>
          <w:szCs w:val="20"/>
        </w:rPr>
        <w:t xml:space="preserve"> </w:t>
      </w:r>
      <w:hyperlink w:history="1" r:id="rIdibsh6atbibgdjitlptzk4">
        <w:r>
          <w:rPr>
            <w:rStyle w:val="Hyperlink"/>
            <w:rFonts w:ascii="Arial" w:hAnsi="Arial" w:eastAsia="Arial" w:cs="Arial"/>
            <w:b/>
            <w:bCs/>
            <w:sz w:val="16"/>
            <w:szCs w:val="16"/>
          </w:rPr>
          <w:t xml:space="preserve">[15]</w:t>
        </w:r>
      </w:hyperlink>
      <w:r>
        <w:rPr>
          <w:rFonts w:ascii="Arial" w:hAnsi="Arial" w:eastAsia="Arial" w:cs="Arial"/>
          <w:b w:val="false"/>
          <w:bCs w:val="false"/>
          <w:i w:val="false"/>
          <w:iCs w:val="false"/>
          <w:color w:val="1A1A1A"/>
          <w:sz w:val="20"/>
          <w:szCs w:val="20"/>
        </w:rPr>
        <w:t xml:space="preserve"> </w:t>
      </w:r>
      <w:hyperlink w:history="1" r:id="rIdtnpnrdbam69qn9pwc5rjs">
        <w:r>
          <w:rPr>
            <w:rStyle w:val="Hyperlink"/>
            <w:rFonts w:ascii="Arial" w:hAnsi="Arial" w:eastAsia="Arial" w:cs="Arial"/>
            <w:b/>
            <w:bCs/>
            <w:sz w:val="16"/>
            <w:szCs w:val="16"/>
          </w:rPr>
          <w:t xml:space="preserve">[36]</w:t>
        </w:r>
      </w:hyperlink>
    </w:p>
    <w:p xmlns:wp14="http://schemas.microsoft.com/office/word/2010/wordml" w14:paraId="757986D6" wp14:textId="77777777">
      <w:pPr>
        <w:pStyle w:val="Heading3"/>
      </w:pPr>
      <w:r>
        <w:rPr>
          <w:rFonts w:ascii="Arial" w:hAnsi="Arial" w:eastAsia="Arial" w:cs="Arial"/>
          <w:b/>
          <w:bCs/>
          <w:color w:val="526578"/>
          <w:sz w:val="21"/>
          <w:szCs w:val="21"/>
        </w:rPr>
        <w:t xml:space="preserve">5.1.5 Scale limitations</w:t>
      </w:r>
    </w:p>
    <w:p xmlns:wp14="http://schemas.microsoft.com/office/word/2010/wordml" w14:paraId="07DE7F2E" wp14:textId="77777777">
      <w:pPr>
        <w:keepLines/>
        <w:spacing w:after="130" w:line="290"/>
        <w:jc w:val="left"/>
      </w:pPr>
      <w:r>
        <w:rPr>
          <w:rFonts w:ascii="Arial" w:hAnsi="Arial" w:eastAsia="Arial" w:cs="Arial"/>
          <w:b w:val="false"/>
          <w:bCs w:val="false"/>
          <w:i w:val="false"/>
          <w:iCs w:val="false"/>
          <w:color w:val="1A1A1A"/>
          <w:sz w:val="20"/>
          <w:szCs w:val="20"/>
        </w:rPr>
        <w:t xml:space="preserve">A generalist MSP must cover an expanding control surface: identity, endpoint, cloud, SaaS, data, security, compliance and now agents. Small providers cannot economically own deep 24x7 expertise in every domain. They must standardize a narrow stack, partner for pooled capabilities, specialize by vertical or consolidate.</w:t>
      </w:r>
    </w:p>
    <w:p xmlns:wp14="http://schemas.microsoft.com/office/word/2010/wordml" w14:paraId="7119F12D" wp14:textId="77777777">
      <w:pPr>
        <w:pStyle w:val="Heading2"/>
      </w:pPr>
      <w:r>
        <w:rPr>
          <w:rFonts w:ascii="Arial" w:hAnsi="Arial" w:eastAsia="Arial" w:cs="Arial"/>
          <w:b/>
          <w:bCs/>
          <w:color w:val="1F8A8A"/>
          <w:sz w:val="25"/>
          <w:szCs w:val="25"/>
        </w:rPr>
        <w:t xml:space="preserve">5.2 Customer buying behavior</w:t>
      </w:r>
    </w:p>
    <w:p xmlns:wp14="http://schemas.microsoft.com/office/word/2010/wordml" w14:paraId="2BD2913E" wp14:textId="77777777">
      <w:pPr>
        <w:keepLines/>
        <w:spacing w:after="130" w:line="290"/>
        <w:jc w:val="left"/>
      </w:pPr>
      <w:r>
        <w:rPr>
          <w:rFonts w:ascii="Arial" w:hAnsi="Arial" w:eastAsia="Arial" w:cs="Arial"/>
          <w:b w:val="false"/>
          <w:bCs w:val="false"/>
          <w:i w:val="false"/>
          <w:iCs w:val="false"/>
          <w:color w:val="1A1A1A"/>
          <w:sz w:val="20"/>
          <w:szCs w:val="20"/>
        </w:rPr>
        <w:t xml:space="preserve">Customer expectations are moving from labor to measurable outcomes, but the pace differs by segment. Large buyers already demand automation credits, productivity commitments, benchmarked pricing and access to provider intellectual property. SMEs often continue to value trust, responsiveness and a single accountable party; OECD's 31% adoption rate shows meaningful GenAI use but also a large adoption gap. </w:t>
      </w:r>
      <w:hyperlink w:history="1" r:id="rIdy8gbkolnyob1qfuxxr16h">
        <w:r>
          <w:rPr>
            <w:rStyle w:val="Hyperlink"/>
            <w:rFonts w:ascii="Arial" w:hAnsi="Arial" w:eastAsia="Arial" w:cs="Arial"/>
            <w:b/>
            <w:bCs/>
            <w:sz w:val="16"/>
            <w:szCs w:val="16"/>
          </w:rPr>
          <w:t xml:space="preserve">[12]</w:t>
        </w:r>
      </w:hyperlink>
      <w:r>
        <w:rPr>
          <w:rFonts w:ascii="Arial" w:hAnsi="Arial" w:eastAsia="Arial" w:cs="Arial"/>
          <w:b w:val="false"/>
          <w:bCs w:val="false"/>
          <w:i w:val="false"/>
          <w:iCs w:val="false"/>
          <w:color w:val="1A1A1A"/>
          <w:sz w:val="20"/>
          <w:szCs w:val="20"/>
        </w:rPr>
        <w:t xml:space="preserve"> </w:t>
      </w:r>
      <w:hyperlink w:history="1" r:id="rId0c_n_9c1y0j4nme7ziy41">
        <w:r>
          <w:rPr>
            <w:rStyle w:val="Hyperlink"/>
            <w:rFonts w:ascii="Arial" w:hAnsi="Arial" w:eastAsia="Arial" w:cs="Arial"/>
            <w:b/>
            <w:bCs/>
            <w:sz w:val="16"/>
            <w:szCs w:val="16"/>
          </w:rPr>
          <w:t xml:space="preserve">[15]</w:t>
        </w:r>
      </w:hyperlink>
    </w:p>
    <w:p xmlns:wp14="http://schemas.microsoft.com/office/word/2010/wordml" w14:paraId="7BECECEF" wp14:textId="77777777">
      <w:pPr>
        <w:keepLines/>
        <w:spacing w:after="130" w:line="290"/>
        <w:jc w:val="left"/>
      </w:pPr>
      <w:r>
        <w:rPr>
          <w:rFonts w:ascii="Arial" w:hAnsi="Arial" w:eastAsia="Arial" w:cs="Arial"/>
          <w:b w:val="false"/>
          <w:bCs w:val="false"/>
          <w:i w:val="false"/>
          <w:iCs w:val="false"/>
          <w:color w:val="1A1A1A"/>
          <w:sz w:val="20"/>
          <w:szCs w:val="20"/>
        </w:rPr>
        <w:t xml:space="preserve">The practical customer shift is:</w:t>
      </w:r>
    </w:p>
    <w:tbl>
      <w:tblPr>
        <w:tblW w:w="10656" w:type="dxa"/>
        <w:tblBorders>
          <w:top w:val="single" w:color="auto" w:sz="4"/>
          <w:left w:val="single" w:color="auto" w:sz="4"/>
          <w:bottom w:val="single" w:color="auto" w:sz="4"/>
          <w:right w:val="single" w:color="auto" w:sz="4"/>
          <w:insideH w:val="single" w:color="auto" w:sz="4"/>
          <w:insideV w:val="single" w:color="auto" w:sz="4"/>
        </w:tblBorders>
      </w:tblPr>
      <w:tblGrid>
        <w:gridCol w:w="3552"/>
        <w:gridCol w:w="3552"/>
        <w:gridCol w:w="3552"/>
      </w:tblGrid>
      <w:tr xmlns:wp14="http://schemas.microsoft.com/office/word/2010/wordml" w14:paraId="23C086C8" wp14:textId="77777777">
        <w:trPr>
          <w:cantSplit/>
          <w:tblHeader/>
        </w:trPr>
        <w:tc>
          <w:tcPr>
            <w:tcW w:w="3552"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08A80BAF" wp14:textId="77777777">
            <w:pPr>
              <w:spacing w:after="0" w:line="220"/>
            </w:pPr>
            <w:r>
              <w:rPr>
                <w:rFonts w:ascii="Arial" w:hAnsi="Arial" w:eastAsia="Arial" w:cs="Arial"/>
                <w:b/>
                <w:bCs/>
                <w:i w:val="false"/>
                <w:iCs w:val="false"/>
                <w:color w:val="FFFFFF"/>
                <w:sz w:val="17"/>
                <w:szCs w:val="17"/>
              </w:rPr>
              <w:t xml:space="preserve">From</w:t>
            </w:r>
          </w:p>
        </w:tc>
        <w:tc>
          <w:tcPr>
            <w:tcW w:w="3552"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52980717" wp14:textId="77777777">
            <w:pPr>
              <w:spacing w:after="0" w:line="220"/>
            </w:pPr>
            <w:r>
              <w:rPr>
                <w:rFonts w:ascii="Arial" w:hAnsi="Arial" w:eastAsia="Arial" w:cs="Arial"/>
                <w:b/>
                <w:bCs/>
                <w:i w:val="false"/>
                <w:iCs w:val="false"/>
                <w:color w:val="FFFFFF"/>
                <w:sz w:val="17"/>
                <w:szCs w:val="17"/>
              </w:rPr>
              <w:t xml:space="preserve">Toward</w:t>
            </w:r>
          </w:p>
        </w:tc>
        <w:tc>
          <w:tcPr>
            <w:tcW w:w="3552"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5ACA5ADF" wp14:textId="77777777">
            <w:pPr>
              <w:spacing w:after="0" w:line="220"/>
            </w:pPr>
            <w:r>
              <w:rPr>
                <w:rFonts w:ascii="Arial" w:hAnsi="Arial" w:eastAsia="Arial" w:cs="Arial"/>
                <w:b/>
                <w:bCs/>
                <w:i w:val="false"/>
                <w:iCs w:val="false"/>
                <w:color w:val="FFFFFF"/>
                <w:sz w:val="17"/>
                <w:szCs w:val="17"/>
              </w:rPr>
              <w:t xml:space="preserve">Commercial consequence</w:t>
            </w:r>
          </w:p>
        </w:tc>
      </w:tr>
      <w:tr xmlns:wp14="http://schemas.microsoft.com/office/word/2010/wordml" w14:paraId="17D510EF"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7E095AED" wp14:textId="77777777">
            <w:pPr>
              <w:spacing w:after="0" w:line="220"/>
            </w:pPr>
            <w:r>
              <w:rPr>
                <w:rFonts w:ascii="Arial" w:hAnsi="Arial" w:eastAsia="Arial" w:cs="Arial"/>
                <w:b w:val="false"/>
                <w:bCs w:val="false"/>
                <w:i w:val="false"/>
                <w:iCs w:val="false"/>
                <w:color w:val="1A1A1A"/>
                <w:sz w:val="17"/>
                <w:szCs w:val="17"/>
              </w:rPr>
              <w:t xml:space="preserve">Ticket closure</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321D20B" wp14:textId="77777777">
            <w:pPr>
              <w:spacing w:after="0" w:line="220"/>
            </w:pPr>
            <w:r>
              <w:rPr>
                <w:rFonts w:ascii="Arial" w:hAnsi="Arial" w:eastAsia="Arial" w:cs="Arial"/>
                <w:b w:val="false"/>
                <w:bCs w:val="false"/>
                <w:i w:val="false"/>
                <w:iCs w:val="false"/>
                <w:color w:val="1A1A1A"/>
                <w:sz w:val="17"/>
                <w:szCs w:val="17"/>
              </w:rPr>
              <w:t xml:space="preserve">Prevented incidents and business availability</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50E3971" wp14:textId="77777777">
            <w:pPr>
              <w:spacing w:after="0" w:line="220"/>
            </w:pPr>
            <w:r>
              <w:rPr>
                <w:rFonts w:ascii="Arial" w:hAnsi="Arial" w:eastAsia="Arial" w:cs="Arial"/>
                <w:b w:val="false"/>
                <w:bCs w:val="false"/>
                <w:i w:val="false"/>
                <w:iCs w:val="false"/>
                <w:color w:val="1A1A1A"/>
                <w:sz w:val="17"/>
                <w:szCs w:val="17"/>
              </w:rPr>
              <w:t xml:space="preserve">Price on service level, risk and resilience.</w:t>
            </w:r>
          </w:p>
        </w:tc>
      </w:tr>
      <w:tr xmlns:wp14="http://schemas.microsoft.com/office/word/2010/wordml" w14:paraId="53665EB0"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49E34CF6" wp14:textId="77777777">
            <w:pPr>
              <w:spacing w:after="0" w:line="220"/>
            </w:pPr>
            <w:r>
              <w:rPr>
                <w:rFonts w:ascii="Arial" w:hAnsi="Arial" w:eastAsia="Arial" w:cs="Arial"/>
                <w:b w:val="false"/>
                <w:bCs w:val="false"/>
                <w:i w:val="false"/>
                <w:iCs w:val="false"/>
                <w:color w:val="1A1A1A"/>
                <w:sz w:val="17"/>
                <w:szCs w:val="17"/>
              </w:rPr>
              <w:t xml:space="preserve">Device administration</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27456A48" wp14:textId="77777777">
            <w:pPr>
              <w:spacing w:after="0" w:line="220"/>
            </w:pPr>
            <w:r>
              <w:rPr>
                <w:rFonts w:ascii="Arial" w:hAnsi="Arial" w:eastAsia="Arial" w:cs="Arial"/>
                <w:b w:val="false"/>
                <w:bCs w:val="false"/>
                <w:i w:val="false"/>
                <w:iCs w:val="false"/>
                <w:color w:val="1A1A1A"/>
                <w:sz w:val="17"/>
                <w:szCs w:val="17"/>
              </w:rPr>
              <w:t xml:space="preserve">Automated policy and lifecycle management</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6DE99314" wp14:textId="77777777">
            <w:pPr>
              <w:spacing w:after="0" w:line="220"/>
            </w:pPr>
            <w:r>
              <w:rPr>
                <w:rFonts w:ascii="Arial" w:hAnsi="Arial" w:eastAsia="Arial" w:cs="Arial"/>
                <w:b w:val="false"/>
                <w:bCs w:val="false"/>
                <w:i w:val="false"/>
                <w:iCs w:val="false"/>
                <w:color w:val="1A1A1A"/>
                <w:sz w:val="17"/>
                <w:szCs w:val="17"/>
              </w:rPr>
              <w:t xml:space="preserve">Bundle platform operations, not technician activity.</w:t>
            </w:r>
          </w:p>
        </w:tc>
      </w:tr>
      <w:tr xmlns:wp14="http://schemas.microsoft.com/office/word/2010/wordml" w14:paraId="20B64FF6"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705634A7" wp14:textId="77777777">
            <w:pPr>
              <w:spacing w:after="0" w:line="220"/>
            </w:pPr>
            <w:r>
              <w:rPr>
                <w:rFonts w:ascii="Arial" w:hAnsi="Arial" w:eastAsia="Arial" w:cs="Arial"/>
                <w:b w:val="false"/>
                <w:bCs w:val="false"/>
                <w:i w:val="false"/>
                <w:iCs w:val="false"/>
                <w:color w:val="1A1A1A"/>
                <w:sz w:val="17"/>
                <w:szCs w:val="17"/>
              </w:rPr>
              <w:t xml:space="preserve">Infrastructure strategy</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51D2FAB0" wp14:textId="77777777">
            <w:pPr>
              <w:spacing w:after="0" w:line="220"/>
            </w:pPr>
            <w:r>
              <w:rPr>
                <w:rFonts w:ascii="Arial" w:hAnsi="Arial" w:eastAsia="Arial" w:cs="Arial"/>
                <w:b w:val="false"/>
                <w:bCs w:val="false"/>
                <w:i w:val="false"/>
                <w:iCs w:val="false"/>
                <w:color w:val="1A1A1A"/>
                <w:sz w:val="17"/>
                <w:szCs w:val="17"/>
              </w:rPr>
              <w:t xml:space="preserve">Data, AI, identity and business-process strategy</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5A9FAB57" wp14:textId="77777777">
            <w:pPr>
              <w:spacing w:after="0" w:line="220"/>
            </w:pPr>
            <w:r>
              <w:rPr>
                <w:rFonts w:ascii="Arial" w:hAnsi="Arial" w:eastAsia="Arial" w:cs="Arial"/>
                <w:b w:val="false"/>
                <w:bCs w:val="false"/>
                <w:i w:val="false"/>
                <w:iCs w:val="false"/>
                <w:color w:val="1A1A1A"/>
                <w:sz w:val="17"/>
                <w:szCs w:val="17"/>
              </w:rPr>
              <w:t xml:space="preserve">Add advisory and transformation capacity.</w:t>
            </w:r>
          </w:p>
        </w:tc>
      </w:tr>
      <w:tr xmlns:wp14="http://schemas.microsoft.com/office/word/2010/wordml" w14:paraId="0184B45F"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339A80C5" wp14:textId="77777777">
            <w:pPr>
              <w:spacing w:after="0" w:line="220"/>
            </w:pPr>
            <w:r>
              <w:rPr>
                <w:rFonts w:ascii="Arial" w:hAnsi="Arial" w:eastAsia="Arial" w:cs="Arial"/>
                <w:b w:val="false"/>
                <w:bCs w:val="false"/>
                <w:i w:val="false"/>
                <w:iCs w:val="false"/>
                <w:color w:val="1A1A1A"/>
                <w:sz w:val="17"/>
                <w:szCs w:val="17"/>
              </w:rPr>
              <w:t xml:space="preserve">Security tooling</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1F9CC4AE" wp14:textId="77777777">
            <w:pPr>
              <w:spacing w:after="0" w:line="220"/>
            </w:pPr>
            <w:r>
              <w:rPr>
                <w:rFonts w:ascii="Arial" w:hAnsi="Arial" w:eastAsia="Arial" w:cs="Arial"/>
                <w:b w:val="false"/>
                <w:bCs w:val="false"/>
                <w:i w:val="false"/>
                <w:iCs w:val="false"/>
                <w:color w:val="1A1A1A"/>
                <w:sz w:val="17"/>
                <w:szCs w:val="17"/>
              </w:rPr>
              <w:t xml:space="preserve">Managed detection, response and assurance</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E4139EB" wp14:textId="77777777">
            <w:pPr>
              <w:spacing w:after="0" w:line="220"/>
            </w:pPr>
            <w:r>
              <w:rPr>
                <w:rFonts w:ascii="Arial" w:hAnsi="Arial" w:eastAsia="Arial" w:cs="Arial"/>
                <w:b w:val="false"/>
                <w:bCs w:val="false"/>
                <w:i w:val="false"/>
                <w:iCs w:val="false"/>
                <w:color w:val="1A1A1A"/>
                <w:sz w:val="17"/>
                <w:szCs w:val="17"/>
              </w:rPr>
              <w:t xml:space="preserve">Accept defined response authority and evidence obligations.</w:t>
            </w:r>
          </w:p>
        </w:tc>
      </w:tr>
      <w:tr xmlns:wp14="http://schemas.microsoft.com/office/word/2010/wordml" w14:paraId="7127ED5D"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4DE4F8DE" wp14:textId="77777777">
            <w:pPr>
              <w:spacing w:after="0" w:line="220"/>
            </w:pPr>
            <w:r>
              <w:rPr>
                <w:rFonts w:ascii="Arial" w:hAnsi="Arial" w:eastAsia="Arial" w:cs="Arial"/>
                <w:b w:val="false"/>
                <w:bCs w:val="false"/>
                <w:i w:val="false"/>
                <w:iCs w:val="false"/>
                <w:color w:val="1A1A1A"/>
                <w:sz w:val="17"/>
                <w:szCs w:val="17"/>
              </w:rPr>
              <w:t xml:space="preserve">Training events</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06271A0B" wp14:textId="77777777">
            <w:pPr>
              <w:spacing w:after="0" w:line="220"/>
            </w:pPr>
            <w:r>
              <w:rPr>
                <w:rFonts w:ascii="Arial" w:hAnsi="Arial" w:eastAsia="Arial" w:cs="Arial"/>
                <w:b w:val="false"/>
                <w:bCs w:val="false"/>
                <w:i w:val="false"/>
                <w:iCs w:val="false"/>
                <w:color w:val="1A1A1A"/>
                <w:sz w:val="17"/>
                <w:szCs w:val="17"/>
              </w:rPr>
              <w:t xml:space="preserve">Continuous adoption and workflow change</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43AC152C" wp14:textId="77777777">
            <w:pPr>
              <w:spacing w:after="0" w:line="220"/>
            </w:pPr>
            <w:r>
              <w:rPr>
                <w:rFonts w:ascii="Arial" w:hAnsi="Arial" w:eastAsia="Arial" w:cs="Arial"/>
                <w:b w:val="false"/>
                <w:bCs w:val="false"/>
                <w:i w:val="false"/>
                <w:iCs w:val="false"/>
                <w:color w:val="1A1A1A"/>
                <w:sz w:val="17"/>
                <w:szCs w:val="17"/>
              </w:rPr>
              <w:t xml:space="preserve">Sell managed adoption with usage and outcome metrics.</w:t>
            </w:r>
          </w:p>
        </w:tc>
      </w:tr>
      <w:tr xmlns:wp14="http://schemas.microsoft.com/office/word/2010/wordml" w14:paraId="13C5BAFC"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6F971309" wp14:textId="77777777">
            <w:pPr>
              <w:spacing w:after="0" w:line="220"/>
            </w:pPr>
            <w:r>
              <w:rPr>
                <w:rFonts w:ascii="Arial" w:hAnsi="Arial" w:eastAsia="Arial" w:cs="Arial"/>
                <w:b w:val="false"/>
                <w:bCs w:val="false"/>
                <w:i w:val="false"/>
                <w:iCs w:val="false"/>
                <w:color w:val="1A1A1A"/>
                <w:sz w:val="17"/>
                <w:szCs w:val="17"/>
              </w:rPr>
              <w:t xml:space="preserve">Projects billed by hour</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74A278C" wp14:textId="77777777">
            <w:pPr>
              <w:spacing w:after="0" w:line="220"/>
            </w:pPr>
            <w:r>
              <w:rPr>
                <w:rFonts w:ascii="Arial" w:hAnsi="Arial" w:eastAsia="Arial" w:cs="Arial"/>
                <w:b w:val="false"/>
                <w:bCs w:val="false"/>
                <w:i w:val="false"/>
                <w:iCs w:val="false"/>
                <w:color w:val="1A1A1A"/>
                <w:sz w:val="17"/>
                <w:szCs w:val="17"/>
              </w:rPr>
              <w:t xml:space="preserve">Repeatable deployment and outcome packages</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45F7A98" wp14:textId="77777777">
            <w:pPr>
              <w:spacing w:after="0" w:line="220"/>
            </w:pPr>
            <w:r>
              <w:rPr>
                <w:rFonts w:ascii="Arial" w:hAnsi="Arial" w:eastAsia="Arial" w:cs="Arial"/>
                <w:b w:val="false"/>
                <w:bCs w:val="false"/>
                <w:i w:val="false"/>
                <w:iCs w:val="false"/>
                <w:color w:val="1A1A1A"/>
                <w:sz w:val="17"/>
                <w:szCs w:val="17"/>
              </w:rPr>
              <w:t xml:space="preserve">Convert methods into productized intellectual property.</w:t>
            </w:r>
          </w:p>
        </w:tc>
      </w:tr>
    </w:tbl>
    <w:p xmlns:wp14="http://schemas.microsoft.com/office/word/2010/wordml" w14:paraId="6A05A809" wp14:textId="77777777">
      <w:pPr>
        <w:spacing w:after="120"/>
      </w:pPr>
    </w:p>
    <w:p xmlns:wp14="http://schemas.microsoft.com/office/word/2010/wordml" w14:paraId="00A95A10" wp14:textId="77777777">
      <w:pPr>
        <w:keepLines/>
        <w:spacing w:after="130" w:line="290"/>
        <w:jc w:val="left"/>
      </w:pPr>
      <w:r>
        <w:rPr>
          <w:rFonts w:ascii="Arial" w:hAnsi="Arial" w:eastAsia="Arial" w:cs="Arial"/>
          <w:b w:val="false"/>
          <w:bCs w:val="false"/>
          <w:i w:val="false"/>
          <w:iCs w:val="false"/>
          <w:color w:val="1A1A1A"/>
          <w:sz w:val="20"/>
          <w:szCs w:val="20"/>
        </w:rPr>
        <w:t xml:space="preserve">Customers will not universally demand pure outcome pricing; many outcomes depend on customer behavior and external events. The more durable architecture is hybrid: a platform or access fee, consumption or complexity bands, service-level commitments, and outcome incentives with explicit exclusions.</w:t>
      </w:r>
    </w:p>
    <w:p xmlns:wp14="http://schemas.microsoft.com/office/word/2010/wordml" w14:paraId="031C9AEE" wp14:textId="77777777">
      <w:pPr>
        <w:pStyle w:val="Heading2"/>
      </w:pPr>
      <w:r>
        <w:rPr>
          <w:rFonts w:ascii="Arial" w:hAnsi="Arial" w:eastAsia="Arial" w:cs="Arial"/>
          <w:b/>
          <w:bCs/>
          <w:color w:val="1F8A8A"/>
          <w:sz w:val="25"/>
          <w:szCs w:val="25"/>
        </w:rPr>
        <w:t xml:space="preserve">5.3 Hyperscaler and SaaS disintermediation</w:t>
      </w:r>
    </w:p>
    <w:p xmlns:wp14="http://schemas.microsoft.com/office/word/2010/wordml" w14:paraId="594BD299" wp14:textId="77777777">
      <w:pPr>
        <w:keepLines/>
        <w:spacing w:after="130" w:line="290"/>
        <w:jc w:val="left"/>
      </w:pPr>
      <w:r>
        <w:rPr>
          <w:rFonts w:ascii="Arial" w:hAnsi="Arial" w:eastAsia="Arial" w:cs="Arial"/>
          <w:b w:val="false"/>
          <w:bCs w:val="false"/>
          <w:i w:val="false"/>
          <w:iCs w:val="false"/>
          <w:color w:val="1A1A1A"/>
          <w:sz w:val="20"/>
          <w:szCs w:val="20"/>
        </w:rPr>
        <w:t xml:space="preserve">Hyperscalers are not simply replacing MSPs; they are absorbing bounded layers of the stack.</w:t>
      </w:r>
    </w:p>
    <w:p xmlns:wp14="http://schemas.microsoft.com/office/word/2010/wordml" w14:paraId="38F9C75E" wp14:textId="77777777">
      <w:pPr>
        <w:keepLines/>
        <w:spacing w:after="130" w:line="290"/>
        <w:jc w:val="left"/>
      </w:pPr>
      <w:r>
        <w:rPr>
          <w:rFonts w:ascii="Arial" w:hAnsi="Arial" w:eastAsia="Arial" w:cs="Arial"/>
          <w:b w:val="false"/>
          <w:bCs w:val="false"/>
          <w:i w:val="false"/>
          <w:iCs w:val="false"/>
          <w:color w:val="1A1A1A"/>
          <w:sz w:val="20"/>
          <w:szCs w:val="20"/>
        </w:rPr>
        <w:t xml:space="preserve">AWS DevOps Agent is generally available and is described as investigating incidents, triaging operational events and handling defined SRE tasks. AWS Managed Services separately offers monitoring, incident management, patching and other infrastructure operations within a documented responsibility model. Those offerings reduce the space for undifferentiated cloud operations while leaving architecture, application ownership, governance and multi-cloud integration. </w:t>
      </w:r>
      <w:hyperlink w:history="1" r:id="rId_6l3qlro2cwii6kt0se7t">
        <w:r>
          <w:rPr>
            <w:rStyle w:val="Hyperlink"/>
            <w:rFonts w:ascii="Arial" w:hAnsi="Arial" w:eastAsia="Arial" w:cs="Arial"/>
            <w:b/>
            <w:bCs/>
            <w:sz w:val="16"/>
            <w:szCs w:val="16"/>
          </w:rPr>
          <w:t xml:space="preserve">[25]</w:t>
        </w:r>
      </w:hyperlink>
      <w:r>
        <w:rPr>
          <w:rFonts w:ascii="Arial" w:hAnsi="Arial" w:eastAsia="Arial" w:cs="Arial"/>
          <w:b w:val="false"/>
          <w:bCs w:val="false"/>
          <w:i w:val="false"/>
          <w:iCs w:val="false"/>
          <w:color w:val="1A1A1A"/>
          <w:sz w:val="20"/>
          <w:szCs w:val="20"/>
        </w:rPr>
        <w:t xml:space="preserve"> </w:t>
      </w:r>
      <w:hyperlink w:history="1" r:id="rId9w0mqgng4-r_kzeljsdpd">
        <w:r>
          <w:rPr>
            <w:rStyle w:val="Hyperlink"/>
            <w:rFonts w:ascii="Arial" w:hAnsi="Arial" w:eastAsia="Arial" w:cs="Arial"/>
            <w:b/>
            <w:bCs/>
            <w:sz w:val="16"/>
            <w:szCs w:val="16"/>
          </w:rPr>
          <w:t xml:space="preserve">[26]</w:t>
        </w:r>
      </w:hyperlink>
    </w:p>
    <w:p xmlns:wp14="http://schemas.microsoft.com/office/word/2010/wordml" w14:paraId="79C6373E" wp14:textId="77777777">
      <w:pPr>
        <w:keepLines/>
        <w:spacing w:after="130" w:line="290"/>
        <w:jc w:val="left"/>
      </w:pPr>
      <w:r>
        <w:rPr>
          <w:rFonts w:ascii="Arial" w:hAnsi="Arial" w:eastAsia="Arial" w:cs="Arial"/>
          <w:b w:val="false"/>
          <w:bCs w:val="false"/>
          <w:i w:val="false"/>
          <w:iCs w:val="false"/>
          <w:color w:val="1A1A1A"/>
          <w:sz w:val="20"/>
          <w:szCs w:val="20"/>
        </w:rPr>
        <w:t xml:space="preserve">Google Cloud's Gemini Cloud Assist supports investigation and proactive modes, with availability and permissions varying by capability. At the evidence cutoff, important proactive functions were still bounded by preview or support-tier conditions. That is meaningful substitution, not proof of universal autonomous remediation. </w:t>
      </w:r>
      <w:hyperlink w:history="1" r:id="rIdj82iltzr_wldd5ba52-te">
        <w:r>
          <w:rPr>
            <w:rStyle w:val="Hyperlink"/>
            <w:rFonts w:ascii="Arial" w:hAnsi="Arial" w:eastAsia="Arial" w:cs="Arial"/>
            <w:b/>
            <w:bCs/>
            <w:sz w:val="16"/>
            <w:szCs w:val="16"/>
          </w:rPr>
          <w:t xml:space="preserve">[27]</w:t>
        </w:r>
      </w:hyperlink>
    </w:p>
    <w:p xmlns:wp14="http://schemas.microsoft.com/office/word/2010/wordml" w14:paraId="26C5CE38" wp14:textId="77777777">
      <w:pPr>
        <w:keepLines/>
        <w:spacing w:after="130" w:line="290"/>
        <w:jc w:val="left"/>
      </w:pPr>
      <w:r>
        <w:rPr>
          <w:rFonts w:ascii="Arial" w:hAnsi="Arial" w:eastAsia="Arial" w:cs="Arial"/>
          <w:b w:val="false"/>
          <w:bCs w:val="false"/>
          <w:i w:val="false"/>
          <w:iCs w:val="false"/>
          <w:color w:val="1A1A1A"/>
          <w:sz w:val="20"/>
          <w:szCs w:val="20"/>
        </w:rPr>
        <w:t xml:space="preserve">ServiceNow's Autonomous Workforce includes domain-specific AI specialists and has explicitly targeted Level-1 service-desk work. A customer with mature knowledge, workflow and identity data can increasingly buy resolution from the platform. The provider's opportunity moves to process design, data quality, integration, governance and exception ownership. </w:t>
      </w:r>
      <w:hyperlink w:history="1" r:id="rIdpptsls6bi9lpgupxtpefy">
        <w:r>
          <w:rPr>
            <w:rStyle w:val="Hyperlink"/>
            <w:rFonts w:ascii="Arial" w:hAnsi="Arial" w:eastAsia="Arial" w:cs="Arial"/>
            <w:b/>
            <w:bCs/>
            <w:sz w:val="16"/>
            <w:szCs w:val="16"/>
          </w:rPr>
          <w:t xml:space="preserve">[28]</w:t>
        </w:r>
      </w:hyperlink>
    </w:p>
    <w:p xmlns:wp14="http://schemas.microsoft.com/office/word/2010/wordml" w14:paraId="1D5FE989" wp14:textId="77777777">
      <w:pPr>
        <w:keepLines/>
        <w:spacing w:after="130" w:line="290"/>
        <w:jc w:val="left"/>
      </w:pPr>
      <w:r>
        <w:rPr>
          <w:rFonts w:ascii="Arial" w:hAnsi="Arial" w:eastAsia="Arial" w:cs="Arial"/>
          <w:b w:val="false"/>
          <w:bCs w:val="false"/>
          <w:i w:val="false"/>
          <w:iCs w:val="false"/>
          <w:color w:val="1A1A1A"/>
          <w:sz w:val="20"/>
          <w:szCs w:val="20"/>
        </w:rPr>
        <w:t xml:space="preserve">The result is progressive disintermediation: product vendors capture more of the routine execution margin while capable partners capture integration, control, assurance and adoption value. Providers that sell access to vendor features without adding measurable service are most exposed.</w:t>
      </w:r>
    </w:p>
    <w:p xmlns:wp14="http://schemas.microsoft.com/office/word/2010/wordml" w14:paraId="2973D453" wp14:textId="77777777">
      <w:pPr>
        <w:pStyle w:val="Heading2"/>
      </w:pPr>
      <w:r>
        <w:rPr>
          <w:rFonts w:ascii="Arial" w:hAnsi="Arial" w:eastAsia="Arial" w:cs="Arial"/>
          <w:b/>
          <w:bCs/>
          <w:color w:val="1F8A8A"/>
          <w:sz w:val="25"/>
          <w:szCs w:val="25"/>
        </w:rPr>
        <w:t xml:space="preserve">5.4 Security as a managed service</w:t>
      </w:r>
    </w:p>
    <w:p xmlns:wp14="http://schemas.microsoft.com/office/word/2010/wordml" w14:paraId="09F3B10C" wp14:textId="77777777">
      <w:pPr>
        <w:keepLines/>
        <w:spacing w:after="130" w:line="290"/>
        <w:jc w:val="left"/>
      </w:pPr>
      <w:r>
        <w:rPr>
          <w:rFonts w:ascii="Arial" w:hAnsi="Arial" w:eastAsia="Arial" w:cs="Arial"/>
          <w:b w:val="false"/>
          <w:bCs w:val="false"/>
          <w:i w:val="false"/>
          <w:iCs w:val="false"/>
          <w:color w:val="1A1A1A"/>
          <w:sz w:val="20"/>
          <w:szCs w:val="20"/>
        </w:rPr>
        <w:t xml:space="preserve">Security is the strongest adjacent growth opportunity and one of the easiest to misprice. Gartner expects worldwide information-security spending to reach $244 billion in 2026, up 11.6% in constant currency. US information-security-analyst employment is projected to grow 21% from 2025 to 2035. </w:t>
      </w:r>
      <w:hyperlink w:history="1" r:id="rIdwd-jiykio7laeawdrpjk9">
        <w:r>
          <w:rPr>
            <w:rStyle w:val="Hyperlink"/>
            <w:rFonts w:ascii="Arial" w:hAnsi="Arial" w:eastAsia="Arial" w:cs="Arial"/>
            <w:b/>
            <w:bCs/>
            <w:sz w:val="16"/>
            <w:szCs w:val="16"/>
          </w:rPr>
          <w:t xml:space="preserve">[10]</w:t>
        </w:r>
      </w:hyperlink>
      <w:r>
        <w:rPr>
          <w:rFonts w:ascii="Arial" w:hAnsi="Arial" w:eastAsia="Arial" w:cs="Arial"/>
          <w:b w:val="false"/>
          <w:bCs w:val="false"/>
          <w:i w:val="false"/>
          <w:iCs w:val="false"/>
          <w:color w:val="1A1A1A"/>
          <w:sz w:val="20"/>
          <w:szCs w:val="20"/>
        </w:rPr>
        <w:t xml:space="preserve"> </w:t>
      </w:r>
      <w:hyperlink w:history="1" r:id="rIdls1qs4rnkwiadr2_8-ahx">
        <w:r>
          <w:rPr>
            <w:rStyle w:val="Hyperlink"/>
            <w:rFonts w:ascii="Arial" w:hAnsi="Arial" w:eastAsia="Arial" w:cs="Arial"/>
            <w:b/>
            <w:bCs/>
            <w:sz w:val="16"/>
            <w:szCs w:val="16"/>
          </w:rPr>
          <w:t xml:space="preserve">[38]</w:t>
        </w:r>
      </w:hyperlink>
    </w:p>
    <w:p xmlns:wp14="http://schemas.microsoft.com/office/word/2010/wordml" w14:paraId="6A581C39" wp14:textId="77777777">
      <w:pPr>
        <w:keepLines/>
        <w:spacing w:after="130" w:line="290"/>
        <w:jc w:val="left"/>
      </w:pPr>
      <w:r>
        <w:rPr>
          <w:rFonts w:ascii="Arial" w:hAnsi="Arial" w:eastAsia="Arial" w:cs="Arial"/>
          <w:b w:val="false"/>
          <w:bCs w:val="false"/>
          <w:i w:val="false"/>
          <w:iCs w:val="false"/>
          <w:color w:val="1A1A1A"/>
          <w:sz w:val="20"/>
          <w:szCs w:val="20"/>
        </w:rPr>
        <w:t xml:space="preserve">Demand does not guarantee provider advantage. Microsoft and other vendors are embedding AI-assisted triage; CrowdStrike sells a 24x7 MDR service that combines machine-speed automation and human experts; and platform vendors can sell managed response directly or through partners. Basic alert forwarding and quarterly report generation are therefore vulnerable. </w:t>
      </w:r>
      <w:hyperlink w:history="1" r:id="rIdkv6pyrohy29zrtsoiz4et">
        <w:r>
          <w:rPr>
            <w:rStyle w:val="Hyperlink"/>
            <w:rFonts w:ascii="Arial" w:hAnsi="Arial" w:eastAsia="Arial" w:cs="Arial"/>
            <w:b/>
            <w:bCs/>
            <w:sz w:val="16"/>
            <w:szCs w:val="16"/>
          </w:rPr>
          <w:t xml:space="preserve">[22]</w:t>
        </w:r>
      </w:hyperlink>
      <w:r>
        <w:rPr>
          <w:rFonts w:ascii="Arial" w:hAnsi="Arial" w:eastAsia="Arial" w:cs="Arial"/>
          <w:b w:val="false"/>
          <w:bCs w:val="false"/>
          <w:i w:val="false"/>
          <w:iCs w:val="false"/>
          <w:color w:val="1A1A1A"/>
          <w:sz w:val="20"/>
          <w:szCs w:val="20"/>
        </w:rPr>
        <w:t xml:space="preserve"> </w:t>
      </w:r>
      <w:hyperlink w:history="1" r:id="rIddyfzf4bdsh_cjdnip3o2u">
        <w:r>
          <w:rPr>
            <w:rStyle w:val="Hyperlink"/>
            <w:rFonts w:ascii="Arial" w:hAnsi="Arial" w:eastAsia="Arial" w:cs="Arial"/>
            <w:b/>
            <w:bCs/>
            <w:sz w:val="16"/>
            <w:szCs w:val="16"/>
          </w:rPr>
          <w:t xml:space="preserve">[29]</w:t>
        </w:r>
      </w:hyperlink>
      <w:r>
        <w:rPr>
          <w:rFonts w:ascii="Arial" w:hAnsi="Arial" w:eastAsia="Arial" w:cs="Arial"/>
          <w:b w:val="false"/>
          <w:bCs w:val="false"/>
          <w:i w:val="false"/>
          <w:iCs w:val="false"/>
          <w:color w:val="1A1A1A"/>
          <w:sz w:val="20"/>
          <w:szCs w:val="20"/>
        </w:rPr>
        <w:t xml:space="preserve"> </w:t>
      </w:r>
      <w:hyperlink w:history="1" r:id="rIdbigeeciexvkxelxyw142k">
        <w:r>
          <w:rPr>
            <w:rStyle w:val="Hyperlink"/>
            <w:rFonts w:ascii="Arial" w:hAnsi="Arial" w:eastAsia="Arial" w:cs="Arial"/>
            <w:b/>
            <w:bCs/>
            <w:sz w:val="16"/>
            <w:szCs w:val="16"/>
          </w:rPr>
          <w:t xml:space="preserve">[42]</w:t>
        </w:r>
      </w:hyperlink>
    </w:p>
    <w:p xmlns:wp14="http://schemas.microsoft.com/office/word/2010/wordml" w14:paraId="744B2A5C" wp14:textId="77777777">
      <w:pPr>
        <w:keepLines/>
        <w:spacing w:after="130" w:line="290"/>
        <w:jc w:val="left"/>
      </w:pPr>
      <w:r>
        <w:rPr>
          <w:rFonts w:ascii="Arial" w:hAnsi="Arial" w:eastAsia="Arial" w:cs="Arial"/>
          <w:b w:val="false"/>
          <w:bCs w:val="false"/>
          <w:i w:val="false"/>
          <w:iCs w:val="false"/>
          <w:color w:val="1A1A1A"/>
          <w:sz w:val="20"/>
          <w:szCs w:val="20"/>
        </w:rPr>
        <w:t xml:space="preserve">Defensible managed security has five characteristics:</w:t>
      </w:r>
    </w:p>
    <w:p xmlns:wp14="http://schemas.microsoft.com/office/word/2010/wordml" w14:paraId="407665AE"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pooled expertise and continuous coverage that the customer cannot economically reproduce;</w:t>
      </w:r>
    </w:p>
    <w:p xmlns:wp14="http://schemas.microsoft.com/office/word/2010/wordml" w14:paraId="09F116ED"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defined authority to investigate, contain or coordinate response;</w:t>
      </w:r>
    </w:p>
    <w:p xmlns:wp14="http://schemas.microsoft.com/office/word/2010/wordml" w14:paraId="0F7EC229"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identity, endpoint, cloud and SaaS telemetry integration;</w:t>
      </w:r>
    </w:p>
    <w:p xmlns:wp14="http://schemas.microsoft.com/office/word/2010/wordml" w14:paraId="52E3E5AB"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detection engineering, threat hunting and evidence preservation;</w:t>
      </w:r>
    </w:p>
    <w:p xmlns:wp14="http://schemas.microsoft.com/office/word/2010/wordml" w14:paraId="796EAC8A"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contractual accountability, tested runbooks and board-level assurance.</w:t>
      </w:r>
    </w:p>
    <w:p xmlns:wp14="http://schemas.microsoft.com/office/word/2010/wordml" w14:paraId="2B37A093" wp14:textId="77777777">
      <w:pPr>
        <w:keepLines/>
        <w:spacing w:after="130" w:line="290"/>
        <w:jc w:val="left"/>
      </w:pPr>
      <w:r>
        <w:rPr>
          <w:rFonts w:ascii="Arial" w:hAnsi="Arial" w:eastAsia="Arial" w:cs="Arial"/>
          <w:b w:val="false"/>
          <w:bCs w:val="false"/>
          <w:i w:val="false"/>
          <w:iCs w:val="false"/>
          <w:color w:val="1A1A1A"/>
          <w:sz w:val="20"/>
          <w:szCs w:val="20"/>
        </w:rPr>
        <w:t xml:space="preserve">CISA's joint advisory highlights the systemic risk created by MSP privileged access and recommends controls including MFA, logging, access restriction and clear contractual responsibilities. NIS2 explicitly includes managed service providers in its definitions and sector scope, reinforcing governance and management accountability in applicable jurisdictions. </w:t>
      </w:r>
      <w:hyperlink w:history="1" r:id="rIdrzryynqlgprhij2rkpugt">
        <w:r>
          <w:rPr>
            <w:rStyle w:val="Hyperlink"/>
            <w:rFonts w:ascii="Arial" w:hAnsi="Arial" w:eastAsia="Arial" w:cs="Arial"/>
            <w:b/>
            <w:bCs/>
            <w:sz w:val="16"/>
            <w:szCs w:val="16"/>
          </w:rPr>
          <w:t xml:space="preserve">[30]</w:t>
        </w:r>
      </w:hyperlink>
      <w:r>
        <w:rPr>
          <w:rFonts w:ascii="Arial" w:hAnsi="Arial" w:eastAsia="Arial" w:cs="Arial"/>
          <w:b w:val="false"/>
          <w:bCs w:val="false"/>
          <w:i w:val="false"/>
          <w:iCs w:val="false"/>
          <w:color w:val="1A1A1A"/>
          <w:sz w:val="20"/>
          <w:szCs w:val="20"/>
        </w:rPr>
        <w:t xml:space="preserve"> </w:t>
      </w:r>
      <w:hyperlink w:history="1" r:id="rIdzea8ee_mbt2gjzf8hnojk">
        <w:r>
          <w:rPr>
            <w:rStyle w:val="Hyperlink"/>
            <w:rFonts w:ascii="Arial" w:hAnsi="Arial" w:eastAsia="Arial" w:cs="Arial"/>
            <w:b/>
            <w:bCs/>
            <w:sz w:val="16"/>
            <w:szCs w:val="16"/>
          </w:rPr>
          <w:t xml:space="preserve">[32]</w:t>
        </w:r>
      </w:hyperlink>
    </w:p>
    <w:p xmlns:wp14="http://schemas.microsoft.com/office/word/2010/wordml" w14:paraId="12D43FE3" wp14:textId="77777777">
      <w:pPr>
        <w:keepLines/>
        <w:spacing w:after="130" w:line="290"/>
        <w:jc w:val="left"/>
      </w:pPr>
      <w:r>
        <w:rPr>
          <w:rFonts w:ascii="Arial" w:hAnsi="Arial" w:eastAsia="Arial" w:cs="Arial"/>
          <w:b w:val="false"/>
          <w:bCs w:val="false"/>
          <w:i w:val="false"/>
          <w:iCs w:val="false"/>
          <w:color w:val="1A1A1A"/>
          <w:sz w:val="20"/>
          <w:szCs w:val="20"/>
        </w:rPr>
        <w:t xml:space="preserve">A small provider should not build a 24x7 SOC merely to claim differentiation. It should compare build, buy and partner models, then own customer context, identity design, governance, incident coordination and assurance. There is no robust evidence that security specialists universally outperform generalists financially; the strategic case is conditional on real capability and accountability.</w:t>
      </w:r>
    </w:p>
    <w:p xmlns:wp14="http://schemas.microsoft.com/office/word/2010/wordml" w14:paraId="29144240" wp14:textId="77777777">
      <w:pPr>
        <w:pStyle w:val="Heading2"/>
      </w:pPr>
      <w:r>
        <w:rPr>
          <w:rFonts w:ascii="Arial" w:hAnsi="Arial" w:eastAsia="Arial" w:cs="Arial"/>
          <w:b/>
          <w:bCs/>
          <w:color w:val="1F8A8A"/>
          <w:sz w:val="25"/>
          <w:szCs w:val="25"/>
        </w:rPr>
        <w:t xml:space="preserve">5.5 Lessons from other industries</w:t>
      </w:r>
    </w:p>
    <w:p xmlns:wp14="http://schemas.microsoft.com/office/word/2010/wordml" w14:paraId="732E654A" wp14:textId="77777777">
      <w:pPr>
        <w:keepLines/>
        <w:spacing w:after="130" w:line="290"/>
        <w:jc w:val="left"/>
      </w:pPr>
      <w:r>
        <w:rPr>
          <w:rFonts w:ascii="Arial" w:hAnsi="Arial" w:eastAsia="Arial" w:cs="Arial"/>
          <w:b w:val="false"/>
          <w:bCs w:val="false"/>
          <w:i w:val="false"/>
          <w:iCs w:val="false"/>
          <w:color w:val="1A1A1A"/>
          <w:sz w:val="20"/>
          <w:szCs w:val="20"/>
        </w:rPr>
        <w:t xml:space="preserve">Historical parallels support adaptation, not deterministic analogy.</w:t>
      </w:r>
    </w:p>
    <w:p xmlns:wp14="http://schemas.microsoft.com/office/word/2010/wordml" w14:paraId="2A946D30"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Hosting providers lost undifferentiated server-management value as IaaS and managed cloud services absorbed provisioning and operations. Rackspace's 2025 results show how mix, debt, pricing and execution can constrain a recognized managed-cloud brand; the filing does not prove AI or cloud automation was the sole cause. </w:t>
      </w:r>
      <w:hyperlink w:history="1" r:id="rIdi6xuznevjodabaxtd8ulr">
        <w:r>
          <w:rPr>
            <w:rStyle w:val="Hyperlink"/>
            <w:rFonts w:ascii="Arial" w:hAnsi="Arial" w:eastAsia="Arial" w:cs="Arial"/>
            <w:b/>
            <w:bCs/>
            <w:sz w:val="16"/>
            <w:szCs w:val="16"/>
          </w:rPr>
          <w:t xml:space="preserve">[34]</w:t>
        </w:r>
      </w:hyperlink>
    </w:p>
    <w:p xmlns:wp14="http://schemas.microsoft.com/office/word/2010/wordml" w14:paraId="116A0829"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VARs that depended on product margin migrated toward recurring services, cloud marketplaces and specialization. The survivors changed where they captured value rather than defending resale margin.</w:t>
      </w:r>
    </w:p>
    <w:p xmlns:wp14="http://schemas.microsoft.com/office/word/2010/wordml" w14:paraId="0E09FB42"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Managed print providers saw device fleets, automation and document digitization reduce traditional volume. Xerox's services-led and IT-solutions transition illustrates the use of acquisition and portfolio change, but acquisition-driven reported growth should be separated from pro-forma organic performance. </w:t>
      </w:r>
      <w:hyperlink w:history="1" r:id="rId7xrbv5ahd9wkfvswheaev">
        <w:r>
          <w:rPr>
            <w:rStyle w:val="Hyperlink"/>
            <w:rFonts w:ascii="Arial" w:hAnsi="Arial" w:eastAsia="Arial" w:cs="Arial"/>
            <w:b/>
            <w:bCs/>
            <w:sz w:val="16"/>
            <w:szCs w:val="16"/>
          </w:rPr>
          <w:t xml:space="preserve">[40]</w:t>
        </w:r>
      </w:hyperlink>
    </w:p>
    <w:p xmlns:wp14="http://schemas.microsoft.com/office/word/2010/wordml" w14:paraId="3B081BA7"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Telecommunications providers survived platform shifts, but voice and access became increasingly commoditized. Value moved to data, enterprise services, managed security and platforms.</w:t>
      </w:r>
    </w:p>
    <w:p xmlns:wp14="http://schemas.microsoft.com/office/word/2010/wordml" w14:paraId="7166C133"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Blockbuster's bankruptcy and later asset sale show how debt and transition timing can turn a strategic shift into an ownership failure. The filings do not establish streaming as the sole cause, but they demonstrate that recognizing a platform shift late is costly when the balance sheet is inflexible. </w:t>
      </w:r>
      <w:hyperlink w:history="1" r:id="rIdyeetzrbvg8j0h_pkyjcvo">
        <w:r>
          <w:rPr>
            <w:rStyle w:val="Hyperlink"/>
            <w:rFonts w:ascii="Arial" w:hAnsi="Arial" w:eastAsia="Arial" w:cs="Arial"/>
            <w:b/>
            <w:bCs/>
            <w:sz w:val="16"/>
            <w:szCs w:val="16"/>
          </w:rPr>
          <w:t xml:space="preserve">[41]</w:t>
        </w:r>
      </w:hyperlink>
    </w:p>
    <w:p xmlns:wp14="http://schemas.microsoft.com/office/word/2010/wordml" w14:paraId="39F1D939" wp14:textId="77777777">
      <w:pPr>
        <w:keepLines/>
        <w:spacing w:after="130" w:line="290"/>
        <w:jc w:val="left"/>
      </w:pPr>
      <w:r>
        <w:rPr>
          <w:rFonts w:ascii="Arial" w:hAnsi="Arial" w:eastAsia="Arial" w:cs="Arial"/>
          <w:b w:val="false"/>
          <w:bCs w:val="false"/>
          <w:i w:val="false"/>
          <w:iCs w:val="false"/>
          <w:color w:val="1A1A1A"/>
          <w:sz w:val="20"/>
          <w:szCs w:val="20"/>
        </w:rPr>
        <w:t xml:space="preserve">The MSP lesson is not that every incumbent disappears. It is that category survival can mask severe value migration between layers and owners.</w:t>
      </w:r>
    </w:p>
    <w:p xmlns:wp14="http://schemas.microsoft.com/office/word/2010/wordml" w14:paraId="78CBFD0C" wp14:textId="77777777">
      <w:pPr>
        <w:pStyle w:val="Heading1"/>
        <w:pageBreakBefore/>
      </w:pPr>
      <w:r>
        <w:rPr>
          <w:rFonts w:ascii="Arial" w:hAnsi="Arial" w:eastAsia="Arial" w:cs="Arial"/>
          <w:b/>
          <w:bCs/>
          <w:color w:val="173F5F"/>
          <w:sz w:val="30"/>
          <w:szCs w:val="30"/>
        </w:rPr>
        <w:t xml:space="preserve">6. Financial Analysis</w:t>
      </w:r>
    </w:p>
    <w:p xmlns:wp14="http://schemas.microsoft.com/office/word/2010/wordml" w14:paraId="4A421538" wp14:textId="77777777">
      <w:pPr>
        <w:pStyle w:val="Heading2"/>
      </w:pPr>
      <w:r>
        <w:rPr>
          <w:rFonts w:ascii="Arial" w:hAnsi="Arial" w:eastAsia="Arial" w:cs="Arial"/>
          <w:b/>
          <w:bCs/>
          <w:color w:val="1F8A8A"/>
          <w:sz w:val="25"/>
          <w:szCs w:val="25"/>
        </w:rPr>
        <w:t xml:space="preserve">6.1 Baseline economics</w:t>
      </w:r>
    </w:p>
    <w:p xmlns:wp14="http://schemas.microsoft.com/office/word/2010/wordml" w14:paraId="448A60F9" wp14:textId="77777777">
      <w:pPr>
        <w:keepLines/>
        <w:spacing w:after="130" w:line="290"/>
        <w:jc w:val="left"/>
      </w:pPr>
      <w:r>
        <w:rPr>
          <w:rFonts w:ascii="Arial" w:hAnsi="Arial" w:eastAsia="Arial" w:cs="Arial"/>
          <w:b w:val="false"/>
          <w:bCs w:val="false"/>
          <w:i w:val="false"/>
          <w:iCs w:val="false"/>
          <w:color w:val="1A1A1A"/>
          <w:sz w:val="20"/>
          <w:szCs w:val="20"/>
        </w:rPr>
        <w:t xml:space="preserve">The model represents a currently successful conventional MSP in 2026. Net service revenue excludes $2.0 million of assumed license and hardware pass-through so that service productivity is not flattered by resale accounting.</w:t>
      </w:r>
    </w:p>
    <w:tbl>
      <w:tblPr>
        <w:tblW w:w="10656" w:type="dxa"/>
        <w:tblBorders>
          <w:top w:val="single" w:color="auto" w:sz="4"/>
          <w:left w:val="single" w:color="auto" w:sz="4"/>
          <w:bottom w:val="single" w:color="auto" w:sz="4"/>
          <w:right w:val="single" w:color="auto" w:sz="4"/>
          <w:insideH w:val="single" w:color="auto" w:sz="4"/>
          <w:insideV w:val="single" w:color="auto" w:sz="4"/>
        </w:tblBorders>
      </w:tblPr>
      <w:tblGrid>
        <w:gridCol w:w="5328"/>
        <w:gridCol w:w="5328"/>
      </w:tblGrid>
      <w:tr xmlns:wp14="http://schemas.microsoft.com/office/word/2010/wordml" w14:paraId="2A87DA43" wp14:textId="77777777">
        <w:trPr>
          <w:cantSplit/>
          <w:tblHeader/>
        </w:trPr>
        <w:tc>
          <w:tcPr>
            <w:tcW w:w="5328"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699D6D85" wp14:textId="77777777">
            <w:pPr>
              <w:spacing w:after="0" w:line="220"/>
            </w:pPr>
            <w:r>
              <w:rPr>
                <w:rFonts w:ascii="Arial" w:hAnsi="Arial" w:eastAsia="Arial" w:cs="Arial"/>
                <w:b/>
                <w:bCs/>
                <w:i w:val="false"/>
                <w:iCs w:val="false"/>
                <w:color w:val="FFFFFF"/>
                <w:sz w:val="17"/>
                <w:szCs w:val="17"/>
              </w:rPr>
              <w:t xml:space="preserve">2026 baseline input</w:t>
            </w:r>
          </w:p>
        </w:tc>
        <w:tc>
          <w:tcPr>
            <w:tcW w:w="5328"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6D3D45CB" wp14:textId="77777777">
            <w:pPr>
              <w:spacing w:after="0" w:line="220"/>
            </w:pPr>
            <w:r>
              <w:rPr>
                <w:rFonts w:ascii="Arial" w:hAnsi="Arial" w:eastAsia="Arial" w:cs="Arial"/>
                <w:b/>
                <w:bCs/>
                <w:i w:val="false"/>
                <w:iCs w:val="false"/>
                <w:color w:val="FFFFFF"/>
                <w:sz w:val="17"/>
                <w:szCs w:val="17"/>
              </w:rPr>
              <w:t xml:space="preserve">Value</w:t>
            </w:r>
          </w:p>
        </w:tc>
      </w:tr>
      <w:tr xmlns:wp14="http://schemas.microsoft.com/office/word/2010/wordml" w14:paraId="298071FB" wp14:textId="77777777">
        <w:trPr>
          <w:cantSplit/>
          <w:tblHeader w:val="false"/>
        </w:trPr>
        <w:tc>
          <w:tcPr>
            <w:tcW w:w="5328"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57A0595" wp14:textId="77777777">
            <w:pPr>
              <w:spacing w:after="0" w:line="220"/>
            </w:pPr>
            <w:r>
              <w:rPr>
                <w:rFonts w:ascii="Arial" w:hAnsi="Arial" w:eastAsia="Arial" w:cs="Arial"/>
                <w:b w:val="false"/>
                <w:bCs w:val="false"/>
                <w:i w:val="false"/>
                <w:iCs w:val="false"/>
                <w:color w:val="1A1A1A"/>
                <w:sz w:val="17"/>
                <w:szCs w:val="17"/>
              </w:rPr>
              <w:t xml:space="preserve">Net service revenue</w:t>
            </w:r>
          </w:p>
        </w:tc>
        <w:tc>
          <w:tcPr>
            <w:tcW w:w="5328"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08BE81A" wp14:textId="77777777">
            <w:pPr>
              <w:spacing w:after="0" w:line="220"/>
            </w:pPr>
            <w:r>
              <w:rPr>
                <w:rFonts w:ascii="Arial" w:hAnsi="Arial" w:eastAsia="Arial" w:cs="Arial"/>
                <w:b w:val="false"/>
                <w:bCs w:val="false"/>
                <w:i w:val="false"/>
                <w:iCs w:val="false"/>
                <w:color w:val="1A1A1A"/>
                <w:sz w:val="17"/>
                <w:szCs w:val="17"/>
              </w:rPr>
              <w:t xml:space="preserve">$5.00m</w:t>
            </w:r>
          </w:p>
        </w:tc>
      </w:tr>
      <w:tr xmlns:wp14="http://schemas.microsoft.com/office/word/2010/wordml" w14:paraId="599AAC78" wp14:textId="77777777">
        <w:trPr>
          <w:cantSplit/>
          <w:tblHeader w:val="false"/>
        </w:trPr>
        <w:tc>
          <w:tcPr>
            <w:tcW w:w="5328"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DBD9F91" wp14:textId="77777777">
            <w:pPr>
              <w:spacing w:after="0" w:line="220"/>
            </w:pPr>
            <w:r>
              <w:rPr>
                <w:rFonts w:ascii="Arial" w:hAnsi="Arial" w:eastAsia="Arial" w:cs="Arial"/>
                <w:b w:val="false"/>
                <w:bCs w:val="false"/>
                <w:i w:val="false"/>
                <w:iCs w:val="false"/>
                <w:color w:val="1A1A1A"/>
                <w:sz w:val="17"/>
                <w:szCs w:val="17"/>
              </w:rPr>
              <w:t xml:space="preserve">Direct delivery labor</w:t>
            </w:r>
          </w:p>
        </w:tc>
        <w:tc>
          <w:tcPr>
            <w:tcW w:w="5328"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4B02625A" wp14:textId="77777777">
            <w:pPr>
              <w:spacing w:after="0" w:line="220"/>
            </w:pPr>
            <w:r>
              <w:rPr>
                <w:rFonts w:ascii="Arial" w:hAnsi="Arial" w:eastAsia="Arial" w:cs="Arial"/>
                <w:b w:val="false"/>
                <w:bCs w:val="false"/>
                <w:i w:val="false"/>
                <w:iCs w:val="false"/>
                <w:color w:val="1A1A1A"/>
                <w:sz w:val="17"/>
                <w:szCs w:val="17"/>
              </w:rPr>
              <w:t xml:space="preserve">$1.80m</w:t>
            </w:r>
          </w:p>
        </w:tc>
      </w:tr>
      <w:tr xmlns:wp14="http://schemas.microsoft.com/office/word/2010/wordml" w14:paraId="04A4456E" wp14:textId="77777777">
        <w:trPr>
          <w:cantSplit/>
          <w:tblHeader w:val="false"/>
        </w:trPr>
        <w:tc>
          <w:tcPr>
            <w:tcW w:w="5328"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6163DAE1" wp14:textId="77777777">
            <w:pPr>
              <w:spacing w:after="0" w:line="220"/>
            </w:pPr>
            <w:r>
              <w:rPr>
                <w:rFonts w:ascii="Arial" w:hAnsi="Arial" w:eastAsia="Arial" w:cs="Arial"/>
                <w:b w:val="false"/>
                <w:bCs w:val="false"/>
                <w:i w:val="false"/>
                <w:iCs w:val="false"/>
                <w:color w:val="1A1A1A"/>
                <w:sz w:val="17"/>
                <w:szCs w:val="17"/>
              </w:rPr>
              <w:t xml:space="preserve">Tools and subcontractors</w:t>
            </w:r>
          </w:p>
        </w:tc>
        <w:tc>
          <w:tcPr>
            <w:tcW w:w="5328"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843B464" wp14:textId="77777777">
            <w:pPr>
              <w:spacing w:after="0" w:line="220"/>
            </w:pPr>
            <w:r>
              <w:rPr>
                <w:rFonts w:ascii="Arial" w:hAnsi="Arial" w:eastAsia="Arial" w:cs="Arial"/>
                <w:b w:val="false"/>
                <w:bCs w:val="false"/>
                <w:i w:val="false"/>
                <w:iCs w:val="false"/>
                <w:color w:val="1A1A1A"/>
                <w:sz w:val="17"/>
                <w:szCs w:val="17"/>
              </w:rPr>
              <w:t xml:space="preserve">$1.00m</w:t>
            </w:r>
          </w:p>
        </w:tc>
      </w:tr>
      <w:tr xmlns:wp14="http://schemas.microsoft.com/office/word/2010/wordml" w14:paraId="656643E0" wp14:textId="77777777">
        <w:trPr>
          <w:cantSplit/>
          <w:tblHeader w:val="false"/>
        </w:trPr>
        <w:tc>
          <w:tcPr>
            <w:tcW w:w="5328"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206D809E" wp14:textId="77777777">
            <w:pPr>
              <w:spacing w:after="0" w:line="220"/>
            </w:pPr>
            <w:r>
              <w:rPr>
                <w:rFonts w:ascii="Arial" w:hAnsi="Arial" w:eastAsia="Arial" w:cs="Arial"/>
                <w:b w:val="false"/>
                <w:bCs w:val="false"/>
                <w:i w:val="false"/>
                <w:iCs w:val="false"/>
                <w:color w:val="1A1A1A"/>
                <w:sz w:val="17"/>
                <w:szCs w:val="17"/>
              </w:rPr>
              <w:t xml:space="preserve">Gross profit</w:t>
            </w:r>
          </w:p>
        </w:tc>
        <w:tc>
          <w:tcPr>
            <w:tcW w:w="5328"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5CAEAB0" wp14:textId="77777777">
            <w:pPr>
              <w:spacing w:after="0" w:line="220"/>
            </w:pPr>
            <w:r>
              <w:rPr>
                <w:rFonts w:ascii="Arial" w:hAnsi="Arial" w:eastAsia="Arial" w:cs="Arial"/>
                <w:b w:val="false"/>
                <w:bCs w:val="false"/>
                <w:i w:val="false"/>
                <w:iCs w:val="false"/>
                <w:color w:val="1A1A1A"/>
                <w:sz w:val="17"/>
                <w:szCs w:val="17"/>
              </w:rPr>
              <w:t xml:space="preserve">$2.20m (44.0%)</w:t>
            </w:r>
          </w:p>
        </w:tc>
      </w:tr>
      <w:tr xmlns:wp14="http://schemas.microsoft.com/office/word/2010/wordml" w14:paraId="1F232E36" wp14:textId="77777777">
        <w:trPr>
          <w:cantSplit/>
          <w:tblHeader w:val="false"/>
        </w:trPr>
        <w:tc>
          <w:tcPr>
            <w:tcW w:w="5328"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2D4BA3A" wp14:textId="77777777">
            <w:pPr>
              <w:spacing w:after="0" w:line="220"/>
            </w:pPr>
            <w:r>
              <w:rPr>
                <w:rFonts w:ascii="Arial" w:hAnsi="Arial" w:eastAsia="Arial" w:cs="Arial"/>
                <w:b w:val="false"/>
                <w:bCs w:val="false"/>
                <w:i w:val="false"/>
                <w:iCs w:val="false"/>
                <w:color w:val="1A1A1A"/>
                <w:sz w:val="17"/>
                <w:szCs w:val="17"/>
              </w:rPr>
              <w:t xml:space="preserve">Operating expense</w:t>
            </w:r>
          </w:p>
        </w:tc>
        <w:tc>
          <w:tcPr>
            <w:tcW w:w="5328"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FB35BA5" wp14:textId="77777777">
            <w:pPr>
              <w:spacing w:after="0" w:line="220"/>
            </w:pPr>
            <w:r>
              <w:rPr>
                <w:rFonts w:ascii="Arial" w:hAnsi="Arial" w:eastAsia="Arial" w:cs="Arial"/>
                <w:b w:val="false"/>
                <w:bCs w:val="false"/>
                <w:i w:val="false"/>
                <w:iCs w:val="false"/>
                <w:color w:val="1A1A1A"/>
                <w:sz w:val="17"/>
                <w:szCs w:val="17"/>
              </w:rPr>
              <w:t xml:space="preserve">$1.40m</w:t>
            </w:r>
          </w:p>
        </w:tc>
      </w:tr>
      <w:tr xmlns:wp14="http://schemas.microsoft.com/office/word/2010/wordml" w14:paraId="1BE5CB84" wp14:textId="77777777">
        <w:trPr>
          <w:cantSplit/>
          <w:tblHeader w:val="false"/>
        </w:trPr>
        <w:tc>
          <w:tcPr>
            <w:tcW w:w="5328"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13A4F855" wp14:textId="77777777">
            <w:pPr>
              <w:spacing w:after="0" w:line="220"/>
            </w:pPr>
            <w:r>
              <w:rPr>
                <w:rFonts w:ascii="Arial" w:hAnsi="Arial" w:eastAsia="Arial" w:cs="Arial"/>
                <w:b w:val="false"/>
                <w:bCs w:val="false"/>
                <w:i w:val="false"/>
                <w:iCs w:val="false"/>
                <w:color w:val="1A1A1A"/>
                <w:sz w:val="17"/>
                <w:szCs w:val="17"/>
              </w:rPr>
              <w:t xml:space="preserve">Adjusted EBITDA</w:t>
            </w:r>
          </w:p>
        </w:tc>
        <w:tc>
          <w:tcPr>
            <w:tcW w:w="5328"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3C77735B" wp14:textId="77777777">
            <w:pPr>
              <w:spacing w:after="0" w:line="220"/>
            </w:pPr>
            <w:r>
              <w:rPr>
                <w:rFonts w:ascii="Arial" w:hAnsi="Arial" w:eastAsia="Arial" w:cs="Arial"/>
                <w:b w:val="false"/>
                <w:bCs w:val="false"/>
                <w:i w:val="false"/>
                <w:iCs w:val="false"/>
                <w:color w:val="1A1A1A"/>
                <w:sz w:val="17"/>
                <w:szCs w:val="17"/>
              </w:rPr>
              <w:t xml:space="preserve">$0.80m (16.0%)</w:t>
            </w:r>
          </w:p>
        </w:tc>
      </w:tr>
      <w:tr xmlns:wp14="http://schemas.microsoft.com/office/word/2010/wordml" w14:paraId="24E6B923" wp14:textId="77777777">
        <w:trPr>
          <w:cantSplit/>
          <w:tblHeader w:val="false"/>
        </w:trPr>
        <w:tc>
          <w:tcPr>
            <w:tcW w:w="5328"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ACD9236" wp14:textId="77777777">
            <w:pPr>
              <w:spacing w:after="0" w:line="220"/>
            </w:pPr>
            <w:r>
              <w:rPr>
                <w:rFonts w:ascii="Arial" w:hAnsi="Arial" w:eastAsia="Arial" w:cs="Arial"/>
                <w:b w:val="false"/>
                <w:bCs w:val="false"/>
                <w:i w:val="false"/>
                <w:iCs w:val="false"/>
                <w:color w:val="1A1A1A"/>
                <w:sz w:val="17"/>
                <w:szCs w:val="17"/>
              </w:rPr>
              <w:t xml:space="preserve">Total / direct FTE</w:t>
            </w:r>
          </w:p>
        </w:tc>
        <w:tc>
          <w:tcPr>
            <w:tcW w:w="5328"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631065FC" wp14:textId="77777777">
            <w:pPr>
              <w:spacing w:after="0" w:line="220"/>
            </w:pPr>
            <w:r>
              <w:rPr>
                <w:rFonts w:ascii="Arial" w:hAnsi="Arial" w:eastAsia="Arial" w:cs="Arial"/>
                <w:b w:val="false"/>
                <w:bCs w:val="false"/>
                <w:i w:val="false"/>
                <w:iCs w:val="false"/>
                <w:color w:val="1A1A1A"/>
                <w:sz w:val="17"/>
                <w:szCs w:val="17"/>
              </w:rPr>
              <w:t xml:space="preserve">30 / 20</w:t>
            </w:r>
          </w:p>
        </w:tc>
      </w:tr>
      <w:tr xmlns:wp14="http://schemas.microsoft.com/office/word/2010/wordml" w14:paraId="39716D85" wp14:textId="77777777">
        <w:trPr>
          <w:cantSplit/>
          <w:tblHeader w:val="false"/>
        </w:trPr>
        <w:tc>
          <w:tcPr>
            <w:tcW w:w="5328"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29A30F39" wp14:textId="77777777">
            <w:pPr>
              <w:spacing w:after="0" w:line="220"/>
            </w:pPr>
            <w:r>
              <w:rPr>
                <w:rFonts w:ascii="Arial" w:hAnsi="Arial" w:eastAsia="Arial" w:cs="Arial"/>
                <w:b w:val="false"/>
                <w:bCs w:val="false"/>
                <w:i w:val="false"/>
                <w:iCs w:val="false"/>
                <w:color w:val="1A1A1A"/>
                <w:sz w:val="17"/>
                <w:szCs w:val="17"/>
              </w:rPr>
              <w:t xml:space="preserve">Net service revenue per FTE</w:t>
            </w:r>
          </w:p>
        </w:tc>
        <w:tc>
          <w:tcPr>
            <w:tcW w:w="5328"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6763C5C" wp14:textId="77777777">
            <w:pPr>
              <w:spacing w:after="0" w:line="220"/>
            </w:pPr>
            <w:r>
              <w:rPr>
                <w:rFonts w:ascii="Arial" w:hAnsi="Arial" w:eastAsia="Arial" w:cs="Arial"/>
                <w:b w:val="false"/>
                <w:bCs w:val="false"/>
                <w:i w:val="false"/>
                <w:iCs w:val="false"/>
                <w:color w:val="1A1A1A"/>
                <w:sz w:val="17"/>
                <w:szCs w:val="17"/>
              </w:rPr>
              <w:t xml:space="preserve">$166,700</w:t>
            </w:r>
          </w:p>
        </w:tc>
      </w:tr>
    </w:tbl>
    <w:p xmlns:wp14="http://schemas.microsoft.com/office/word/2010/wordml" w14:paraId="5A39BBE3" wp14:textId="77777777">
      <w:pPr>
        <w:spacing w:after="120"/>
      </w:pPr>
    </w:p>
    <w:p xmlns:wp14="http://schemas.microsoft.com/office/word/2010/wordml" w14:paraId="59146BCB" wp14:textId="77777777">
      <w:pPr>
        <w:keepLines/>
        <w:spacing w:after="130" w:line="290"/>
        <w:jc w:val="left"/>
      </w:pPr>
      <w:r>
        <w:rPr>
          <w:rFonts w:ascii="Arial" w:hAnsi="Arial" w:eastAsia="Arial" w:cs="Arial"/>
          <w:b w:val="false"/>
          <w:bCs w:val="false"/>
          <w:i w:val="false"/>
          <w:iCs w:val="false"/>
          <w:color w:val="1A1A1A"/>
          <w:sz w:val="20"/>
          <w:szCs w:val="20"/>
        </w:rPr>
        <w:t xml:space="preserve">The baseline is a planning input, not an industry median. Its direct labor equals 36% of net service revenue and total delivery cost equals 56%. A company with more pass-through revenue, metropolitan wages, owner add-backs or contractor delivery will not be directly comparable.</w:t>
      </w:r>
    </w:p>
    <w:p xmlns:wp14="http://schemas.microsoft.com/office/word/2010/wordml" w14:paraId="3E12FC2F" wp14:textId="77777777">
      <w:pPr>
        <w:keepLines/>
        <w:spacing w:after="130" w:line="290"/>
        <w:jc w:val="left"/>
      </w:pPr>
      <w:r>
        <w:rPr>
          <w:rFonts w:ascii="Arial" w:hAnsi="Arial" w:eastAsia="Arial" w:cs="Arial"/>
          <w:b w:val="false"/>
          <w:bCs w:val="false"/>
          <w:i w:val="false"/>
          <w:iCs w:val="false"/>
          <w:color w:val="1A1A1A"/>
          <w:sz w:val="20"/>
          <w:szCs w:val="20"/>
        </w:rPr>
        <w:t xml:space="preserve">The starting service mix is 31% help desk, 18% infrastructure/cloud management, 15% monitoring/RMM/backup, 9% endpoint management, 10% projects/break-fix, 12% security and 5% AI/data/automation. That mix is intentionally conventional.</w:t>
      </w:r>
    </w:p>
    <w:p xmlns:wp14="http://schemas.microsoft.com/office/word/2010/wordml" w14:paraId="6EBA6CC7" wp14:textId="77777777">
      <w:pPr>
        <w:pStyle w:val="Heading2"/>
      </w:pPr>
      <w:r>
        <w:rPr>
          <w:rFonts w:ascii="Arial" w:hAnsi="Arial" w:eastAsia="Arial" w:cs="Arial"/>
          <w:b/>
          <w:bCs/>
          <w:color w:val="1F8A8A"/>
          <w:sz w:val="25"/>
          <w:szCs w:val="25"/>
        </w:rPr>
        <w:t xml:space="preserve">6.2 Economic mechanism</w:t>
      </w:r>
    </w:p>
    <w:p xmlns:wp14="http://schemas.microsoft.com/office/word/2010/wordml" w14:paraId="078B7DBA" wp14:textId="77777777">
      <w:pPr>
        <w:keepLines/>
        <w:spacing w:after="130" w:line="290"/>
        <w:jc w:val="left"/>
      </w:pPr>
      <w:r>
        <w:rPr>
          <w:rFonts w:ascii="Arial" w:hAnsi="Arial" w:eastAsia="Arial" w:cs="Arial"/>
          <w:b w:val="false"/>
          <w:bCs w:val="false"/>
          <w:i w:val="false"/>
          <w:iCs w:val="false"/>
          <w:color w:val="1A1A1A"/>
          <w:sz w:val="20"/>
          <w:szCs w:val="20"/>
        </w:rPr>
        <w:t xml:space="preserve">The model uses five linked drivers:</w:t>
      </w:r>
    </w:p>
    <w:p xmlns:wp14="http://schemas.microsoft.com/office/word/2010/wordml" w14:paraId="0F470D56" wp14:textId="77777777">
      <w:pPr>
        <w:spacing w:after="70" w:line="260"/>
        <w:ind w:left="480" w:hanging="240"/>
      </w:pPr>
      <w:r>
        <w:rPr>
          <w:rFonts w:ascii="Arial" w:hAnsi="Arial" w:eastAsia="Arial" w:cs="Arial"/>
          <w:b w:val="false"/>
          <w:bCs w:val="false"/>
          <w:i w:val="false"/>
          <w:iCs w:val="false"/>
          <w:color w:val="1A1A1A"/>
          <w:sz w:val="19"/>
          <w:szCs w:val="19"/>
        </w:rPr>
        <w:t xml:space="preserve">1. legacy-service price and gross revenue retention;</w:t>
      </w:r>
    </w:p>
    <w:p xmlns:wp14="http://schemas.microsoft.com/office/word/2010/wordml" w14:paraId="5D67708B" wp14:textId="77777777">
      <w:pPr>
        <w:spacing w:after="70" w:line="260"/>
        <w:ind w:left="480" w:hanging="240"/>
      </w:pPr>
      <w:r>
        <w:rPr>
          <w:rFonts w:ascii="Arial" w:hAnsi="Arial" w:eastAsia="Arial" w:cs="Arial"/>
          <w:b w:val="false"/>
          <w:bCs w:val="false"/>
          <w:i w:val="false"/>
          <w:iCs w:val="false"/>
          <w:color w:val="1A1A1A"/>
          <w:sz w:val="19"/>
          <w:szCs w:val="19"/>
        </w:rPr>
        <w:t xml:space="preserve">2. new and expansion volume;</w:t>
      </w:r>
    </w:p>
    <w:p xmlns:wp14="http://schemas.microsoft.com/office/word/2010/wordml" w14:paraId="168926DC" wp14:textId="77777777">
      <w:pPr>
        <w:spacing w:after="70" w:line="260"/>
        <w:ind w:left="480" w:hanging="240"/>
      </w:pPr>
      <w:r>
        <w:rPr>
          <w:rFonts w:ascii="Arial" w:hAnsi="Arial" w:eastAsia="Arial" w:cs="Arial"/>
          <w:b w:val="false"/>
          <w:bCs w:val="false"/>
          <w:i w:val="false"/>
          <w:iCs w:val="false"/>
          <w:color w:val="1A1A1A"/>
          <w:sz w:val="19"/>
          <w:szCs w:val="19"/>
        </w:rPr>
        <w:t xml:space="preserve">3. growth of security, compliance, AI, data and automation lines;</w:t>
      </w:r>
    </w:p>
    <w:p xmlns:wp14="http://schemas.microsoft.com/office/word/2010/wordml" w14:paraId="0B6CC7FD" wp14:textId="77777777">
      <w:pPr>
        <w:spacing w:after="70" w:line="260"/>
        <w:ind w:left="480" w:hanging="240"/>
      </w:pPr>
      <w:r>
        <w:rPr>
          <w:rFonts w:ascii="Arial" w:hAnsi="Arial" w:eastAsia="Arial" w:cs="Arial"/>
          <w:b w:val="false"/>
          <w:bCs w:val="false"/>
          <w:i w:val="false"/>
          <w:iCs w:val="false"/>
          <w:color w:val="1A1A1A"/>
          <w:sz w:val="19"/>
          <w:szCs w:val="19"/>
        </w:rPr>
        <w:t xml:space="preserve">4. quality-adjusted delivery efficiency and the share converted to cash or new capacity;</w:t>
      </w:r>
    </w:p>
    <w:p xmlns:wp14="http://schemas.microsoft.com/office/word/2010/wordml" w14:paraId="28A271F3" wp14:textId="77777777">
      <w:pPr>
        <w:spacing w:after="70" w:line="260"/>
        <w:ind w:left="480" w:hanging="240"/>
      </w:pPr>
      <w:r>
        <w:rPr>
          <w:rFonts w:ascii="Arial" w:hAnsi="Arial" w:eastAsia="Arial" w:cs="Arial"/>
          <w:b w:val="false"/>
          <w:bCs w:val="false"/>
          <w:i w:val="false"/>
          <w:iCs w:val="false"/>
          <w:color w:val="1A1A1A"/>
          <w:sz w:val="19"/>
          <w:szCs w:val="19"/>
        </w:rPr>
        <w:t xml:space="preserve">5. transition, consumption and governance costs.</w:t>
      </w:r>
    </w:p>
    <w:p xmlns:wp14="http://schemas.microsoft.com/office/word/2010/wordml" w14:paraId="2D9F0C8F" wp14:textId="77777777">
      <w:pPr>
        <w:keepLines/>
        <w:spacing w:after="130" w:line="290"/>
        <w:jc w:val="left"/>
      </w:pPr>
      <w:r>
        <w:rPr>
          <w:rFonts w:ascii="Arial" w:hAnsi="Arial" w:eastAsia="Arial" w:cs="Arial"/>
          <w:b w:val="false"/>
          <w:bCs w:val="false"/>
          <w:i w:val="false"/>
          <w:iCs w:val="false"/>
          <w:color w:val="1A1A1A"/>
          <w:sz w:val="20"/>
          <w:szCs w:val="20"/>
        </w:rPr>
        <w:t xml:space="preserve">The exact assumptions are analyst choices. Their direction is anchored to positive current MSP trading, slower IT-services growth than software/IaaS, observed AI support productivity, agentic execution risk and wage pressure. </w:t>
      </w:r>
      <w:hyperlink w:history="1" r:id="rId1mjnc2gc2td69nptprpea">
        <w:r>
          <w:rPr>
            <w:rStyle w:val="Hyperlink"/>
            <w:rFonts w:ascii="Arial" w:hAnsi="Arial" w:eastAsia="Arial" w:cs="Arial"/>
            <w:b/>
            <w:bCs/>
            <w:sz w:val="16"/>
            <w:szCs w:val="16"/>
          </w:rPr>
          <w:t xml:space="preserve">[1]</w:t>
        </w:r>
      </w:hyperlink>
      <w:r>
        <w:rPr>
          <w:rFonts w:ascii="Arial" w:hAnsi="Arial" w:eastAsia="Arial" w:cs="Arial"/>
          <w:b w:val="false"/>
          <w:bCs w:val="false"/>
          <w:i w:val="false"/>
          <w:iCs w:val="false"/>
          <w:color w:val="1A1A1A"/>
          <w:sz w:val="20"/>
          <w:szCs w:val="20"/>
        </w:rPr>
        <w:t xml:space="preserve"> </w:t>
      </w:r>
      <w:hyperlink w:history="1" r:id="rIddt0zk0oj31t8qtu2f-6tz">
        <w:r>
          <w:rPr>
            <w:rStyle w:val="Hyperlink"/>
            <w:rFonts w:ascii="Arial" w:hAnsi="Arial" w:eastAsia="Arial" w:cs="Arial"/>
            <w:b/>
            <w:bCs/>
            <w:sz w:val="16"/>
            <w:szCs w:val="16"/>
          </w:rPr>
          <w:t xml:space="preserve">[4]</w:t>
        </w:r>
      </w:hyperlink>
      <w:r>
        <w:rPr>
          <w:rFonts w:ascii="Arial" w:hAnsi="Arial" w:eastAsia="Arial" w:cs="Arial"/>
          <w:b w:val="false"/>
          <w:bCs w:val="false"/>
          <w:i w:val="false"/>
          <w:iCs w:val="false"/>
          <w:color w:val="1A1A1A"/>
          <w:sz w:val="20"/>
          <w:szCs w:val="20"/>
        </w:rPr>
        <w:t xml:space="preserve"> </w:t>
      </w:r>
      <w:hyperlink w:history="1" r:id="rIdskdwm7ouxcsmuzvzohytc">
        <w:r>
          <w:rPr>
            <w:rStyle w:val="Hyperlink"/>
            <w:rFonts w:ascii="Arial" w:hAnsi="Arial" w:eastAsia="Arial" w:cs="Arial"/>
            <w:b/>
            <w:bCs/>
            <w:sz w:val="16"/>
            <w:szCs w:val="16"/>
          </w:rPr>
          <w:t xml:space="preserve">[5]</w:t>
        </w:r>
      </w:hyperlink>
      <w:r>
        <w:rPr>
          <w:rFonts w:ascii="Arial" w:hAnsi="Arial" w:eastAsia="Arial" w:cs="Arial"/>
          <w:b w:val="false"/>
          <w:bCs w:val="false"/>
          <w:i w:val="false"/>
          <w:iCs w:val="false"/>
          <w:color w:val="1A1A1A"/>
          <w:sz w:val="20"/>
          <w:szCs w:val="20"/>
        </w:rPr>
        <w:t xml:space="preserve"> </w:t>
      </w:r>
      <w:hyperlink w:history="1" r:id="rIdr2unqpqglcovjdv0ziw4a">
        <w:r>
          <w:rPr>
            <w:rStyle w:val="Hyperlink"/>
            <w:rFonts w:ascii="Arial" w:hAnsi="Arial" w:eastAsia="Arial" w:cs="Arial"/>
            <w:b/>
            <w:bCs/>
            <w:sz w:val="16"/>
            <w:szCs w:val="16"/>
          </w:rPr>
          <w:t xml:space="preserve">[7]</w:t>
        </w:r>
      </w:hyperlink>
      <w:r>
        <w:rPr>
          <w:rFonts w:ascii="Arial" w:hAnsi="Arial" w:eastAsia="Arial" w:cs="Arial"/>
          <w:b w:val="false"/>
          <w:bCs w:val="false"/>
          <w:i w:val="false"/>
          <w:iCs w:val="false"/>
          <w:color w:val="1A1A1A"/>
          <w:sz w:val="20"/>
          <w:szCs w:val="20"/>
        </w:rPr>
        <w:t xml:space="preserve"> </w:t>
      </w:r>
      <w:hyperlink w:history="1" r:id="rId5mbrc6nvdpz6nlptqgtl7">
        <w:r>
          <w:rPr>
            <w:rStyle w:val="Hyperlink"/>
            <w:rFonts w:ascii="Arial" w:hAnsi="Arial" w:eastAsia="Arial" w:cs="Arial"/>
            <w:b/>
            <w:bCs/>
            <w:sz w:val="16"/>
            <w:szCs w:val="16"/>
          </w:rPr>
          <w:t xml:space="preserve">[8]</w:t>
        </w:r>
      </w:hyperlink>
      <w:r>
        <w:rPr>
          <w:rFonts w:ascii="Arial" w:hAnsi="Arial" w:eastAsia="Arial" w:cs="Arial"/>
          <w:b w:val="false"/>
          <w:bCs w:val="false"/>
          <w:i w:val="false"/>
          <w:iCs w:val="false"/>
          <w:color w:val="1A1A1A"/>
          <w:sz w:val="20"/>
          <w:szCs w:val="20"/>
        </w:rPr>
        <w:t xml:space="preserve"> </w:t>
      </w:r>
      <w:hyperlink w:history="1" r:id="rIdpchgmgfvemkx96pet4dyq">
        <w:r>
          <w:rPr>
            <w:rStyle w:val="Hyperlink"/>
            <w:rFonts w:ascii="Arial" w:hAnsi="Arial" w:eastAsia="Arial" w:cs="Arial"/>
            <w:b/>
            <w:bCs/>
            <w:sz w:val="16"/>
            <w:szCs w:val="16"/>
          </w:rPr>
          <w:t xml:space="preserve">[9]</w:t>
        </w:r>
      </w:hyperlink>
    </w:p>
    <w:p xmlns:wp14="http://schemas.microsoft.com/office/word/2010/wordml" w14:paraId="7573E744" wp14:textId="77777777">
      <w:pPr>
        <w:pStyle w:val="Heading2"/>
      </w:pPr>
      <w:r>
        <w:rPr>
          <w:rFonts w:ascii="Arial" w:hAnsi="Arial" w:eastAsia="Arial" w:cs="Arial"/>
          <w:b/>
          <w:bCs/>
          <w:color w:val="1F8A8A"/>
          <w:sz w:val="25"/>
          <w:szCs w:val="25"/>
        </w:rPr>
        <w:t xml:space="preserve">6.3 2030 scenarios</w:t>
      </w:r>
    </w:p>
    <w:tbl>
      <w:tblPr>
        <w:tblW w:w="10656" w:type="dxa"/>
        <w:tblBorders>
          <w:top w:val="single" w:color="auto" w:sz="4"/>
          <w:left w:val="single" w:color="auto" w:sz="4"/>
          <w:bottom w:val="single" w:color="auto" w:sz="4"/>
          <w:right w:val="single" w:color="auto" w:sz="4"/>
          <w:insideH w:val="single" w:color="auto" w:sz="4"/>
          <w:insideV w:val="single" w:color="auto" w:sz="4"/>
        </w:tblBorders>
      </w:tblPr>
      <w:tblGrid>
        <w:gridCol w:w="1776"/>
        <w:gridCol w:w="1776"/>
        <w:gridCol w:w="1776"/>
        <w:gridCol w:w="1776"/>
        <w:gridCol w:w="1776"/>
        <w:gridCol w:w="1776"/>
      </w:tblGrid>
      <w:tr xmlns:wp14="http://schemas.microsoft.com/office/word/2010/wordml" w14:paraId="041226D6" wp14:textId="77777777">
        <w:trPr>
          <w:cantSplit/>
          <w:tblHeader/>
        </w:trPr>
        <w:tc>
          <w:tcPr>
            <w:tcW w:w="1776"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730FDE5E" wp14:textId="77777777">
            <w:pPr>
              <w:spacing w:after="0" w:line="220"/>
            </w:pPr>
            <w:r>
              <w:rPr>
                <w:rFonts w:ascii="Arial" w:hAnsi="Arial" w:eastAsia="Arial" w:cs="Arial"/>
                <w:b/>
                <w:bCs/>
                <w:i w:val="false"/>
                <w:iCs w:val="false"/>
                <w:color w:val="FFFFFF"/>
                <w:sz w:val="15"/>
                <w:szCs w:val="15"/>
              </w:rPr>
              <w:t xml:space="preserve">Scenario</w:t>
            </w:r>
          </w:p>
        </w:tc>
        <w:tc>
          <w:tcPr>
            <w:tcW w:w="1776"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03A1F3D8" wp14:textId="77777777">
            <w:pPr>
              <w:spacing w:after="0" w:line="220"/>
            </w:pPr>
            <w:r>
              <w:rPr>
                <w:rFonts w:ascii="Arial" w:hAnsi="Arial" w:eastAsia="Arial" w:cs="Arial"/>
                <w:b/>
                <w:bCs/>
                <w:i w:val="false"/>
                <w:iCs w:val="false"/>
                <w:color w:val="FFFFFF"/>
                <w:sz w:val="15"/>
                <w:szCs w:val="15"/>
              </w:rPr>
              <w:t xml:space="preserve">Revenue</w:t>
            </w:r>
          </w:p>
        </w:tc>
        <w:tc>
          <w:tcPr>
            <w:tcW w:w="1776"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3BFD3A63" wp14:textId="77777777">
            <w:pPr>
              <w:spacing w:after="0" w:line="220"/>
            </w:pPr>
            <w:r>
              <w:rPr>
                <w:rFonts w:ascii="Arial" w:hAnsi="Arial" w:eastAsia="Arial" w:cs="Arial"/>
                <w:b/>
                <w:bCs/>
                <w:i w:val="false"/>
                <w:iCs w:val="false"/>
                <w:color w:val="FFFFFF"/>
                <w:sz w:val="15"/>
                <w:szCs w:val="15"/>
              </w:rPr>
              <w:t xml:space="preserve">Gross margin</w:t>
            </w:r>
          </w:p>
        </w:tc>
        <w:tc>
          <w:tcPr>
            <w:tcW w:w="1776"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1E1F3F6E" wp14:textId="77777777">
            <w:pPr>
              <w:spacing w:after="0" w:line="220"/>
            </w:pPr>
            <w:r>
              <w:rPr>
                <w:rFonts w:ascii="Arial" w:hAnsi="Arial" w:eastAsia="Arial" w:cs="Arial"/>
                <w:b/>
                <w:bCs/>
                <w:i w:val="false"/>
                <w:iCs w:val="false"/>
                <w:color w:val="FFFFFF"/>
                <w:sz w:val="15"/>
                <w:szCs w:val="15"/>
              </w:rPr>
              <w:t xml:space="preserve">Adjusted EBITDA</w:t>
            </w:r>
          </w:p>
        </w:tc>
        <w:tc>
          <w:tcPr>
            <w:tcW w:w="1776"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6C410BA6" wp14:textId="77777777">
            <w:pPr>
              <w:spacing w:after="0" w:line="220"/>
            </w:pPr>
            <w:r>
              <w:rPr>
                <w:rFonts w:ascii="Arial" w:hAnsi="Arial" w:eastAsia="Arial" w:cs="Arial"/>
                <w:b/>
                <w:bCs/>
                <w:i w:val="false"/>
                <w:iCs w:val="false"/>
                <w:color w:val="FFFFFF"/>
                <w:sz w:val="15"/>
                <w:szCs w:val="15"/>
              </w:rPr>
              <w:t xml:space="preserve">Reported EBITDA margin</w:t>
            </w:r>
          </w:p>
        </w:tc>
        <w:tc>
          <w:tcPr>
            <w:tcW w:w="1776"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4F2BBB04" wp14:textId="77777777">
            <w:pPr>
              <w:spacing w:after="0" w:line="220"/>
            </w:pPr>
            <w:r>
              <w:rPr>
                <w:rFonts w:ascii="Arial" w:hAnsi="Arial" w:eastAsia="Arial" w:cs="Arial"/>
                <w:b/>
                <w:bCs/>
                <w:i w:val="false"/>
                <w:iCs w:val="false"/>
                <w:color w:val="FFFFFF"/>
                <w:sz w:val="15"/>
                <w:szCs w:val="15"/>
              </w:rPr>
              <w:t xml:space="preserve">Interpretation</w:t>
            </w:r>
          </w:p>
        </w:tc>
      </w:tr>
      <w:tr xmlns:wp14="http://schemas.microsoft.com/office/word/2010/wordml" w14:paraId="26C428DD" wp14:textId="77777777">
        <w:trPr>
          <w:cantSplit/>
          <w:tblHeader w:val="false"/>
        </w:trPr>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4B31ACC3" wp14:textId="77777777">
            <w:pPr>
              <w:spacing w:after="0" w:line="220"/>
            </w:pPr>
            <w:r>
              <w:rPr>
                <w:rFonts w:ascii="Arial" w:hAnsi="Arial" w:eastAsia="Arial" w:cs="Arial"/>
                <w:b w:val="false"/>
                <w:bCs w:val="false"/>
                <w:i w:val="false"/>
                <w:iCs w:val="false"/>
                <w:color w:val="1A1A1A"/>
                <w:sz w:val="15"/>
                <w:szCs w:val="15"/>
              </w:rPr>
              <w:t xml:space="preserve">2026 baseline</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2E6BECC" wp14:textId="77777777">
            <w:pPr>
              <w:spacing w:after="0" w:line="220"/>
            </w:pPr>
            <w:r>
              <w:rPr>
                <w:rFonts w:ascii="Arial" w:hAnsi="Arial" w:eastAsia="Arial" w:cs="Arial"/>
                <w:b w:val="false"/>
                <w:bCs w:val="false"/>
                <w:i w:val="false"/>
                <w:iCs w:val="false"/>
                <w:color w:val="1A1A1A"/>
                <w:sz w:val="15"/>
                <w:szCs w:val="15"/>
              </w:rPr>
              <w:t xml:space="preserve">$5.00m</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54645307" wp14:textId="77777777">
            <w:pPr>
              <w:spacing w:after="0" w:line="220"/>
            </w:pPr>
            <w:r>
              <w:rPr>
                <w:rFonts w:ascii="Arial" w:hAnsi="Arial" w:eastAsia="Arial" w:cs="Arial"/>
                <w:b w:val="false"/>
                <w:bCs w:val="false"/>
                <w:i w:val="false"/>
                <w:iCs w:val="false"/>
                <w:color w:val="1A1A1A"/>
                <w:sz w:val="15"/>
                <w:szCs w:val="15"/>
              </w:rPr>
              <w:t xml:space="preserve">44.0%</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6214347C" wp14:textId="77777777">
            <w:pPr>
              <w:spacing w:after="0" w:line="220"/>
            </w:pPr>
            <w:r>
              <w:rPr>
                <w:rFonts w:ascii="Arial" w:hAnsi="Arial" w:eastAsia="Arial" w:cs="Arial"/>
                <w:b w:val="false"/>
                <w:bCs w:val="false"/>
                <w:i w:val="false"/>
                <w:iCs w:val="false"/>
                <w:color w:val="1A1A1A"/>
                <w:sz w:val="15"/>
                <w:szCs w:val="15"/>
              </w:rPr>
              <w:t xml:space="preserve">$0.80m / 16.0%</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43622471" wp14:textId="77777777">
            <w:pPr>
              <w:spacing w:after="0" w:line="220"/>
            </w:pPr>
            <w:r>
              <w:rPr>
                <w:rFonts w:ascii="Arial" w:hAnsi="Arial" w:eastAsia="Arial" w:cs="Arial"/>
                <w:b w:val="false"/>
                <w:bCs w:val="false"/>
                <w:i w:val="false"/>
                <w:iCs w:val="false"/>
                <w:color w:val="1A1A1A"/>
                <w:sz w:val="15"/>
                <w:szCs w:val="15"/>
              </w:rPr>
              <w:t xml:space="preserve">16.0%</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6126E2CC" wp14:textId="77777777">
            <w:pPr>
              <w:spacing w:after="0" w:line="220"/>
            </w:pPr>
            <w:r>
              <w:rPr>
                <w:rFonts w:ascii="Arial" w:hAnsi="Arial" w:eastAsia="Arial" w:cs="Arial"/>
                <w:b w:val="false"/>
                <w:bCs w:val="false"/>
                <w:i w:val="false"/>
                <w:iCs w:val="false"/>
                <w:color w:val="1A1A1A"/>
                <w:sz w:val="15"/>
                <w:szCs w:val="15"/>
              </w:rPr>
              <w:t xml:space="preserve">Starting input.</w:t>
            </w:r>
          </w:p>
        </w:tc>
      </w:tr>
      <w:tr xmlns:wp14="http://schemas.microsoft.com/office/word/2010/wordml" w14:paraId="769E7677" wp14:textId="77777777">
        <w:trPr>
          <w:cantSplit/>
          <w:tblHeader w:val="false"/>
        </w:trPr>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04040583" wp14:textId="77777777">
            <w:pPr>
              <w:spacing w:after="0" w:line="220"/>
            </w:pPr>
            <w:r>
              <w:rPr>
                <w:rFonts w:ascii="Arial" w:hAnsi="Arial" w:eastAsia="Arial" w:cs="Arial"/>
                <w:b w:val="false"/>
                <w:bCs w:val="false"/>
                <w:i w:val="false"/>
                <w:iCs w:val="false"/>
                <w:color w:val="1A1A1A"/>
                <w:sz w:val="15"/>
                <w:szCs w:val="15"/>
              </w:rPr>
              <w:t xml:space="preserve">Legacy / no change</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6CC8F6D3" wp14:textId="77777777">
            <w:pPr>
              <w:spacing w:after="0" w:line="220"/>
            </w:pPr>
            <w:r>
              <w:rPr>
                <w:rFonts w:ascii="Arial" w:hAnsi="Arial" w:eastAsia="Arial" w:cs="Arial"/>
                <w:b w:val="false"/>
                <w:bCs w:val="false"/>
                <w:i w:val="false"/>
                <w:iCs w:val="false"/>
                <w:color w:val="1A1A1A"/>
                <w:sz w:val="15"/>
                <w:szCs w:val="15"/>
              </w:rPr>
              <w:t xml:space="preserve">$5.02m</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520BD8DA" wp14:textId="77777777">
            <w:pPr>
              <w:spacing w:after="0" w:line="220"/>
            </w:pPr>
            <w:r>
              <w:rPr>
                <w:rFonts w:ascii="Arial" w:hAnsi="Arial" w:eastAsia="Arial" w:cs="Arial"/>
                <w:b w:val="false"/>
                <w:bCs w:val="false"/>
                <w:i w:val="false"/>
                <w:iCs w:val="false"/>
                <w:color w:val="1A1A1A"/>
                <w:sz w:val="15"/>
                <w:szCs w:val="15"/>
              </w:rPr>
              <w:t xml:space="preserve">39.4%</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4906D0F7" wp14:textId="77777777">
            <w:pPr>
              <w:spacing w:after="0" w:line="220"/>
            </w:pPr>
            <w:r>
              <w:rPr>
                <w:rFonts w:ascii="Arial" w:hAnsi="Arial" w:eastAsia="Arial" w:cs="Arial"/>
                <w:b w:val="false"/>
                <w:bCs w:val="false"/>
                <w:i w:val="false"/>
                <w:iCs w:val="false"/>
                <w:color w:val="1A1A1A"/>
                <w:sz w:val="15"/>
                <w:szCs w:val="15"/>
              </w:rPr>
              <w:t xml:space="preserve">$0.39m / 7.7%</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6594B456" wp14:textId="77777777">
            <w:pPr>
              <w:spacing w:after="0" w:line="220"/>
            </w:pPr>
            <w:r>
              <w:rPr>
                <w:rFonts w:ascii="Arial" w:hAnsi="Arial" w:eastAsia="Arial" w:cs="Arial"/>
                <w:b w:val="false"/>
                <w:bCs w:val="false"/>
                <w:i w:val="false"/>
                <w:iCs w:val="false"/>
                <w:color w:val="1A1A1A"/>
                <w:sz w:val="15"/>
                <w:szCs w:val="15"/>
              </w:rPr>
              <w:t xml:space="preserve">7.7%</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3B2F6A3E" wp14:textId="77777777">
            <w:pPr>
              <w:spacing w:after="0" w:line="220"/>
            </w:pPr>
            <w:r>
              <w:rPr>
                <w:rFonts w:ascii="Arial" w:hAnsi="Arial" w:eastAsia="Arial" w:cs="Arial"/>
                <w:b w:val="false"/>
                <w:bCs w:val="false"/>
                <w:i w:val="false"/>
                <w:iCs w:val="false"/>
                <w:color w:val="1A1A1A"/>
                <w:sz w:val="15"/>
                <w:szCs w:val="15"/>
              </w:rPr>
              <w:t xml:space="preserve">Still viable, but wage/tool inflation and weak pricing halve profit dollars.</w:t>
            </w:r>
          </w:p>
        </w:tc>
      </w:tr>
      <w:tr xmlns:wp14="http://schemas.microsoft.com/office/word/2010/wordml" w14:paraId="676AD44E" wp14:textId="77777777">
        <w:trPr>
          <w:cantSplit/>
          <w:tblHeader w:val="false"/>
        </w:trPr>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398FA74" wp14:textId="77777777">
            <w:pPr>
              <w:spacing w:after="0" w:line="220"/>
            </w:pPr>
            <w:r>
              <w:rPr>
                <w:rFonts w:ascii="Arial" w:hAnsi="Arial" w:eastAsia="Arial" w:cs="Arial"/>
                <w:b w:val="false"/>
                <w:bCs w:val="false"/>
                <w:i w:val="false"/>
                <w:iCs w:val="false"/>
                <w:color w:val="1A1A1A"/>
                <w:sz w:val="15"/>
                <w:szCs w:val="15"/>
              </w:rPr>
              <w:t xml:space="preserve">Base / staged transformation</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1393123" wp14:textId="77777777">
            <w:pPr>
              <w:spacing w:after="0" w:line="220"/>
            </w:pPr>
            <w:r>
              <w:rPr>
                <w:rFonts w:ascii="Arial" w:hAnsi="Arial" w:eastAsia="Arial" w:cs="Arial"/>
                <w:b w:val="false"/>
                <w:bCs w:val="false"/>
                <w:i w:val="false"/>
                <w:iCs w:val="false"/>
                <w:color w:val="1A1A1A"/>
                <w:sz w:val="15"/>
                <w:szCs w:val="15"/>
              </w:rPr>
              <w:t xml:space="preserve">$6.58m</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7F16A4E0" wp14:textId="77777777">
            <w:pPr>
              <w:spacing w:after="0" w:line="220"/>
            </w:pPr>
            <w:r>
              <w:rPr>
                <w:rFonts w:ascii="Arial" w:hAnsi="Arial" w:eastAsia="Arial" w:cs="Arial"/>
                <w:b w:val="false"/>
                <w:bCs w:val="false"/>
                <w:i w:val="false"/>
                <w:iCs w:val="false"/>
                <w:color w:val="1A1A1A"/>
                <w:sz w:val="15"/>
                <w:szCs w:val="15"/>
              </w:rPr>
              <w:t xml:space="preserve">46.5%</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7039DCAC" wp14:textId="77777777">
            <w:pPr>
              <w:spacing w:after="0" w:line="220"/>
            </w:pPr>
            <w:r>
              <w:rPr>
                <w:rFonts w:ascii="Arial" w:hAnsi="Arial" w:eastAsia="Arial" w:cs="Arial"/>
                <w:b w:val="false"/>
                <w:bCs w:val="false"/>
                <w:i w:val="false"/>
                <w:iCs w:val="false"/>
                <w:color w:val="1A1A1A"/>
                <w:sz w:val="15"/>
                <w:szCs w:val="15"/>
              </w:rPr>
              <w:t xml:space="preserve">$1.11m / 16.9%</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EF81DB6" wp14:textId="77777777">
            <w:pPr>
              <w:spacing w:after="0" w:line="220"/>
            </w:pPr>
            <w:r>
              <w:rPr>
                <w:rFonts w:ascii="Arial" w:hAnsi="Arial" w:eastAsia="Arial" w:cs="Arial"/>
                <w:b w:val="false"/>
                <w:bCs w:val="false"/>
                <w:i w:val="false"/>
                <w:iCs w:val="false"/>
                <w:color w:val="1A1A1A"/>
                <w:sz w:val="15"/>
                <w:szCs w:val="15"/>
              </w:rPr>
              <w:t xml:space="preserve">16.3%</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EFDCCDB" wp14:textId="77777777">
            <w:pPr>
              <w:spacing w:after="0" w:line="220"/>
            </w:pPr>
            <w:r>
              <w:rPr>
                <w:rFonts w:ascii="Arial" w:hAnsi="Arial" w:eastAsia="Arial" w:cs="Arial"/>
                <w:b w:val="false"/>
                <w:bCs w:val="false"/>
                <w:i w:val="false"/>
                <w:iCs w:val="false"/>
                <w:color w:val="1A1A1A"/>
                <w:sz w:val="15"/>
                <w:szCs w:val="15"/>
              </w:rPr>
              <w:t xml:space="preserve">New services reach 36% of revenue after a transition J-curve.</w:t>
            </w:r>
          </w:p>
        </w:tc>
      </w:tr>
      <w:tr xmlns:wp14="http://schemas.microsoft.com/office/word/2010/wordml" w14:paraId="2DEDB6D8" wp14:textId="77777777">
        <w:trPr>
          <w:cantSplit/>
          <w:tblHeader w:val="false"/>
        </w:trPr>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6A67372C" wp14:textId="77777777">
            <w:pPr>
              <w:spacing w:after="0" w:line="220"/>
            </w:pPr>
            <w:r>
              <w:rPr>
                <w:rFonts w:ascii="Arial" w:hAnsi="Arial" w:eastAsia="Arial" w:cs="Arial"/>
                <w:b w:val="false"/>
                <w:bCs w:val="false"/>
                <w:i w:val="false"/>
                <w:iCs w:val="false"/>
                <w:color w:val="1A1A1A"/>
                <w:sz w:val="15"/>
                <w:szCs w:val="15"/>
              </w:rPr>
              <w:t xml:space="preserve">Bull / successful transformation</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5B353BCC" wp14:textId="77777777">
            <w:pPr>
              <w:spacing w:after="0" w:line="220"/>
            </w:pPr>
            <w:r>
              <w:rPr>
                <w:rFonts w:ascii="Arial" w:hAnsi="Arial" w:eastAsia="Arial" w:cs="Arial"/>
                <w:b w:val="false"/>
                <w:bCs w:val="false"/>
                <w:i w:val="false"/>
                <w:iCs w:val="false"/>
                <w:color w:val="1A1A1A"/>
                <w:sz w:val="15"/>
                <w:szCs w:val="15"/>
              </w:rPr>
              <w:t xml:space="preserve">$7.87m</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05A4ED0A" wp14:textId="77777777">
            <w:pPr>
              <w:spacing w:after="0" w:line="220"/>
            </w:pPr>
            <w:r>
              <w:rPr>
                <w:rFonts w:ascii="Arial" w:hAnsi="Arial" w:eastAsia="Arial" w:cs="Arial"/>
                <w:b w:val="false"/>
                <w:bCs w:val="false"/>
                <w:i w:val="false"/>
                <w:iCs w:val="false"/>
                <w:color w:val="1A1A1A"/>
                <w:sz w:val="15"/>
                <w:szCs w:val="15"/>
              </w:rPr>
              <w:t xml:space="preserve">51.6%</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5B7DA704" wp14:textId="77777777">
            <w:pPr>
              <w:spacing w:after="0" w:line="220"/>
            </w:pPr>
            <w:r>
              <w:rPr>
                <w:rFonts w:ascii="Arial" w:hAnsi="Arial" w:eastAsia="Arial" w:cs="Arial"/>
                <w:b w:val="false"/>
                <w:bCs w:val="false"/>
                <w:i w:val="false"/>
                <w:iCs w:val="false"/>
                <w:color w:val="1A1A1A"/>
                <w:sz w:val="15"/>
                <w:szCs w:val="15"/>
              </w:rPr>
              <w:t xml:space="preserve">$1.78m / 22.6%</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02B37E47" wp14:textId="77777777">
            <w:pPr>
              <w:spacing w:after="0" w:line="220"/>
            </w:pPr>
            <w:r>
              <w:rPr>
                <w:rFonts w:ascii="Arial" w:hAnsi="Arial" w:eastAsia="Arial" w:cs="Arial"/>
                <w:b w:val="false"/>
                <w:bCs w:val="false"/>
                <w:i w:val="false"/>
                <w:iCs w:val="false"/>
                <w:color w:val="1A1A1A"/>
                <w:sz w:val="15"/>
                <w:szCs w:val="15"/>
              </w:rPr>
              <w:t xml:space="preserve">22.0%</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2D2D0EF1" wp14:textId="77777777">
            <w:pPr>
              <w:spacing w:after="0" w:line="220"/>
            </w:pPr>
            <w:r>
              <w:rPr>
                <w:rFonts w:ascii="Arial" w:hAnsi="Arial" w:eastAsia="Arial" w:cs="Arial"/>
                <w:b w:val="false"/>
                <w:bCs w:val="false"/>
                <w:i w:val="false"/>
                <w:iCs w:val="false"/>
                <w:color w:val="1A1A1A"/>
                <w:sz w:val="15"/>
                <w:szCs w:val="15"/>
              </w:rPr>
              <w:t xml:space="preserve">Strong adoption, price retention and repeatable IP.</w:t>
            </w:r>
          </w:p>
        </w:tc>
      </w:tr>
      <w:tr xmlns:wp14="http://schemas.microsoft.com/office/word/2010/wordml" w14:paraId="7612733D" wp14:textId="77777777">
        <w:trPr>
          <w:cantSplit/>
          <w:tblHeader w:val="false"/>
        </w:trPr>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C07D173" wp14:textId="77777777">
            <w:pPr>
              <w:spacing w:after="0" w:line="220"/>
            </w:pPr>
            <w:r>
              <w:rPr>
                <w:rFonts w:ascii="Arial" w:hAnsi="Arial" w:eastAsia="Arial" w:cs="Arial"/>
                <w:b w:val="false"/>
                <w:bCs w:val="false"/>
                <w:i w:val="false"/>
                <w:iCs w:val="false"/>
                <w:color w:val="1A1A1A"/>
                <w:sz w:val="15"/>
                <w:szCs w:val="15"/>
              </w:rPr>
              <w:t xml:space="preserve">Bear / severe disruption</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7140B11" wp14:textId="77777777">
            <w:pPr>
              <w:spacing w:after="0" w:line="220"/>
            </w:pPr>
            <w:r>
              <w:rPr>
                <w:rFonts w:ascii="Arial" w:hAnsi="Arial" w:eastAsia="Arial" w:cs="Arial"/>
                <w:b w:val="false"/>
                <w:bCs w:val="false"/>
                <w:i w:val="false"/>
                <w:iCs w:val="false"/>
                <w:color w:val="1A1A1A"/>
                <w:sz w:val="15"/>
                <w:szCs w:val="15"/>
              </w:rPr>
              <w:t xml:space="preserve">$3.73m</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AB9BA7A" wp14:textId="77777777">
            <w:pPr>
              <w:spacing w:after="0" w:line="220"/>
            </w:pPr>
            <w:r>
              <w:rPr>
                <w:rFonts w:ascii="Arial" w:hAnsi="Arial" w:eastAsia="Arial" w:cs="Arial"/>
                <w:b w:val="false"/>
                <w:bCs w:val="false"/>
                <w:i w:val="false"/>
                <w:iCs w:val="false"/>
                <w:color w:val="1A1A1A"/>
                <w:sz w:val="15"/>
                <w:szCs w:val="15"/>
              </w:rPr>
              <w:t xml:space="preserve">29.6%</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37FAA72" wp14:textId="77777777">
            <w:pPr>
              <w:spacing w:after="0" w:line="220"/>
            </w:pPr>
            <w:r>
              <w:rPr>
                <w:rFonts w:ascii="Arial" w:hAnsi="Arial" w:eastAsia="Arial" w:cs="Arial"/>
                <w:b w:val="false"/>
                <w:bCs w:val="false"/>
                <w:i w:val="false"/>
                <w:iCs w:val="false"/>
                <w:color w:val="1A1A1A"/>
                <w:sz w:val="15"/>
                <w:szCs w:val="15"/>
              </w:rPr>
              <w:t xml:space="preserve">-$0.09m / -2.5%</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A9145A4" wp14:textId="77777777">
            <w:pPr>
              <w:spacing w:after="0" w:line="220"/>
            </w:pPr>
            <w:r>
              <w:rPr>
                <w:rFonts w:ascii="Arial" w:hAnsi="Arial" w:eastAsia="Arial" w:cs="Arial"/>
                <w:b w:val="false"/>
                <w:bCs w:val="false"/>
                <w:i w:val="false"/>
                <w:iCs w:val="false"/>
                <w:color w:val="1A1A1A"/>
                <w:sz w:val="15"/>
                <w:szCs w:val="15"/>
              </w:rPr>
              <w:t xml:space="preserve">-3.3%</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764971C" wp14:textId="77777777">
            <w:pPr>
              <w:spacing w:after="0" w:line="220"/>
            </w:pPr>
            <w:r>
              <w:rPr>
                <w:rFonts w:ascii="Arial" w:hAnsi="Arial" w:eastAsia="Arial" w:cs="Arial"/>
                <w:b w:val="false"/>
                <w:bCs w:val="false"/>
                <w:i w:val="false"/>
                <w:iCs w:val="false"/>
                <w:color w:val="1A1A1A"/>
                <w:sz w:val="15"/>
                <w:szCs w:val="15"/>
              </w:rPr>
              <w:t xml:space="preserve">Price deflation and churn arrive faster than cost removal and new growth.</w:t>
            </w:r>
          </w:p>
        </w:tc>
      </w:tr>
    </w:tbl>
    <w:p xmlns:wp14="http://schemas.microsoft.com/office/word/2010/wordml" w14:paraId="41C8F396" wp14:textId="77777777">
      <w:pPr>
        <w:spacing w:after="120"/>
      </w:pPr>
    </w:p>
    <w:p xmlns:wp14="http://schemas.microsoft.com/office/word/2010/wordml" w14:paraId="72A3D3EC" wp14:textId="77777777">
      <w:pPr>
        <w:spacing w:before="160" w:after="70"/>
        <w:jc w:val="center"/>
      </w:pPr>
      <w:r>
        <w:drawing>
          <wp:inline xmlns:wp14="http://schemas.microsoft.com/office/word/2010/wordprocessingDrawing" distT="0" distB="0" distL="0" distR="0" wp14:anchorId="5CB04DEF" wp14:editId="7777777">
            <wp:extent cx="6572250" cy="3771900"/>
            <wp:effectExtent l="0" t="0" r="0" b="0"/>
            <wp:docPr id="1593968154" name="chart_scenario_economics.png" descr="Figure 2. The illustrative 2030 model shows why current revenue alone is a weak indicator of future enterprise value." title="Figure 2. The illustrative 2030 model shows why current revenue alone is a weak indicator of future enterprise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3771900"/>
                    </a:xfrm>
                    <a:prstGeom prst="rect">
                      <a:avLst/>
                    </a:prstGeom>
                  </pic:spPr>
                </pic:pic>
              </a:graphicData>
            </a:graphic>
          </wp:inline>
        </w:drawing>
      </w:r>
    </w:p>
    <w:p xmlns:wp14="http://schemas.microsoft.com/office/word/2010/wordml" w14:paraId="354BC2F6" wp14:textId="77777777">
      <w:pPr>
        <w:spacing w:after="180"/>
        <w:jc w:val="center"/>
      </w:pPr>
      <w:r>
        <w:rPr>
          <w:rFonts w:ascii="Arial" w:hAnsi="Arial" w:eastAsia="Arial" w:cs="Arial"/>
          <w:i/>
          <w:iCs/>
          <w:color w:val="526578"/>
          <w:sz w:val="16"/>
          <w:szCs w:val="16"/>
        </w:rPr>
        <w:t xml:space="preserve">Figure 2. The illustrative 2030 model shows why current revenue alone is a weak indicator of future enterprise value.</w:t>
      </w:r>
    </w:p>
    <w:p xmlns:wp14="http://schemas.microsoft.com/office/word/2010/wordml" w14:paraId="6CDDC80E" wp14:textId="77777777">
      <w:pPr>
        <w:keepLines/>
        <w:spacing w:after="130" w:line="290"/>
        <w:jc w:val="left"/>
      </w:pPr>
      <w:r>
        <w:rPr>
          <w:rFonts w:ascii="Arial" w:hAnsi="Arial" w:eastAsia="Arial" w:cs="Arial"/>
          <w:b w:val="false"/>
          <w:bCs w:val="false"/>
          <w:i w:val="false"/>
          <w:iCs w:val="false"/>
          <w:color w:val="1A1A1A"/>
          <w:sz w:val="20"/>
          <w:szCs w:val="20"/>
        </w:rPr>
        <w:t xml:space="preserve">The status-quo case is the most important skeptical-owner result: the business does not vanish. It remains profitable, but EBITDA falls by roughly half in dollars. A successful business can therefore become strategically impaired without an abrupt revenue collapse.</w:t>
      </w:r>
    </w:p>
    <w:p xmlns:wp14="http://schemas.microsoft.com/office/word/2010/wordml" w14:paraId="27596C52" wp14:textId="77777777">
      <w:pPr>
        <w:pStyle w:val="Heading2"/>
      </w:pPr>
      <w:r>
        <w:rPr>
          <w:rFonts w:ascii="Arial" w:hAnsi="Arial" w:eastAsia="Arial" w:cs="Arial"/>
          <w:b/>
          <w:bCs/>
          <w:color w:val="1F8A8A"/>
          <w:sz w:val="25"/>
          <w:szCs w:val="25"/>
        </w:rPr>
        <w:t xml:space="preserve">6.4 Best-case and worst-case AI economics</w:t>
      </w:r>
    </w:p>
    <w:p xmlns:wp14="http://schemas.microsoft.com/office/word/2010/wordml" w14:paraId="32D08E01" wp14:textId="77777777">
      <w:pPr>
        <w:pStyle w:val="Heading3"/>
      </w:pPr>
      <w:r>
        <w:rPr>
          <w:rFonts w:ascii="Arial" w:hAnsi="Arial" w:eastAsia="Arial" w:cs="Arial"/>
          <w:b/>
          <w:bCs/>
          <w:color w:val="526578"/>
          <w:sz w:val="21"/>
          <w:szCs w:val="21"/>
        </w:rPr>
        <w:t xml:space="preserve">Best case</w:t>
      </w:r>
    </w:p>
    <w:p xmlns:wp14="http://schemas.microsoft.com/office/word/2010/wordml" w14:paraId="601A04EE"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AI attempts 36% of tickets by 2030 and successfully completes 86% of attempted work within approved scope.</w:t>
      </w:r>
    </w:p>
    <w:p xmlns:wp14="http://schemas.microsoft.com/office/word/2010/wordml" w14:paraId="52F67902"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Assisted work improves technician throughput 20% where applied.</w:t>
      </w:r>
    </w:p>
    <w:p xmlns:wp14="http://schemas.microsoft.com/office/word/2010/wordml" w14:paraId="0CC9EB5E"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The provider converts 75% of released capacity into avoided hiring, redeployment or new revenue.</w:t>
      </w:r>
    </w:p>
    <w:p xmlns:wp14="http://schemas.microsoft.com/office/word/2010/wordml" w14:paraId="68EF523F"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Customers accept hybrid outcome/platform pricing; commodity price pressure is offset by higher-value services.</w:t>
      </w:r>
    </w:p>
    <w:p xmlns:wp14="http://schemas.microsoft.com/office/word/2010/wordml" w14:paraId="2B7CF635"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AI consumption, review and governance costs remain controlled.</w:t>
      </w:r>
    </w:p>
    <w:p xmlns:wp14="http://schemas.microsoft.com/office/word/2010/wordml" w14:paraId="21E13229" wp14:textId="77777777">
      <w:pPr>
        <w:keepLines/>
        <w:spacing w:after="130" w:line="290"/>
        <w:jc w:val="left"/>
      </w:pPr>
      <w:r>
        <w:rPr>
          <w:rFonts w:ascii="Arial" w:hAnsi="Arial" w:eastAsia="Arial" w:cs="Arial"/>
          <w:b w:val="false"/>
          <w:bCs w:val="false"/>
          <w:i w:val="false"/>
          <w:iCs w:val="false"/>
          <w:color w:val="1A1A1A"/>
          <w:sz w:val="20"/>
          <w:szCs w:val="20"/>
        </w:rPr>
        <w:t xml:space="preserve">Under these assumptions, gross margin reaches 51.6% and adjusted EBITDA 22.6%. The model does not assume mass layoffs: FTE increases as revenue grows, while revenue per employee rises to about $241,000.</w:t>
      </w:r>
    </w:p>
    <w:p xmlns:wp14="http://schemas.microsoft.com/office/word/2010/wordml" w14:paraId="620BA299" wp14:textId="77777777">
      <w:pPr>
        <w:pStyle w:val="Heading3"/>
      </w:pPr>
      <w:r>
        <w:rPr>
          <w:rFonts w:ascii="Arial" w:hAnsi="Arial" w:eastAsia="Arial" w:cs="Arial"/>
          <w:b/>
          <w:bCs/>
          <w:color w:val="526578"/>
          <w:sz w:val="21"/>
          <w:szCs w:val="21"/>
        </w:rPr>
        <w:t xml:space="preserve">Worst case</w:t>
      </w:r>
    </w:p>
    <w:p xmlns:wp14="http://schemas.microsoft.com/office/word/2010/wordml" w14:paraId="24163722"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AI attempts 22% of tickets, but autonomous completion is only 75% and exceptions require expensive review.</w:t>
      </w:r>
    </w:p>
    <w:p xmlns:wp14="http://schemas.microsoft.com/office/word/2010/wordml" w14:paraId="6BC08A3F"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Legacy prices fall 16.9% cumulatively through 2030, retention weakens and growth services remain subscale.</w:t>
      </w:r>
    </w:p>
    <w:p xmlns:wp14="http://schemas.microsoft.com/office/word/2010/wordml" w14:paraId="66878F04"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Only half of released capacity becomes cash or productive growth.</w:t>
      </w:r>
    </w:p>
    <w:p xmlns:wp14="http://schemas.microsoft.com/office/word/2010/wordml" w14:paraId="46F2BDF1"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Consumption, security, insurance and transformation costs rise.</w:t>
      </w:r>
    </w:p>
    <w:p xmlns:wp14="http://schemas.microsoft.com/office/word/2010/wordml" w14:paraId="777F82B6" wp14:textId="77777777">
      <w:pPr>
        <w:keepLines/>
        <w:spacing w:after="130" w:line="290"/>
        <w:jc w:val="left"/>
      </w:pPr>
      <w:r>
        <w:rPr>
          <w:rFonts w:ascii="Arial" w:hAnsi="Arial" w:eastAsia="Arial" w:cs="Arial"/>
          <w:b w:val="false"/>
          <w:bCs w:val="false"/>
          <w:i w:val="false"/>
          <w:iCs w:val="false"/>
          <w:color w:val="1A1A1A"/>
          <w:sz w:val="20"/>
          <w:szCs w:val="20"/>
        </w:rPr>
        <w:t xml:space="preserve">The result is negative EBITDA despite some automation. This is the core warning: technical adoption without commercial capture does not rescue the model.</w:t>
      </w:r>
    </w:p>
    <w:p xmlns:wp14="http://schemas.microsoft.com/office/word/2010/wordml" w14:paraId="7C19120C" wp14:textId="77777777">
      <w:pPr>
        <w:pStyle w:val="Heading2"/>
      </w:pPr>
      <w:r>
        <w:rPr>
          <w:rFonts w:ascii="Arial" w:hAnsi="Arial" w:eastAsia="Arial" w:cs="Arial"/>
          <w:b/>
          <w:bCs/>
          <w:color w:val="1F8A8A"/>
          <w:sz w:val="25"/>
          <w:szCs w:val="25"/>
        </w:rPr>
        <w:t xml:space="preserve">6.5 Revenue-per-employee and utilization</w:t>
      </w:r>
    </w:p>
    <w:p xmlns:wp14="http://schemas.microsoft.com/office/word/2010/wordml" w14:paraId="7EC4B441" wp14:textId="77777777">
      <w:pPr>
        <w:keepLines/>
        <w:spacing w:after="130" w:line="290"/>
        <w:jc w:val="left"/>
      </w:pPr>
      <w:r>
        <w:rPr>
          <w:rFonts w:ascii="Arial" w:hAnsi="Arial" w:eastAsia="Arial" w:cs="Arial"/>
          <w:b w:val="false"/>
          <w:bCs w:val="false"/>
          <w:i w:val="false"/>
          <w:iCs w:val="false"/>
          <w:color w:val="1A1A1A"/>
          <w:sz w:val="20"/>
          <w:szCs w:val="20"/>
        </w:rPr>
        <w:t xml:space="preserve">Revenue per employee is useful only on a consistent net/gross basis. In the model it moves from $166,700 in 2026 to $176,000 in the legacy case, $216,000 in the base case and $241,000 in the bull case. The bear case can also show apparent productivity if headcount is cut after revenue falls. Boards should pair revenue per employee with gross margin, customer retention, service quality and cash conversion.</w:t>
      </w:r>
    </w:p>
    <w:p xmlns:wp14="http://schemas.microsoft.com/office/word/2010/wordml" w14:paraId="0AA06687" wp14:textId="77777777">
      <w:pPr>
        <w:keepLines/>
        <w:spacing w:after="130" w:line="290"/>
        <w:jc w:val="left"/>
      </w:pPr>
      <w:r>
        <w:rPr>
          <w:rFonts w:ascii="Arial" w:hAnsi="Arial" w:eastAsia="Arial" w:cs="Arial"/>
          <w:b w:val="false"/>
          <w:bCs w:val="false"/>
          <w:i w:val="false"/>
          <w:iCs w:val="false"/>
          <w:color w:val="1A1A1A"/>
          <w:sz w:val="20"/>
          <w:szCs w:val="20"/>
        </w:rPr>
        <w:t xml:space="preserve">Traditional utilization metrics become less informative as agents perform work. A better operating set is:</w:t>
      </w:r>
    </w:p>
    <w:p xmlns:wp14="http://schemas.microsoft.com/office/word/2010/wordml" w14:paraId="774D4762"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cost per correctly resolved request;</w:t>
      </w:r>
    </w:p>
    <w:p xmlns:wp14="http://schemas.microsoft.com/office/word/2010/wordml" w14:paraId="5380A252"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incidents prevented per managed unit;</w:t>
      </w:r>
    </w:p>
    <w:p xmlns:wp14="http://schemas.microsoft.com/office/word/2010/wordml" w14:paraId="1416428F"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percentage of work completed without human touch and without reopen;</w:t>
      </w:r>
    </w:p>
    <w:p xmlns:wp14="http://schemas.microsoft.com/office/word/2010/wordml" w14:paraId="7AC96826"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human review minutes per automated action;</w:t>
      </w:r>
    </w:p>
    <w:p xmlns:wp14="http://schemas.microsoft.com/office/word/2010/wordml" w14:paraId="4D0CF6A8"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customer outcome attainment;</w:t>
      </w:r>
    </w:p>
    <w:p xmlns:wp14="http://schemas.microsoft.com/office/word/2010/wordml" w14:paraId="37FA99FB"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gross profit per technical labor hour;</w:t>
      </w:r>
    </w:p>
    <w:p xmlns:wp14="http://schemas.microsoft.com/office/word/2010/wordml" w14:paraId="65F1A309"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freed capacity converted to cash or growth.</w:t>
      </w:r>
    </w:p>
    <w:p xmlns:wp14="http://schemas.microsoft.com/office/word/2010/wordml" w14:paraId="2692955A" wp14:textId="77777777">
      <w:pPr>
        <w:pStyle w:val="Heading2"/>
      </w:pPr>
      <w:r>
        <w:rPr>
          <w:rFonts w:ascii="Arial" w:hAnsi="Arial" w:eastAsia="Arial" w:cs="Arial"/>
          <w:b/>
          <w:bCs/>
          <w:color w:val="1F8A8A"/>
          <w:sz w:val="25"/>
          <w:szCs w:val="25"/>
        </w:rPr>
        <w:t xml:space="preserve">6.6 Valuation implications</w:t>
      </w:r>
    </w:p>
    <w:p xmlns:wp14="http://schemas.microsoft.com/office/word/2010/wordml" w14:paraId="74ED36E0" wp14:textId="77777777">
      <w:pPr>
        <w:keepLines/>
        <w:spacing w:after="130" w:line="290"/>
        <w:jc w:val="left"/>
      </w:pPr>
      <w:r>
        <w:rPr>
          <w:rFonts w:ascii="Arial" w:hAnsi="Arial" w:eastAsia="Arial" w:cs="Arial"/>
          <w:b w:val="false"/>
          <w:bCs w:val="false"/>
          <w:i w:val="false"/>
          <w:iCs w:val="false"/>
          <w:color w:val="1A1A1A"/>
          <w:sz w:val="20"/>
          <w:szCs w:val="20"/>
        </w:rPr>
        <w:t xml:space="preserve">No single authoritative private-MSP multiple applies across size, geography, customer concentration, recurring mix and quality. The report therefore uses valuation sensitivity rather than presenting a market multiple as fact.</w:t>
      </w:r>
    </w:p>
    <w:p xmlns:wp14="http://schemas.microsoft.com/office/word/2010/wordml" w14:paraId="62AEBA20" wp14:textId="77777777">
      <w:pPr>
        <w:keepLines/>
        <w:spacing w:after="130" w:line="290"/>
        <w:jc w:val="left"/>
      </w:pPr>
      <w:r>
        <w:rPr>
          <w:rFonts w:ascii="Arial" w:hAnsi="Arial" w:eastAsia="Arial" w:cs="Arial"/>
          <w:b w:val="false"/>
          <w:bCs w:val="false"/>
          <w:i w:val="false"/>
          <w:iCs w:val="false"/>
          <w:color w:val="1A1A1A"/>
          <w:sz w:val="20"/>
          <w:szCs w:val="20"/>
        </w:rPr>
        <w:t xml:space="preserve">At the 2026 baseline, applying an illustrative 6.0x EBITDA planning multiple produces enterprise value of $4.8 million. A 2030 legacy case at $0.39 million EBITDA and an illustrative 4.5x multiple produces $1.76 million. The base case at $1.11 million and 7.0x produces $7.77 million; the bull case at $1.78 million and 8.5x produces $15.13 million. These multiples are assumptions used to show operating and quality sensitivity, not observed transaction benchmarks.</w:t>
      </w:r>
    </w:p>
    <w:p xmlns:wp14="http://schemas.microsoft.com/office/word/2010/wordml" w14:paraId="3BC402EA" wp14:textId="77777777">
      <w:pPr>
        <w:keepLines/>
        <w:spacing w:after="130" w:line="290"/>
        <w:jc w:val="left"/>
      </w:pPr>
      <w:r>
        <w:rPr>
          <w:rFonts w:ascii="Arial" w:hAnsi="Arial" w:eastAsia="Arial" w:cs="Arial"/>
          <w:b w:val="false"/>
          <w:bCs w:val="false"/>
          <w:i w:val="false"/>
          <w:iCs w:val="false"/>
          <w:color w:val="1A1A1A"/>
          <w:sz w:val="20"/>
          <w:szCs w:val="20"/>
        </w:rPr>
        <w:t xml:space="preserve">The direction is supported by current deal logic: PwC's 2026 M&amp;A outlook emphasizes fewer, larger and more strategic transactions in the AI era, while Service Leadership reported higher enterprise value for the average participating IT solution provider as operating performance improved. Neither source supplies a universal MSP multiple. </w:t>
      </w:r>
      <w:hyperlink w:history="1" r:id="rIdq8n1lhocpdaipcx497ekq">
        <w:r>
          <w:rPr>
            <w:rStyle w:val="Hyperlink"/>
            <w:rFonts w:ascii="Arial" w:hAnsi="Arial" w:eastAsia="Arial" w:cs="Arial"/>
            <w:b/>
            <w:bCs/>
            <w:sz w:val="16"/>
            <w:szCs w:val="16"/>
          </w:rPr>
          <w:t xml:space="preserve">[1]</w:t>
        </w:r>
      </w:hyperlink>
      <w:r>
        <w:rPr>
          <w:rFonts w:ascii="Arial" w:hAnsi="Arial" w:eastAsia="Arial" w:cs="Arial"/>
          <w:b w:val="false"/>
          <w:bCs w:val="false"/>
          <w:i w:val="false"/>
          <w:iCs w:val="false"/>
          <w:color w:val="1A1A1A"/>
          <w:sz w:val="20"/>
          <w:szCs w:val="20"/>
        </w:rPr>
        <w:t xml:space="preserve"> </w:t>
      </w:r>
      <w:hyperlink w:history="1" r:id="rIdjf3mdvqetqcyn6piqvoyb">
        <w:r>
          <w:rPr>
            <w:rStyle w:val="Hyperlink"/>
            <w:rFonts w:ascii="Arial" w:hAnsi="Arial" w:eastAsia="Arial" w:cs="Arial"/>
            <w:b/>
            <w:bCs/>
            <w:sz w:val="16"/>
            <w:szCs w:val="16"/>
          </w:rPr>
          <w:t xml:space="preserve">[35]</w:t>
        </w:r>
      </w:hyperlink>
    </w:p>
    <w:p xmlns:wp14="http://schemas.microsoft.com/office/word/2010/wordml" w14:paraId="6772D6CA" wp14:textId="77777777">
      <w:pPr>
        <w:keepLines/>
        <w:spacing w:after="130" w:line="290"/>
        <w:jc w:val="left"/>
      </w:pPr>
      <w:r>
        <w:rPr>
          <w:rFonts w:ascii="Arial" w:hAnsi="Arial" w:eastAsia="Arial" w:cs="Arial"/>
          <w:b w:val="false"/>
          <w:bCs w:val="false"/>
          <w:i w:val="false"/>
          <w:iCs w:val="false"/>
          <w:color w:val="1A1A1A"/>
          <w:sz w:val="20"/>
          <w:szCs w:val="20"/>
        </w:rPr>
        <w:t xml:space="preserve">Buyers are likely to pay more for repeatable IP, low customer concentration, documented automation, strong net retention, credible security operations, vertical knowledge and clean recurring gross profit. They should discount commodity resale, owner-dependent relationships, unsupported EBITDA add-backs, weak cyber controls, unpriced AI consumption and contracts that make the provider liable for outcomes it cannot control.</w:t>
      </w:r>
    </w:p>
    <w:p xmlns:wp14="http://schemas.microsoft.com/office/word/2010/wordml" w14:paraId="1732B2B9" wp14:textId="77777777">
      <w:pPr>
        <w:pStyle w:val="Heading2"/>
      </w:pPr>
      <w:r>
        <w:rPr>
          <w:rFonts w:ascii="Arial" w:hAnsi="Arial" w:eastAsia="Arial" w:cs="Arial"/>
          <w:b/>
          <w:bCs/>
          <w:color w:val="1F8A8A"/>
          <w:sz w:val="25"/>
          <w:szCs w:val="25"/>
        </w:rPr>
        <w:t xml:space="preserve">6.7 M&amp;A implications</w:t>
      </w:r>
    </w:p>
    <w:p xmlns:wp14="http://schemas.microsoft.com/office/word/2010/wordml" w14:paraId="56EFA53A" wp14:textId="77777777">
      <w:pPr>
        <w:keepLines/>
        <w:spacing w:after="130" w:line="290"/>
        <w:jc w:val="left"/>
      </w:pPr>
      <w:r>
        <w:rPr>
          <w:rFonts w:ascii="Arial" w:hAnsi="Arial" w:eastAsia="Arial" w:cs="Arial"/>
          <w:b w:val="false"/>
          <w:bCs w:val="false"/>
          <w:i w:val="false"/>
          <w:iCs w:val="false"/>
          <w:color w:val="1A1A1A"/>
          <w:sz w:val="20"/>
          <w:szCs w:val="20"/>
        </w:rPr>
        <w:t xml:space="preserve">Consolidation is a rational response to capability breadth and 24x7 scale. It can also disguise weak organic economics. Diligence should separate:</w:t>
      </w:r>
    </w:p>
    <w:p xmlns:wp14="http://schemas.microsoft.com/office/word/2010/wordml" w14:paraId="2A14BD33"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organic service growth from acquired revenue;</w:t>
      </w:r>
    </w:p>
    <w:p xmlns:wp14="http://schemas.microsoft.com/office/word/2010/wordml" w14:paraId="41B9F04D"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price, seats and product pass-through from volume;</w:t>
      </w:r>
    </w:p>
    <w:p xmlns:wp14="http://schemas.microsoft.com/office/word/2010/wordml" w14:paraId="346E91D5"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adjusted EBITDA from cash after capitalized development and restructuring;</w:t>
      </w:r>
    </w:p>
    <w:p xmlns:wp14="http://schemas.microsoft.com/office/word/2010/wordml" w14:paraId="78F76353"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security revenue from actual response capability;</w:t>
      </w:r>
    </w:p>
    <w:p xmlns:wp14="http://schemas.microsoft.com/office/word/2010/wordml" w14:paraId="29B27C72"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AI claims from audited workload and margin evidence;</w:t>
      </w:r>
    </w:p>
    <w:p xmlns:wp14="http://schemas.microsoft.com/office/word/2010/wordml" w14:paraId="4B4A0FF8"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customer retention from contract duration.</w:t>
      </w:r>
    </w:p>
    <w:p xmlns:wp14="http://schemas.microsoft.com/office/word/2010/wordml" w14:paraId="13E9086C" wp14:textId="77777777">
      <w:pPr>
        <w:keepLines/>
        <w:spacing w:after="130" w:line="290"/>
        <w:jc w:val="left"/>
      </w:pPr>
      <w:r>
        <w:rPr>
          <w:rFonts w:ascii="Arial" w:hAnsi="Arial" w:eastAsia="Arial" w:cs="Arial"/>
          <w:b w:val="false"/>
          <w:bCs w:val="false"/>
          <w:i w:val="false"/>
          <w:iCs w:val="false"/>
          <w:color w:val="1A1A1A"/>
          <w:sz w:val="20"/>
          <w:szCs w:val="20"/>
        </w:rPr>
        <w:t xml:space="preserve">The most attractive targets will not necessarily have the most technicians or tickets. They will have the best data, process control, customer context, vertical distribution and measurable outcome capability.</w:t>
      </w:r>
    </w:p>
    <w:p xmlns:wp14="http://schemas.microsoft.com/office/word/2010/wordml" w14:paraId="68D95E70" wp14:textId="77777777">
      <w:pPr>
        <w:pStyle w:val="Heading1"/>
        <w:pageBreakBefore/>
      </w:pPr>
      <w:r>
        <w:rPr>
          <w:rFonts w:ascii="Arial" w:hAnsi="Arial" w:eastAsia="Arial" w:cs="Arial"/>
          <w:b/>
          <w:bCs/>
          <w:color w:val="173F5F"/>
          <w:sz w:val="30"/>
          <w:szCs w:val="30"/>
        </w:rPr>
        <w:t xml:space="preserve">7. Microsoft Strategy Analysis</w:t>
      </w:r>
    </w:p>
    <w:p xmlns:wp14="http://schemas.microsoft.com/office/word/2010/wordml" w14:paraId="0D0DFF4B" wp14:textId="77777777">
      <w:pPr>
        <w:pStyle w:val="Heading2"/>
      </w:pPr>
      <w:r>
        <w:rPr>
          <w:rFonts w:ascii="Arial" w:hAnsi="Arial" w:eastAsia="Arial" w:cs="Arial"/>
          <w:b/>
          <w:bCs/>
          <w:color w:val="1F8A8A"/>
          <w:sz w:val="25"/>
          <w:szCs w:val="25"/>
        </w:rPr>
        <w:t xml:space="preserve">7.1 Strategic direction</w:t>
      </w:r>
    </w:p>
    <w:p xmlns:wp14="http://schemas.microsoft.com/office/word/2010/wordml" w14:paraId="4BDC05FE" wp14:textId="77777777">
      <w:pPr>
        <w:keepLines/>
        <w:spacing w:after="130" w:line="290"/>
        <w:jc w:val="left"/>
      </w:pPr>
      <w:r>
        <w:rPr>
          <w:rFonts w:ascii="Arial" w:hAnsi="Arial" w:eastAsia="Arial" w:cs="Arial"/>
          <w:b w:val="false"/>
          <w:bCs w:val="false"/>
          <w:i w:val="false"/>
          <w:iCs w:val="false"/>
          <w:color w:val="1A1A1A"/>
          <w:sz w:val="20"/>
          <w:szCs w:val="20"/>
        </w:rPr>
        <w:t xml:space="preserve">Microsoft's direction is AI-first, cloud-first and control-plane-centric. Its 2025 annual report described AI as a platform shift across Azure, Microsoft 365, security and business applications. FY2026 revenue reached $331.839 billion; management said Azure exceeded $100 billion in annual revenue and Microsoft 365 Copilot surpassed 30 million paid seats. Management also described a business model combining seats with consumption. </w:t>
      </w:r>
      <w:hyperlink w:history="1" r:id="rIdjzs6_hlr1kdk_jbohyzc8">
        <w:r>
          <w:rPr>
            <w:rStyle w:val="Hyperlink"/>
            <w:rFonts w:ascii="Arial" w:hAnsi="Arial" w:eastAsia="Arial" w:cs="Arial"/>
            <w:b/>
            <w:bCs/>
            <w:sz w:val="16"/>
            <w:szCs w:val="16"/>
          </w:rPr>
          <w:t xml:space="preserve">[16]</w:t>
        </w:r>
      </w:hyperlink>
      <w:r>
        <w:rPr>
          <w:rFonts w:ascii="Arial" w:hAnsi="Arial" w:eastAsia="Arial" w:cs="Arial"/>
          <w:b w:val="false"/>
          <w:bCs w:val="false"/>
          <w:i w:val="false"/>
          <w:iCs w:val="false"/>
          <w:color w:val="1A1A1A"/>
          <w:sz w:val="20"/>
          <w:szCs w:val="20"/>
        </w:rPr>
        <w:t xml:space="preserve"> </w:t>
      </w:r>
      <w:hyperlink w:history="1" r:id="rIduhfe3wi9crs3cnvcqf4jw">
        <w:r>
          <w:rPr>
            <w:rStyle w:val="Hyperlink"/>
            <w:rFonts w:ascii="Arial" w:hAnsi="Arial" w:eastAsia="Arial" w:cs="Arial"/>
            <w:b/>
            <w:bCs/>
            <w:sz w:val="16"/>
            <w:szCs w:val="16"/>
          </w:rPr>
          <w:t xml:space="preserve">[17]</w:t>
        </w:r>
      </w:hyperlink>
      <w:r>
        <w:rPr>
          <w:rFonts w:ascii="Arial" w:hAnsi="Arial" w:eastAsia="Arial" w:cs="Arial"/>
          <w:b w:val="false"/>
          <w:bCs w:val="false"/>
          <w:i w:val="false"/>
          <w:iCs w:val="false"/>
          <w:color w:val="1A1A1A"/>
          <w:sz w:val="20"/>
          <w:szCs w:val="20"/>
        </w:rPr>
        <w:t xml:space="preserve"> </w:t>
      </w:r>
      <w:hyperlink w:history="1" r:id="rIdtupuvox8vsa99zfxnbyz5">
        <w:r>
          <w:rPr>
            <w:rStyle w:val="Hyperlink"/>
            <w:rFonts w:ascii="Arial" w:hAnsi="Arial" w:eastAsia="Arial" w:cs="Arial"/>
            <w:b/>
            <w:bCs/>
            <w:sz w:val="16"/>
            <w:szCs w:val="16"/>
          </w:rPr>
          <w:t xml:space="preserve">[18]</w:t>
        </w:r>
      </w:hyperlink>
    </w:p>
    <w:p xmlns:wp14="http://schemas.microsoft.com/office/word/2010/wordml" w14:paraId="1FADF99C" wp14:textId="77777777">
      <w:pPr>
        <w:keepLines/>
        <w:spacing w:after="130" w:line="290"/>
        <w:jc w:val="left"/>
      </w:pPr>
      <w:r>
        <w:rPr>
          <w:rFonts w:ascii="Arial" w:hAnsi="Arial" w:eastAsia="Arial" w:cs="Arial"/>
          <w:b w:val="false"/>
          <w:bCs w:val="false"/>
          <w:i w:val="false"/>
          <w:iCs w:val="false"/>
          <w:color w:val="1A1A1A"/>
          <w:sz w:val="20"/>
          <w:szCs w:val="20"/>
        </w:rPr>
        <w:t xml:space="preserve">This scale matters because Microsoft can bundle capabilities into existing control planes faster than an MSP can defend a manual service line. The strategic stack is converging around:</w:t>
      </w:r>
    </w:p>
    <w:p xmlns:wp14="http://schemas.microsoft.com/office/word/2010/wordml" w14:paraId="1E196E5E"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Microsoft 365 Copilot for user assistance and work context;</w:t>
      </w:r>
    </w:p>
    <w:p xmlns:wp14="http://schemas.microsoft.com/office/word/2010/wordml" w14:paraId="70817E21"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Copilot Studio for low-code agent creation and orchestration;</w:t>
      </w:r>
    </w:p>
    <w:p xmlns:wp14="http://schemas.microsoft.com/office/word/2010/wordml" w14:paraId="448E9EB0"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Agent 365 for agent identity, governance and administration;</w:t>
      </w:r>
    </w:p>
    <w:p xmlns:wp14="http://schemas.microsoft.com/office/word/2010/wordml" w14:paraId="30384551"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Microsoft Security Copilot and security agents;</w:t>
      </w:r>
    </w:p>
    <w:p xmlns:wp14="http://schemas.microsoft.com/office/word/2010/wordml" w14:paraId="71B78C9A"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Azure AI/Foundry capabilities and consumption economics;</w:t>
      </w:r>
    </w:p>
    <w:p xmlns:wp14="http://schemas.microsoft.com/office/word/2010/wordml" w14:paraId="34397F7C"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Dynamics 365, Power Platform and Dataverse for business-process execution.</w:t>
      </w:r>
    </w:p>
    <w:p xmlns:wp14="http://schemas.microsoft.com/office/word/2010/wordml" w14:paraId="5ACEE783" wp14:textId="77777777">
      <w:pPr>
        <w:pStyle w:val="Heading2"/>
      </w:pPr>
      <w:r>
        <w:rPr>
          <w:rFonts w:ascii="Arial" w:hAnsi="Arial" w:eastAsia="Arial" w:cs="Arial"/>
          <w:b/>
          <w:bCs/>
          <w:color w:val="1F8A8A"/>
          <w:sz w:val="25"/>
          <w:szCs w:val="25"/>
        </w:rPr>
        <w:t xml:space="preserve">7.2 Autonomous operations and service substitution</w:t>
      </w:r>
    </w:p>
    <w:p xmlns:wp14="http://schemas.microsoft.com/office/word/2010/wordml" w14:paraId="20960529" wp14:textId="77777777">
      <w:pPr>
        <w:keepLines/>
        <w:spacing w:after="130" w:line="290"/>
        <w:jc w:val="left"/>
      </w:pPr>
      <w:r>
        <w:rPr>
          <w:rFonts w:ascii="Arial" w:hAnsi="Arial" w:eastAsia="Arial" w:cs="Arial"/>
          <w:b w:val="false"/>
          <w:bCs w:val="false"/>
          <w:i w:val="false"/>
          <w:iCs w:val="false"/>
          <w:color w:val="1A1A1A"/>
          <w:sz w:val="20"/>
          <w:szCs w:val="20"/>
        </w:rPr>
        <w:t xml:space="preserve">Copilot Studio guidance supports event-triggered autonomous agents, actions and approval patterns. Microsoft security products increasingly classify, summarize and triage incidents. Administration agents and integrated controls reduce some repetitive setup, investigation and documentation. </w:t>
      </w:r>
      <w:hyperlink w:history="1" r:id="rIdwuvbmdtclhisxcuo6reoy">
        <w:r>
          <w:rPr>
            <w:rStyle w:val="Hyperlink"/>
            <w:rFonts w:ascii="Arial" w:hAnsi="Arial" w:eastAsia="Arial" w:cs="Arial"/>
            <w:b/>
            <w:bCs/>
            <w:sz w:val="16"/>
            <w:szCs w:val="16"/>
          </w:rPr>
          <w:t xml:space="preserve">[20]</w:t>
        </w:r>
      </w:hyperlink>
      <w:r>
        <w:rPr>
          <w:rFonts w:ascii="Arial" w:hAnsi="Arial" w:eastAsia="Arial" w:cs="Arial"/>
          <w:b w:val="false"/>
          <w:bCs w:val="false"/>
          <w:i w:val="false"/>
          <w:iCs w:val="false"/>
          <w:color w:val="1A1A1A"/>
          <w:sz w:val="20"/>
          <w:szCs w:val="20"/>
        </w:rPr>
        <w:t xml:space="preserve"> </w:t>
      </w:r>
      <w:hyperlink w:history="1" r:id="rIdnb2x58j75fjxfc4qlsdzi">
        <w:r>
          <w:rPr>
            <w:rStyle w:val="Hyperlink"/>
            <w:rFonts w:ascii="Arial" w:hAnsi="Arial" w:eastAsia="Arial" w:cs="Arial"/>
            <w:b/>
            <w:bCs/>
            <w:sz w:val="16"/>
            <w:szCs w:val="16"/>
          </w:rPr>
          <w:t xml:space="preserve">[21]</w:t>
        </w:r>
      </w:hyperlink>
      <w:r>
        <w:rPr>
          <w:rFonts w:ascii="Arial" w:hAnsi="Arial" w:eastAsia="Arial" w:cs="Arial"/>
          <w:b w:val="false"/>
          <w:bCs w:val="false"/>
          <w:i w:val="false"/>
          <w:iCs w:val="false"/>
          <w:color w:val="1A1A1A"/>
          <w:sz w:val="20"/>
          <w:szCs w:val="20"/>
        </w:rPr>
        <w:t xml:space="preserve"> </w:t>
      </w:r>
      <w:hyperlink w:history="1" r:id="rIdner7q1haqhgiyrlvisxyc">
        <w:r>
          <w:rPr>
            <w:rStyle w:val="Hyperlink"/>
            <w:rFonts w:ascii="Arial" w:hAnsi="Arial" w:eastAsia="Arial" w:cs="Arial"/>
            <w:b/>
            <w:bCs/>
            <w:sz w:val="16"/>
            <w:szCs w:val="16"/>
          </w:rPr>
          <w:t xml:space="preserve">[22]</w:t>
        </w:r>
      </w:hyperlink>
      <w:r>
        <w:rPr>
          <w:rFonts w:ascii="Arial" w:hAnsi="Arial" w:eastAsia="Arial" w:cs="Arial"/>
          <w:b w:val="false"/>
          <w:bCs w:val="false"/>
          <w:i w:val="false"/>
          <w:iCs w:val="false"/>
          <w:color w:val="1A1A1A"/>
          <w:sz w:val="20"/>
          <w:szCs w:val="20"/>
        </w:rPr>
        <w:t xml:space="preserve"> </w:t>
      </w:r>
      <w:hyperlink w:history="1" r:id="rIdw4iz3m5ck25wro55oqdc5">
        <w:r>
          <w:rPr>
            <w:rStyle w:val="Hyperlink"/>
            <w:rFonts w:ascii="Arial" w:hAnsi="Arial" w:eastAsia="Arial" w:cs="Arial"/>
            <w:b/>
            <w:bCs/>
            <w:sz w:val="16"/>
            <w:szCs w:val="16"/>
          </w:rPr>
          <w:t xml:space="preserve">[42]</w:t>
        </w:r>
      </w:hyperlink>
    </w:p>
    <w:p xmlns:wp14="http://schemas.microsoft.com/office/word/2010/wordml" w14:paraId="0F9C1FE9" wp14:textId="77777777">
      <w:pPr>
        <w:keepLines/>
        <w:spacing w:after="130" w:line="290"/>
        <w:jc w:val="left"/>
      </w:pPr>
      <w:r>
        <w:rPr>
          <w:rFonts w:ascii="Arial" w:hAnsi="Arial" w:eastAsia="Arial" w:cs="Arial"/>
          <w:b w:val="false"/>
          <w:bCs w:val="false"/>
          <w:i w:val="false"/>
          <w:iCs w:val="false"/>
          <w:color w:val="1A1A1A"/>
          <w:sz w:val="20"/>
          <w:szCs w:val="20"/>
        </w:rPr>
        <w:t xml:space="preserve">The traditional work exposed includes password and access workflows, onboarding checklists, common support answers, policy deployment, phishing triage, service documentation, adoption assistance and selected security investigations. Product availability does not mean every tenant is ready. Identity design, permissions, knowledge quality, data loss prevention, environment strategy, testing and oversight remain material.</w:t>
      </w:r>
    </w:p>
    <w:p xmlns:wp14="http://schemas.microsoft.com/office/word/2010/wordml" w14:paraId="2244018C" wp14:textId="77777777">
      <w:pPr>
        <w:pStyle w:val="Heading2"/>
      </w:pPr>
      <w:r>
        <w:rPr>
          <w:rFonts w:ascii="Arial" w:hAnsi="Arial" w:eastAsia="Arial" w:cs="Arial"/>
          <w:b/>
          <w:bCs/>
          <w:color w:val="1F8A8A"/>
          <w:sz w:val="25"/>
          <w:szCs w:val="25"/>
        </w:rPr>
        <w:t xml:space="preserve">7.3 Does Microsoft enable customer self-management?</w:t>
      </w:r>
    </w:p>
    <w:p xmlns:wp14="http://schemas.microsoft.com/office/word/2010/wordml" w14:paraId="0D302599" wp14:textId="77777777">
      <w:pPr>
        <w:keepLines/>
        <w:spacing w:after="130" w:line="290"/>
        <w:jc w:val="left"/>
      </w:pPr>
      <w:r>
        <w:rPr>
          <w:rFonts w:ascii="Arial" w:hAnsi="Arial" w:eastAsia="Arial" w:cs="Arial"/>
          <w:b w:val="false"/>
          <w:bCs w:val="false"/>
          <w:i w:val="false"/>
          <w:iCs w:val="false"/>
          <w:color w:val="1A1A1A"/>
          <w:sz w:val="20"/>
          <w:szCs w:val="20"/>
        </w:rPr>
        <w:t xml:space="preserve">Yes, at bounded layers. Natural-language interfaces, guided configuration, packaged security and autonomous workflows reduce the expertise required for common actions. Customers with mature internal IT can self-serve more; small customers can obtain more capability from the license bundle.</w:t>
      </w:r>
    </w:p>
    <w:p xmlns:wp14="http://schemas.microsoft.com/office/word/2010/wordml" w14:paraId="74230C5A" wp14:textId="77777777">
      <w:pPr>
        <w:keepLines/>
        <w:spacing w:after="130" w:line="290"/>
        <w:jc w:val="left"/>
      </w:pPr>
      <w:r>
        <w:rPr>
          <w:rFonts w:ascii="Arial" w:hAnsi="Arial" w:eastAsia="Arial" w:cs="Arial"/>
          <w:b w:val="false"/>
          <w:bCs w:val="false"/>
          <w:i w:val="false"/>
          <w:iCs w:val="false"/>
          <w:color w:val="1A1A1A"/>
          <w:sz w:val="20"/>
          <w:szCs w:val="20"/>
        </w:rPr>
        <w:t xml:space="preserve">No, in the sense of eliminating the need for accountable operations. More agents create more identities, permissions, data pathways, consumption, exceptions and governance obligations. The customer still needs someone to design the operating model, integrate systems, supervise automation, measure outcomes and respond when controls fail.</w:t>
      </w:r>
    </w:p>
    <w:p xmlns:wp14="http://schemas.microsoft.com/office/word/2010/wordml" w14:paraId="2F83CBD7" wp14:textId="77777777">
      <w:pPr>
        <w:keepLines/>
        <w:spacing w:after="130" w:line="290"/>
        <w:jc w:val="left"/>
      </w:pPr>
      <w:r>
        <w:rPr>
          <w:rFonts w:ascii="Arial" w:hAnsi="Arial" w:eastAsia="Arial" w:cs="Arial"/>
          <w:b w:val="false"/>
          <w:bCs w:val="false"/>
          <w:i w:val="false"/>
          <w:iCs w:val="false"/>
          <w:color w:val="1A1A1A"/>
          <w:sz w:val="20"/>
          <w:szCs w:val="20"/>
        </w:rPr>
        <w:t xml:space="preserve">The effect on partners is therefore simultaneous enablement and disintermediation:</w:t>
      </w:r>
    </w:p>
    <w:tbl>
      <w:tblPr>
        <w:tblW w:w="10656" w:type="dxa"/>
        <w:tblBorders>
          <w:top w:val="single" w:color="auto" w:sz="4"/>
          <w:left w:val="single" w:color="auto" w:sz="4"/>
          <w:bottom w:val="single" w:color="auto" w:sz="4"/>
          <w:right w:val="single" w:color="auto" w:sz="4"/>
          <w:insideH w:val="single" w:color="auto" w:sz="4"/>
          <w:insideV w:val="single" w:color="auto" w:sz="4"/>
        </w:tblBorders>
      </w:tblPr>
      <w:tblGrid>
        <w:gridCol w:w="3552"/>
        <w:gridCol w:w="3552"/>
        <w:gridCol w:w="3552"/>
      </w:tblGrid>
      <w:tr xmlns:wp14="http://schemas.microsoft.com/office/word/2010/wordml" w14:paraId="5491583B" wp14:textId="77777777">
        <w:trPr>
          <w:cantSplit/>
          <w:tblHeader/>
        </w:trPr>
        <w:tc>
          <w:tcPr>
            <w:tcW w:w="3552"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1D1FDCC7" wp14:textId="77777777">
            <w:pPr>
              <w:spacing w:after="0" w:line="220"/>
            </w:pPr>
            <w:r>
              <w:rPr>
                <w:rFonts w:ascii="Arial" w:hAnsi="Arial" w:eastAsia="Arial" w:cs="Arial"/>
                <w:b/>
                <w:bCs/>
                <w:i w:val="false"/>
                <w:iCs w:val="false"/>
                <w:color w:val="FFFFFF"/>
                <w:sz w:val="17"/>
                <w:szCs w:val="17"/>
              </w:rPr>
              <w:t xml:space="preserve">Microsoft movement</w:t>
            </w:r>
          </w:p>
        </w:tc>
        <w:tc>
          <w:tcPr>
            <w:tcW w:w="3552"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2608CF9A" wp14:textId="77777777">
            <w:pPr>
              <w:spacing w:after="0" w:line="220"/>
            </w:pPr>
            <w:r>
              <w:rPr>
                <w:rFonts w:ascii="Arial" w:hAnsi="Arial" w:eastAsia="Arial" w:cs="Arial"/>
                <w:b/>
                <w:bCs/>
                <w:i w:val="false"/>
                <w:iCs w:val="false"/>
                <w:color w:val="FFFFFF"/>
                <w:sz w:val="17"/>
                <w:szCs w:val="17"/>
              </w:rPr>
              <w:t xml:space="preserve">Traditional work pressured</w:t>
            </w:r>
          </w:p>
        </w:tc>
        <w:tc>
          <w:tcPr>
            <w:tcW w:w="3552"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13F651B1" wp14:textId="77777777">
            <w:pPr>
              <w:spacing w:after="0" w:line="220"/>
            </w:pPr>
            <w:r>
              <w:rPr>
                <w:rFonts w:ascii="Arial" w:hAnsi="Arial" w:eastAsia="Arial" w:cs="Arial"/>
                <w:b/>
                <w:bCs/>
                <w:i w:val="false"/>
                <w:iCs w:val="false"/>
                <w:color w:val="FFFFFF"/>
                <w:sz w:val="17"/>
                <w:szCs w:val="17"/>
              </w:rPr>
              <w:t xml:space="preserve">Partner value that can expand</w:t>
            </w:r>
          </w:p>
        </w:tc>
      </w:tr>
      <w:tr xmlns:wp14="http://schemas.microsoft.com/office/word/2010/wordml" w14:paraId="24D3CA4E"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4DAC7FF3" wp14:textId="77777777">
            <w:pPr>
              <w:spacing w:after="0" w:line="220"/>
            </w:pPr>
            <w:r>
              <w:rPr>
                <w:rFonts w:ascii="Arial" w:hAnsi="Arial" w:eastAsia="Arial" w:cs="Arial"/>
                <w:b w:val="false"/>
                <w:bCs w:val="false"/>
                <w:i w:val="false"/>
                <w:iCs w:val="false"/>
                <w:color w:val="1A1A1A"/>
                <w:sz w:val="17"/>
                <w:szCs w:val="17"/>
              </w:rPr>
              <w:t xml:space="preserve">Copilot embedded in work</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6E2D64A5" wp14:textId="77777777">
            <w:pPr>
              <w:spacing w:after="0" w:line="220"/>
            </w:pPr>
            <w:r>
              <w:rPr>
                <w:rFonts w:ascii="Arial" w:hAnsi="Arial" w:eastAsia="Arial" w:cs="Arial"/>
                <w:b w:val="false"/>
                <w:bCs w:val="false"/>
                <w:i w:val="false"/>
                <w:iCs w:val="false"/>
                <w:color w:val="1A1A1A"/>
                <w:sz w:val="17"/>
                <w:szCs w:val="17"/>
              </w:rPr>
              <w:t xml:space="preserve">Training events, content drafting, basic assistance</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722392A9" wp14:textId="77777777">
            <w:pPr>
              <w:spacing w:after="0" w:line="220"/>
            </w:pPr>
            <w:r>
              <w:rPr>
                <w:rFonts w:ascii="Arial" w:hAnsi="Arial" w:eastAsia="Arial" w:cs="Arial"/>
                <w:b w:val="false"/>
                <w:bCs w:val="false"/>
                <w:i w:val="false"/>
                <w:iCs w:val="false"/>
                <w:color w:val="1A1A1A"/>
                <w:sz w:val="17"/>
                <w:szCs w:val="17"/>
              </w:rPr>
              <w:t xml:space="preserve">Adoption, workflow redesign, measurement, change management</w:t>
            </w:r>
          </w:p>
        </w:tc>
      </w:tr>
      <w:tr xmlns:wp14="http://schemas.microsoft.com/office/word/2010/wordml" w14:paraId="14FF3B64"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3D4E39F" wp14:textId="77777777">
            <w:pPr>
              <w:spacing w:after="0" w:line="220"/>
            </w:pPr>
            <w:r>
              <w:rPr>
                <w:rFonts w:ascii="Arial" w:hAnsi="Arial" w:eastAsia="Arial" w:cs="Arial"/>
                <w:b w:val="false"/>
                <w:bCs w:val="false"/>
                <w:i w:val="false"/>
                <w:iCs w:val="false"/>
                <w:color w:val="1A1A1A"/>
                <w:sz w:val="17"/>
                <w:szCs w:val="17"/>
              </w:rPr>
              <w:t xml:space="preserve">Copilot Studio / agents</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3BD5532" wp14:textId="77777777">
            <w:pPr>
              <w:spacing w:after="0" w:line="220"/>
            </w:pPr>
            <w:r>
              <w:rPr>
                <w:rFonts w:ascii="Arial" w:hAnsi="Arial" w:eastAsia="Arial" w:cs="Arial"/>
                <w:b w:val="false"/>
                <w:bCs w:val="false"/>
                <w:i w:val="false"/>
                <w:iCs w:val="false"/>
                <w:color w:val="1A1A1A"/>
                <w:sz w:val="17"/>
                <w:szCs w:val="17"/>
              </w:rPr>
              <w:t xml:space="preserve">Manual workflow execution, simple service requests</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378C9C8" wp14:textId="77777777">
            <w:pPr>
              <w:spacing w:after="0" w:line="220"/>
            </w:pPr>
            <w:r>
              <w:rPr>
                <w:rFonts w:ascii="Arial" w:hAnsi="Arial" w:eastAsia="Arial" w:cs="Arial"/>
                <w:b w:val="false"/>
                <w:bCs w:val="false"/>
                <w:i w:val="false"/>
                <w:iCs w:val="false"/>
                <w:color w:val="1A1A1A"/>
                <w:sz w:val="17"/>
                <w:szCs w:val="17"/>
              </w:rPr>
              <w:t xml:space="preserve">Agent design, integration, testing, lifecycle management</w:t>
            </w:r>
          </w:p>
        </w:tc>
      </w:tr>
      <w:tr xmlns:wp14="http://schemas.microsoft.com/office/word/2010/wordml" w14:paraId="52A90105"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53DA1347" wp14:textId="77777777">
            <w:pPr>
              <w:spacing w:after="0" w:line="220"/>
            </w:pPr>
            <w:r>
              <w:rPr>
                <w:rFonts w:ascii="Arial" w:hAnsi="Arial" w:eastAsia="Arial" w:cs="Arial"/>
                <w:b w:val="false"/>
                <w:bCs w:val="false"/>
                <w:i w:val="false"/>
                <w:iCs w:val="false"/>
                <w:color w:val="1A1A1A"/>
                <w:sz w:val="17"/>
                <w:szCs w:val="17"/>
              </w:rPr>
              <w:t xml:space="preserve">Agent 365 control plane</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1CE0F9D" wp14:textId="77777777">
            <w:pPr>
              <w:spacing w:after="0" w:line="220"/>
            </w:pPr>
            <w:r>
              <w:rPr>
                <w:rFonts w:ascii="Arial" w:hAnsi="Arial" w:eastAsia="Arial" w:cs="Arial"/>
                <w:b w:val="false"/>
                <w:bCs w:val="false"/>
                <w:i w:val="false"/>
                <w:iCs w:val="false"/>
                <w:color w:val="1A1A1A"/>
                <w:sz w:val="17"/>
                <w:szCs w:val="17"/>
              </w:rPr>
              <w:t xml:space="preserve">Ad hoc agent inventory and permissions</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DCFFE1A" wp14:textId="77777777">
            <w:pPr>
              <w:spacing w:after="0" w:line="220"/>
            </w:pPr>
            <w:r>
              <w:rPr>
                <w:rFonts w:ascii="Arial" w:hAnsi="Arial" w:eastAsia="Arial" w:cs="Arial"/>
                <w:b w:val="false"/>
                <w:bCs w:val="false"/>
                <w:i w:val="false"/>
                <w:iCs w:val="false"/>
                <w:color w:val="1A1A1A"/>
                <w:sz w:val="17"/>
                <w:szCs w:val="17"/>
              </w:rPr>
              <w:t xml:space="preserve">Managed agent governance, identity, compliance, chargeback</w:t>
            </w:r>
          </w:p>
        </w:tc>
      </w:tr>
      <w:tr xmlns:wp14="http://schemas.microsoft.com/office/word/2010/wordml" w14:paraId="1714F702"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04F540A8" wp14:textId="77777777">
            <w:pPr>
              <w:spacing w:after="0" w:line="220"/>
            </w:pPr>
            <w:r>
              <w:rPr>
                <w:rFonts w:ascii="Arial" w:hAnsi="Arial" w:eastAsia="Arial" w:cs="Arial"/>
                <w:b w:val="false"/>
                <w:bCs w:val="false"/>
                <w:i w:val="false"/>
                <w:iCs w:val="false"/>
                <w:color w:val="1A1A1A"/>
                <w:sz w:val="17"/>
                <w:szCs w:val="17"/>
              </w:rPr>
              <w:t xml:space="preserve">Security integration</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11E724B7" wp14:textId="77777777">
            <w:pPr>
              <w:spacing w:after="0" w:line="220"/>
            </w:pPr>
            <w:r>
              <w:rPr>
                <w:rFonts w:ascii="Arial" w:hAnsi="Arial" w:eastAsia="Arial" w:cs="Arial"/>
                <w:b w:val="false"/>
                <w:bCs w:val="false"/>
                <w:i w:val="false"/>
                <w:iCs w:val="false"/>
                <w:color w:val="1A1A1A"/>
                <w:sz w:val="17"/>
                <w:szCs w:val="17"/>
              </w:rPr>
              <w:t xml:space="preserve">Alert review, basic triage and reporting</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10842869" wp14:textId="77777777">
            <w:pPr>
              <w:spacing w:after="0" w:line="220"/>
            </w:pPr>
            <w:r>
              <w:rPr>
                <w:rFonts w:ascii="Arial" w:hAnsi="Arial" w:eastAsia="Arial" w:cs="Arial"/>
                <w:b w:val="false"/>
                <w:bCs w:val="false"/>
                <w:i w:val="false"/>
                <w:iCs w:val="false"/>
                <w:color w:val="1A1A1A"/>
                <w:sz w:val="17"/>
                <w:szCs w:val="17"/>
              </w:rPr>
              <w:t xml:space="preserve">Detection engineering, incident command, assurance, multi-vendor integration</w:t>
            </w:r>
          </w:p>
        </w:tc>
      </w:tr>
      <w:tr xmlns:wp14="http://schemas.microsoft.com/office/word/2010/wordml" w14:paraId="75D86D10"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68DF087E" wp14:textId="77777777">
            <w:pPr>
              <w:spacing w:after="0" w:line="220"/>
            </w:pPr>
            <w:r>
              <w:rPr>
                <w:rFonts w:ascii="Arial" w:hAnsi="Arial" w:eastAsia="Arial" w:cs="Arial"/>
                <w:b w:val="false"/>
                <w:bCs w:val="false"/>
                <w:i w:val="false"/>
                <w:iCs w:val="false"/>
                <w:color w:val="1A1A1A"/>
                <w:sz w:val="17"/>
                <w:szCs w:val="17"/>
              </w:rPr>
              <w:t xml:space="preserve">Seats plus consumption</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597AD9F7" wp14:textId="77777777">
            <w:pPr>
              <w:spacing w:after="0" w:line="220"/>
            </w:pPr>
            <w:r>
              <w:rPr>
                <w:rFonts w:ascii="Arial" w:hAnsi="Arial" w:eastAsia="Arial" w:cs="Arial"/>
                <w:b w:val="false"/>
                <w:bCs w:val="false"/>
                <w:i w:val="false"/>
                <w:iCs w:val="false"/>
                <w:color w:val="1A1A1A"/>
                <w:sz w:val="17"/>
                <w:szCs w:val="17"/>
              </w:rPr>
              <w:t xml:space="preserve">Static license-only margin</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F9158BC" wp14:textId="77777777">
            <w:pPr>
              <w:spacing w:after="0" w:line="220"/>
            </w:pPr>
            <w:r>
              <w:rPr>
                <w:rFonts w:ascii="Arial" w:hAnsi="Arial" w:eastAsia="Arial" w:cs="Arial"/>
                <w:b w:val="false"/>
                <w:bCs w:val="false"/>
                <w:i w:val="false"/>
                <w:iCs w:val="false"/>
                <w:color w:val="1A1A1A"/>
                <w:sz w:val="17"/>
                <w:szCs w:val="17"/>
              </w:rPr>
              <w:t xml:space="preserve">FinOps, capacity management, optimization and managed AI operations</w:t>
            </w:r>
          </w:p>
        </w:tc>
      </w:tr>
      <w:tr xmlns:wp14="http://schemas.microsoft.com/office/word/2010/wordml" w14:paraId="1D63DBFF"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5821CB95" wp14:textId="77777777">
            <w:pPr>
              <w:spacing w:after="0" w:line="220"/>
            </w:pPr>
            <w:r>
              <w:rPr>
                <w:rFonts w:ascii="Arial" w:hAnsi="Arial" w:eastAsia="Arial" w:cs="Arial"/>
                <w:b w:val="false"/>
                <w:bCs w:val="false"/>
                <w:i w:val="false"/>
                <w:iCs w:val="false"/>
                <w:color w:val="1A1A1A"/>
                <w:sz w:val="17"/>
                <w:szCs w:val="17"/>
              </w:rPr>
              <w:t xml:space="preserve">Business-app convergence</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651B48B5" wp14:textId="77777777">
            <w:pPr>
              <w:spacing w:after="0" w:line="220"/>
            </w:pPr>
            <w:r>
              <w:rPr>
                <w:rFonts w:ascii="Arial" w:hAnsi="Arial" w:eastAsia="Arial" w:cs="Arial"/>
                <w:b w:val="false"/>
                <w:bCs w:val="false"/>
                <w:i w:val="false"/>
                <w:iCs w:val="false"/>
                <w:color w:val="1A1A1A"/>
                <w:sz w:val="17"/>
                <w:szCs w:val="17"/>
              </w:rPr>
              <w:t xml:space="preserve">Siloed Microsoft 365 administration</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656E80E8" wp14:textId="77777777">
            <w:pPr>
              <w:spacing w:after="0" w:line="220"/>
            </w:pPr>
            <w:r>
              <w:rPr>
                <w:rFonts w:ascii="Arial" w:hAnsi="Arial" w:eastAsia="Arial" w:cs="Arial"/>
                <w:b w:val="false"/>
                <w:bCs w:val="false"/>
                <w:i w:val="false"/>
                <w:iCs w:val="false"/>
                <w:color w:val="1A1A1A"/>
                <w:sz w:val="17"/>
                <w:szCs w:val="17"/>
              </w:rPr>
              <w:t xml:space="preserve">Cross-functional process transformation and data services</w:t>
            </w:r>
          </w:p>
        </w:tc>
      </w:tr>
    </w:tbl>
    <w:p xmlns:wp14="http://schemas.microsoft.com/office/word/2010/wordml" w14:paraId="0D0B940D" wp14:textId="77777777">
      <w:pPr>
        <w:spacing w:after="120"/>
      </w:pPr>
    </w:p>
    <w:p xmlns:wp14="http://schemas.microsoft.com/office/word/2010/wordml" w14:paraId="62EAFC2C" wp14:textId="77777777">
      <w:pPr>
        <w:pStyle w:val="Heading2"/>
      </w:pPr>
      <w:r>
        <w:rPr>
          <w:rFonts w:ascii="Arial" w:hAnsi="Arial" w:eastAsia="Arial" w:cs="Arial"/>
          <w:b/>
          <w:bCs/>
          <w:color w:val="1F8A8A"/>
          <w:sz w:val="25"/>
          <w:szCs w:val="25"/>
        </w:rPr>
        <w:t xml:space="preserve">7.4 Partner-program direction</w:t>
      </w:r>
    </w:p>
    <w:p xmlns:wp14="http://schemas.microsoft.com/office/word/2010/wordml" w14:paraId="613F70E9" wp14:textId="77777777">
      <w:pPr>
        <w:keepLines/>
        <w:spacing w:after="130" w:line="290"/>
        <w:jc w:val="left"/>
      </w:pPr>
      <w:r>
        <w:rPr>
          <w:rFonts w:ascii="Arial" w:hAnsi="Arial" w:eastAsia="Arial" w:cs="Arial"/>
          <w:b w:val="false"/>
          <w:bCs w:val="false"/>
          <w:i w:val="false"/>
          <w:iCs w:val="false"/>
          <w:color w:val="1A1A1A"/>
          <w:sz w:val="20"/>
          <w:szCs w:val="20"/>
        </w:rPr>
        <w:t xml:space="preserve">Microsoft's 2026 partner communications explicitly frame Agent 365 and Microsoft 365 E7 as service opportunities around advisory, adoption, governance, integration and managed services. Partner Center updates also continue to move commerce toward marketplace, consumption, specializations and net-new workload incentives. </w:t>
      </w:r>
      <w:hyperlink w:history="1" r:id="rIdhh7harrdsmhe-mfv6hnmz">
        <w:r>
          <w:rPr>
            <w:rStyle w:val="Hyperlink"/>
            <w:rFonts w:ascii="Arial" w:hAnsi="Arial" w:eastAsia="Arial" w:cs="Arial"/>
            <w:b/>
            <w:bCs/>
            <w:sz w:val="16"/>
            <w:szCs w:val="16"/>
          </w:rPr>
          <w:t xml:space="preserve">[23]</w:t>
        </w:r>
      </w:hyperlink>
      <w:r>
        <w:rPr>
          <w:rFonts w:ascii="Arial" w:hAnsi="Arial" w:eastAsia="Arial" w:cs="Arial"/>
          <w:b w:val="false"/>
          <w:bCs w:val="false"/>
          <w:i w:val="false"/>
          <w:iCs w:val="false"/>
          <w:color w:val="1A1A1A"/>
          <w:sz w:val="20"/>
          <w:szCs w:val="20"/>
        </w:rPr>
        <w:t xml:space="preserve"> </w:t>
      </w:r>
      <w:hyperlink w:history="1" r:id="rIdcgasldwggir34ulmwqdka">
        <w:r>
          <w:rPr>
            <w:rStyle w:val="Hyperlink"/>
            <w:rFonts w:ascii="Arial" w:hAnsi="Arial" w:eastAsia="Arial" w:cs="Arial"/>
            <w:b/>
            <w:bCs/>
            <w:sz w:val="16"/>
            <w:szCs w:val="16"/>
          </w:rPr>
          <w:t xml:space="preserve">[24]</w:t>
        </w:r>
      </w:hyperlink>
      <w:r>
        <w:rPr>
          <w:rFonts w:ascii="Arial" w:hAnsi="Arial" w:eastAsia="Arial" w:cs="Arial"/>
          <w:b w:val="false"/>
          <w:bCs w:val="false"/>
          <w:i w:val="false"/>
          <w:iCs w:val="false"/>
          <w:color w:val="1A1A1A"/>
          <w:sz w:val="20"/>
          <w:szCs w:val="20"/>
        </w:rPr>
        <w:t xml:space="preserve"> </w:t>
      </w:r>
      <w:hyperlink w:history="1" r:id="rIdtp1a5oqs6ediu1dghcxyl">
        <w:r>
          <w:rPr>
            <w:rStyle w:val="Hyperlink"/>
            <w:rFonts w:ascii="Arial" w:hAnsi="Arial" w:eastAsia="Arial" w:cs="Arial"/>
            <w:b/>
            <w:bCs/>
            <w:sz w:val="16"/>
            <w:szCs w:val="16"/>
          </w:rPr>
          <w:t xml:space="preserve">[39]</w:t>
        </w:r>
      </w:hyperlink>
    </w:p>
    <w:p xmlns:wp14="http://schemas.microsoft.com/office/word/2010/wordml" w14:paraId="7211AB9C" wp14:textId="77777777">
      <w:pPr>
        <w:keepLines/>
        <w:spacing w:after="130" w:line="290"/>
        <w:jc w:val="left"/>
      </w:pPr>
      <w:r>
        <w:rPr>
          <w:rFonts w:ascii="Arial" w:hAnsi="Arial" w:eastAsia="Arial" w:cs="Arial"/>
          <w:b w:val="false"/>
          <w:bCs w:val="false"/>
          <w:i w:val="false"/>
          <w:iCs w:val="false"/>
          <w:color w:val="1A1A1A"/>
          <w:sz w:val="20"/>
          <w:szCs w:val="20"/>
        </w:rPr>
        <w:t xml:space="preserve">The implication is not that Microsoft is abandoning partners. It is changing what a valuable partner does. Routine renewal and administration are less strategically protected than demand creation, deployment quality, security, governance and consumption growth. A partner that remains a license intermediary plus help desk is aligned with the least differentiated layer of the strategy.</w:t>
      </w:r>
    </w:p>
    <w:p xmlns:wp14="http://schemas.microsoft.com/office/word/2010/wordml" w14:paraId="653D4E8A" wp14:textId="77777777">
      <w:pPr>
        <w:pStyle w:val="Heading2"/>
      </w:pPr>
      <w:r>
        <w:rPr>
          <w:rFonts w:ascii="Arial" w:hAnsi="Arial" w:eastAsia="Arial" w:cs="Arial"/>
          <w:b/>
          <w:bCs/>
          <w:color w:val="1F8A8A"/>
          <w:sz w:val="25"/>
          <w:szCs w:val="25"/>
        </w:rPr>
        <w:t xml:space="preserve">7.5 Board conclusion on Microsoft</w:t>
      </w:r>
    </w:p>
    <w:p xmlns:wp14="http://schemas.microsoft.com/office/word/2010/wordml" w14:paraId="674CD87F" wp14:textId="77777777">
      <w:pPr>
        <w:keepLines/>
        <w:spacing w:after="130" w:line="290"/>
        <w:jc w:val="left"/>
      </w:pPr>
      <w:r>
        <w:rPr>
          <w:rFonts w:ascii="Arial" w:hAnsi="Arial" w:eastAsia="Arial" w:cs="Arial"/>
          <w:b w:val="false"/>
          <w:bCs w:val="false"/>
          <w:i w:val="false"/>
          <w:iCs w:val="false"/>
          <w:color w:val="1A1A1A"/>
          <w:sz w:val="20"/>
          <w:szCs w:val="20"/>
        </w:rPr>
        <w:t xml:space="preserve">Microsoft increases the addressable market for capable MSPs while reducing the standalone value of traditional MSP tasks. The winners will make the Microsoft control plane operational for customers; the losers will charge for labor that the control plane increasingly performs.</w:t>
      </w:r>
    </w:p>
    <w:p xmlns:wp14="http://schemas.microsoft.com/office/word/2010/wordml" w14:paraId="5A32919E" wp14:textId="77777777">
      <w:pPr>
        <w:pStyle w:val="Heading1"/>
        <w:pageBreakBefore/>
      </w:pPr>
      <w:r>
        <w:rPr>
          <w:rFonts w:ascii="Arial" w:hAnsi="Arial" w:eastAsia="Arial" w:cs="Arial"/>
          <w:b/>
          <w:bCs/>
          <w:color w:val="173F5F"/>
          <w:sz w:val="30"/>
          <w:szCs w:val="30"/>
        </w:rPr>
        <w:t xml:space="preserve">8. AI Impact Analysis</w:t>
      </w:r>
    </w:p>
    <w:p xmlns:wp14="http://schemas.microsoft.com/office/word/2010/wordml" w14:paraId="58385F3C" wp14:textId="77777777">
      <w:pPr>
        <w:pStyle w:val="Heading2"/>
      </w:pPr>
      <w:r>
        <w:rPr>
          <w:rFonts w:ascii="Arial" w:hAnsi="Arial" w:eastAsia="Arial" w:cs="Arial"/>
          <w:b/>
          <w:bCs/>
          <w:color w:val="1F8A8A"/>
          <w:sz w:val="25"/>
          <w:szCs w:val="25"/>
        </w:rPr>
        <w:t xml:space="preserve">8.1 Task exposure, not job replacement</w:t>
      </w:r>
    </w:p>
    <w:p xmlns:wp14="http://schemas.microsoft.com/office/word/2010/wordml" w14:paraId="0E59903F" wp14:textId="77777777">
      <w:pPr>
        <w:keepLines/>
        <w:spacing w:after="130" w:line="290"/>
        <w:jc w:val="left"/>
      </w:pPr>
      <w:r>
        <w:rPr>
          <w:rFonts w:ascii="Arial" w:hAnsi="Arial" w:eastAsia="Arial" w:cs="Arial"/>
          <w:b w:val="false"/>
          <w:bCs w:val="false"/>
          <w:i w:val="false"/>
          <w:iCs w:val="false"/>
          <w:color w:val="1A1A1A"/>
          <w:sz w:val="20"/>
          <w:szCs w:val="20"/>
        </w:rPr>
        <w:t xml:space="preserve">The most defensible method is to decompose services into tasks. Technical exposure is the share that tools can plausibly perform; realized labor impact is lower because of exceptions, quality review, customer-specific context and demand growth.</w:t>
      </w:r>
    </w:p>
    <w:tbl>
      <w:tblPr>
        <w:tblW w:w="10656" w:type="dxa"/>
        <w:tblBorders>
          <w:top w:val="single" w:color="auto" w:sz="4"/>
          <w:left w:val="single" w:color="auto" w:sz="4"/>
          <w:bottom w:val="single" w:color="auto" w:sz="4"/>
          <w:right w:val="single" w:color="auto" w:sz="4"/>
          <w:insideH w:val="single" w:color="auto" w:sz="4"/>
          <w:insideV w:val="single" w:color="auto" w:sz="4"/>
        </w:tblBorders>
      </w:tblPr>
      <w:tblGrid>
        <w:gridCol w:w="2664"/>
        <w:gridCol w:w="2664"/>
        <w:gridCol w:w="2664"/>
        <w:gridCol w:w="2664"/>
      </w:tblGrid>
      <w:tr xmlns:wp14="http://schemas.microsoft.com/office/word/2010/wordml" w14:paraId="305FD90A" wp14:textId="77777777">
        <w:trPr>
          <w:cantSplit/>
          <w:tblHeader/>
        </w:trPr>
        <w:tc>
          <w:tcPr>
            <w:tcW w:w="2664"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03380077" wp14:textId="77777777">
            <w:pPr>
              <w:spacing w:after="0" w:line="220"/>
            </w:pPr>
            <w:r>
              <w:rPr>
                <w:rFonts w:ascii="Arial" w:hAnsi="Arial" w:eastAsia="Arial" w:cs="Arial"/>
                <w:b/>
                <w:bCs/>
                <w:i w:val="false"/>
                <w:iCs w:val="false"/>
                <w:color w:val="FFFFFF"/>
                <w:sz w:val="17"/>
                <w:szCs w:val="17"/>
              </w:rPr>
              <w:t xml:space="preserve">Service activity</w:t>
            </w:r>
          </w:p>
        </w:tc>
        <w:tc>
          <w:tcPr>
            <w:tcW w:w="2664"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570B0189" wp14:textId="77777777">
            <w:pPr>
              <w:spacing w:after="0" w:line="220"/>
            </w:pPr>
            <w:r>
              <w:rPr>
                <w:rFonts w:ascii="Arial" w:hAnsi="Arial" w:eastAsia="Arial" w:cs="Arial"/>
                <w:b/>
                <w:bCs/>
                <w:i w:val="false"/>
                <w:iCs w:val="false"/>
                <w:color w:val="FFFFFF"/>
                <w:sz w:val="17"/>
                <w:szCs w:val="17"/>
              </w:rPr>
              <w:t xml:space="preserve">2030 task exposure, analyst range</w:t>
            </w:r>
          </w:p>
        </w:tc>
        <w:tc>
          <w:tcPr>
            <w:tcW w:w="2664"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3DFA0514" wp14:textId="77777777">
            <w:pPr>
              <w:spacing w:after="0" w:line="220"/>
            </w:pPr>
            <w:r>
              <w:rPr>
                <w:rFonts w:ascii="Arial" w:hAnsi="Arial" w:eastAsia="Arial" w:cs="Arial"/>
                <w:b/>
                <w:bCs/>
                <w:i w:val="false"/>
                <w:iCs w:val="false"/>
                <w:color w:val="FFFFFF"/>
                <w:sz w:val="17"/>
                <w:szCs w:val="17"/>
              </w:rPr>
              <w:t xml:space="preserve">Likely human role retained</w:t>
            </w:r>
          </w:p>
        </w:tc>
        <w:tc>
          <w:tcPr>
            <w:tcW w:w="2664"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5F6B2661" wp14:textId="77777777">
            <w:pPr>
              <w:spacing w:after="0" w:line="220"/>
            </w:pPr>
            <w:r>
              <w:rPr>
                <w:rFonts w:ascii="Arial" w:hAnsi="Arial" w:eastAsia="Arial" w:cs="Arial"/>
                <w:b/>
                <w:bCs/>
                <w:i w:val="false"/>
                <w:iCs w:val="false"/>
                <w:color w:val="FFFFFF"/>
                <w:sz w:val="17"/>
                <w:szCs w:val="17"/>
              </w:rPr>
              <w:t xml:space="preserve">Confidence</w:t>
            </w:r>
          </w:p>
        </w:tc>
      </w:tr>
      <w:tr xmlns:wp14="http://schemas.microsoft.com/office/word/2010/wordml" w14:paraId="4266F497"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09E779F3" wp14:textId="77777777">
            <w:pPr>
              <w:spacing w:after="0" w:line="220"/>
            </w:pPr>
            <w:r>
              <w:rPr>
                <w:rFonts w:ascii="Arial" w:hAnsi="Arial" w:eastAsia="Arial" w:cs="Arial"/>
                <w:b w:val="false"/>
                <w:bCs w:val="false"/>
                <w:i w:val="false"/>
                <w:iCs w:val="false"/>
                <w:color w:val="1A1A1A"/>
                <w:sz w:val="17"/>
                <w:szCs w:val="17"/>
              </w:rPr>
              <w:t xml:space="preserve">Level-1 support and common requests</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FA0A670" wp14:textId="77777777">
            <w:pPr>
              <w:spacing w:after="0" w:line="220"/>
            </w:pPr>
            <w:r>
              <w:rPr>
                <w:rFonts w:ascii="Arial" w:hAnsi="Arial" w:eastAsia="Arial" w:cs="Arial"/>
                <w:b w:val="false"/>
                <w:bCs w:val="false"/>
                <w:i w:val="false"/>
                <w:iCs w:val="false"/>
                <w:color w:val="1A1A1A"/>
                <w:sz w:val="17"/>
                <w:szCs w:val="17"/>
              </w:rPr>
              <w:t xml:space="preserve">70–90%</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3296229" wp14:textId="77777777">
            <w:pPr>
              <w:spacing w:after="0" w:line="220"/>
            </w:pPr>
            <w:r>
              <w:rPr>
                <w:rFonts w:ascii="Arial" w:hAnsi="Arial" w:eastAsia="Arial" w:cs="Arial"/>
                <w:b w:val="false"/>
                <w:bCs w:val="false"/>
                <w:i w:val="false"/>
                <w:iCs w:val="false"/>
                <w:color w:val="1A1A1A"/>
                <w:sz w:val="17"/>
                <w:szCs w:val="17"/>
              </w:rPr>
              <w:t xml:space="preserve">Exception handling, empathy, approvals, novel diagnosis</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BB5DB33" wp14:textId="77777777">
            <w:pPr>
              <w:spacing w:after="0" w:line="220"/>
            </w:pPr>
            <w:r>
              <w:rPr>
                <w:rFonts w:ascii="Arial" w:hAnsi="Arial" w:eastAsia="Arial" w:cs="Arial"/>
                <w:b w:val="false"/>
                <w:bCs w:val="false"/>
                <w:i w:val="false"/>
                <w:iCs w:val="false"/>
                <w:color w:val="1A1A1A"/>
                <w:sz w:val="17"/>
                <w:szCs w:val="17"/>
              </w:rPr>
              <w:t xml:space="preserve">High direction / medium magnitude</w:t>
            </w:r>
          </w:p>
        </w:tc>
      </w:tr>
      <w:tr xmlns:wp14="http://schemas.microsoft.com/office/word/2010/wordml" w14:paraId="73FE3B66"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5AC59764" wp14:textId="77777777">
            <w:pPr>
              <w:spacing w:after="0" w:line="220"/>
            </w:pPr>
            <w:r>
              <w:rPr>
                <w:rFonts w:ascii="Arial" w:hAnsi="Arial" w:eastAsia="Arial" w:cs="Arial"/>
                <w:b w:val="false"/>
                <w:bCs w:val="false"/>
                <w:i w:val="false"/>
                <w:iCs w:val="false"/>
                <w:color w:val="1A1A1A"/>
                <w:sz w:val="17"/>
                <w:szCs w:val="17"/>
              </w:rPr>
              <w:t xml:space="preserve">Level-2 diagnosis</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6F0310C9" wp14:textId="77777777">
            <w:pPr>
              <w:spacing w:after="0" w:line="220"/>
            </w:pPr>
            <w:r>
              <w:rPr>
                <w:rFonts w:ascii="Arial" w:hAnsi="Arial" w:eastAsia="Arial" w:cs="Arial"/>
                <w:b w:val="false"/>
                <w:bCs w:val="false"/>
                <w:i w:val="false"/>
                <w:iCs w:val="false"/>
                <w:color w:val="1A1A1A"/>
                <w:sz w:val="17"/>
                <w:szCs w:val="17"/>
              </w:rPr>
              <w:t xml:space="preserve">35–60%</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06EDCC60" wp14:textId="77777777">
            <w:pPr>
              <w:spacing w:after="0" w:line="220"/>
            </w:pPr>
            <w:r>
              <w:rPr>
                <w:rFonts w:ascii="Arial" w:hAnsi="Arial" w:eastAsia="Arial" w:cs="Arial"/>
                <w:b w:val="false"/>
                <w:bCs w:val="false"/>
                <w:i w:val="false"/>
                <w:iCs w:val="false"/>
                <w:color w:val="1A1A1A"/>
                <w:sz w:val="17"/>
                <w:szCs w:val="17"/>
              </w:rPr>
              <w:t xml:space="preserve">Cross-system reasoning, remediation authority, customer context</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19497B9C" wp14:textId="77777777">
            <w:pPr>
              <w:spacing w:after="0" w:line="220"/>
            </w:pPr>
            <w:r>
              <w:rPr>
                <w:rFonts w:ascii="Arial" w:hAnsi="Arial" w:eastAsia="Arial" w:cs="Arial"/>
                <w:b w:val="false"/>
                <w:bCs w:val="false"/>
                <w:i w:val="false"/>
                <w:iCs w:val="false"/>
                <w:color w:val="1A1A1A"/>
                <w:sz w:val="17"/>
                <w:szCs w:val="17"/>
              </w:rPr>
              <w:t xml:space="preserve">Medium</w:t>
            </w:r>
          </w:p>
        </w:tc>
      </w:tr>
      <w:tr xmlns:wp14="http://schemas.microsoft.com/office/word/2010/wordml" w14:paraId="5C046C83"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A3A4D33" wp14:textId="77777777">
            <w:pPr>
              <w:spacing w:after="0" w:line="220"/>
            </w:pPr>
            <w:r>
              <w:rPr>
                <w:rFonts w:ascii="Arial" w:hAnsi="Arial" w:eastAsia="Arial" w:cs="Arial"/>
                <w:b w:val="false"/>
                <w:bCs w:val="false"/>
                <w:i w:val="false"/>
                <w:iCs w:val="false"/>
                <w:color w:val="1A1A1A"/>
                <w:sz w:val="17"/>
                <w:szCs w:val="17"/>
              </w:rPr>
              <w:t xml:space="preserve">Monitoring and alert triage</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9158544" wp14:textId="77777777">
            <w:pPr>
              <w:spacing w:after="0" w:line="220"/>
            </w:pPr>
            <w:r>
              <w:rPr>
                <w:rFonts w:ascii="Arial" w:hAnsi="Arial" w:eastAsia="Arial" w:cs="Arial"/>
                <w:b w:val="false"/>
                <w:bCs w:val="false"/>
                <w:i w:val="false"/>
                <w:iCs w:val="false"/>
                <w:color w:val="1A1A1A"/>
                <w:sz w:val="17"/>
                <w:szCs w:val="17"/>
              </w:rPr>
              <w:t xml:space="preserve">50–80%</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6D5EB2C9" wp14:textId="77777777">
            <w:pPr>
              <w:spacing w:after="0" w:line="220"/>
            </w:pPr>
            <w:r>
              <w:rPr>
                <w:rFonts w:ascii="Arial" w:hAnsi="Arial" w:eastAsia="Arial" w:cs="Arial"/>
                <w:b w:val="false"/>
                <w:bCs w:val="false"/>
                <w:i w:val="false"/>
                <w:iCs w:val="false"/>
                <w:color w:val="1A1A1A"/>
                <w:sz w:val="17"/>
                <w:szCs w:val="17"/>
              </w:rPr>
              <w:t xml:space="preserve">Signal engineering, policy, escalation, complex incident ownership</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7E177962" wp14:textId="77777777">
            <w:pPr>
              <w:spacing w:after="0" w:line="220"/>
            </w:pPr>
            <w:r>
              <w:rPr>
                <w:rFonts w:ascii="Arial" w:hAnsi="Arial" w:eastAsia="Arial" w:cs="Arial"/>
                <w:b w:val="false"/>
                <w:bCs w:val="false"/>
                <w:i w:val="false"/>
                <w:iCs w:val="false"/>
                <w:color w:val="1A1A1A"/>
                <w:sz w:val="17"/>
                <w:szCs w:val="17"/>
              </w:rPr>
              <w:t xml:space="preserve">High</w:t>
            </w:r>
          </w:p>
        </w:tc>
      </w:tr>
      <w:tr xmlns:wp14="http://schemas.microsoft.com/office/word/2010/wordml" w14:paraId="76E2AD32"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CCB1882" wp14:textId="77777777">
            <w:pPr>
              <w:spacing w:after="0" w:line="220"/>
            </w:pPr>
            <w:r>
              <w:rPr>
                <w:rFonts w:ascii="Arial" w:hAnsi="Arial" w:eastAsia="Arial" w:cs="Arial"/>
                <w:b w:val="false"/>
                <w:bCs w:val="false"/>
                <w:i w:val="false"/>
                <w:iCs w:val="false"/>
                <w:color w:val="1A1A1A"/>
                <w:sz w:val="17"/>
                <w:szCs w:val="17"/>
              </w:rPr>
              <w:t xml:space="preserve">Documentation and knowledge maintenance</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E51B9CE" wp14:textId="77777777">
            <w:pPr>
              <w:spacing w:after="0" w:line="220"/>
            </w:pPr>
            <w:r>
              <w:rPr>
                <w:rFonts w:ascii="Arial" w:hAnsi="Arial" w:eastAsia="Arial" w:cs="Arial"/>
                <w:b w:val="false"/>
                <w:bCs w:val="false"/>
                <w:i w:val="false"/>
                <w:iCs w:val="false"/>
                <w:color w:val="1A1A1A"/>
                <w:sz w:val="17"/>
                <w:szCs w:val="17"/>
              </w:rPr>
              <w:t xml:space="preserve">60–85%</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10A87F2" wp14:textId="77777777">
            <w:pPr>
              <w:spacing w:after="0" w:line="220"/>
            </w:pPr>
            <w:r>
              <w:rPr>
                <w:rFonts w:ascii="Arial" w:hAnsi="Arial" w:eastAsia="Arial" w:cs="Arial"/>
                <w:b w:val="false"/>
                <w:bCs w:val="false"/>
                <w:i w:val="false"/>
                <w:iCs w:val="false"/>
                <w:color w:val="1A1A1A"/>
                <w:sz w:val="17"/>
                <w:szCs w:val="17"/>
              </w:rPr>
              <w:t xml:space="preserve">Validation, architecture decisions, accountability</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05FAD91F" wp14:textId="77777777">
            <w:pPr>
              <w:spacing w:after="0" w:line="220"/>
            </w:pPr>
            <w:r>
              <w:rPr>
                <w:rFonts w:ascii="Arial" w:hAnsi="Arial" w:eastAsia="Arial" w:cs="Arial"/>
                <w:b w:val="false"/>
                <w:bCs w:val="false"/>
                <w:i w:val="false"/>
                <w:iCs w:val="false"/>
                <w:color w:val="1A1A1A"/>
                <w:sz w:val="17"/>
                <w:szCs w:val="17"/>
              </w:rPr>
              <w:t xml:space="preserve">High</w:t>
            </w:r>
          </w:p>
        </w:tc>
      </w:tr>
      <w:tr xmlns:wp14="http://schemas.microsoft.com/office/word/2010/wordml" w14:paraId="45F629FF"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029C7AE0" wp14:textId="77777777">
            <w:pPr>
              <w:spacing w:after="0" w:line="220"/>
            </w:pPr>
            <w:r>
              <w:rPr>
                <w:rFonts w:ascii="Arial" w:hAnsi="Arial" w:eastAsia="Arial" w:cs="Arial"/>
                <w:b w:val="false"/>
                <w:bCs w:val="false"/>
                <w:i w:val="false"/>
                <w:iCs w:val="false"/>
                <w:color w:val="1A1A1A"/>
                <w:sz w:val="17"/>
                <w:szCs w:val="17"/>
              </w:rPr>
              <w:t xml:space="preserve">Standard user onboarding/offboarding</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6B319CD9" wp14:textId="77777777">
            <w:pPr>
              <w:spacing w:after="0" w:line="220"/>
            </w:pPr>
            <w:r>
              <w:rPr>
                <w:rFonts w:ascii="Arial" w:hAnsi="Arial" w:eastAsia="Arial" w:cs="Arial"/>
                <w:b w:val="false"/>
                <w:bCs w:val="false"/>
                <w:i w:val="false"/>
                <w:iCs w:val="false"/>
                <w:color w:val="1A1A1A"/>
                <w:sz w:val="17"/>
                <w:szCs w:val="17"/>
              </w:rPr>
              <w:t xml:space="preserve">50–75%</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4E2C9D5D" wp14:textId="77777777">
            <w:pPr>
              <w:spacing w:after="0" w:line="220"/>
            </w:pPr>
            <w:r>
              <w:rPr>
                <w:rFonts w:ascii="Arial" w:hAnsi="Arial" w:eastAsia="Arial" w:cs="Arial"/>
                <w:b w:val="false"/>
                <w:bCs w:val="false"/>
                <w:i w:val="false"/>
                <w:iCs w:val="false"/>
                <w:color w:val="1A1A1A"/>
                <w:sz w:val="17"/>
                <w:szCs w:val="17"/>
              </w:rPr>
              <w:t xml:space="preserve">Identity design, exception approval, HR/process integration</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5622D34C" wp14:textId="77777777">
            <w:pPr>
              <w:spacing w:after="0" w:line="220"/>
            </w:pPr>
            <w:r>
              <w:rPr>
                <w:rFonts w:ascii="Arial" w:hAnsi="Arial" w:eastAsia="Arial" w:cs="Arial"/>
                <w:b w:val="false"/>
                <w:bCs w:val="false"/>
                <w:i w:val="false"/>
                <w:iCs w:val="false"/>
                <w:color w:val="1A1A1A"/>
                <w:sz w:val="17"/>
                <w:szCs w:val="17"/>
              </w:rPr>
              <w:t xml:space="preserve">Medium-high</w:t>
            </w:r>
          </w:p>
        </w:tc>
      </w:tr>
      <w:tr xmlns:wp14="http://schemas.microsoft.com/office/word/2010/wordml" w14:paraId="49205CD1"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2886B8B9" wp14:textId="77777777">
            <w:pPr>
              <w:spacing w:after="0" w:line="220"/>
            </w:pPr>
            <w:r>
              <w:rPr>
                <w:rFonts w:ascii="Arial" w:hAnsi="Arial" w:eastAsia="Arial" w:cs="Arial"/>
                <w:b w:val="false"/>
                <w:bCs w:val="false"/>
                <w:i w:val="false"/>
                <w:iCs w:val="false"/>
                <w:color w:val="1A1A1A"/>
                <w:sz w:val="17"/>
                <w:szCs w:val="17"/>
              </w:rPr>
              <w:t xml:space="preserve">User training</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47742F7F" wp14:textId="77777777">
            <w:pPr>
              <w:spacing w:after="0" w:line="220"/>
            </w:pPr>
            <w:r>
              <w:rPr>
                <w:rFonts w:ascii="Arial" w:hAnsi="Arial" w:eastAsia="Arial" w:cs="Arial"/>
                <w:b w:val="false"/>
                <w:bCs w:val="false"/>
                <w:i w:val="false"/>
                <w:iCs w:val="false"/>
                <w:color w:val="1A1A1A"/>
                <w:sz w:val="17"/>
                <w:szCs w:val="17"/>
              </w:rPr>
              <w:t xml:space="preserve">30–60%</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68C73944" wp14:textId="77777777">
            <w:pPr>
              <w:spacing w:after="0" w:line="220"/>
            </w:pPr>
            <w:r>
              <w:rPr>
                <w:rFonts w:ascii="Arial" w:hAnsi="Arial" w:eastAsia="Arial" w:cs="Arial"/>
                <w:b w:val="false"/>
                <w:bCs w:val="false"/>
                <w:i w:val="false"/>
                <w:iCs w:val="false"/>
                <w:color w:val="1A1A1A"/>
                <w:sz w:val="17"/>
                <w:szCs w:val="17"/>
              </w:rPr>
              <w:t xml:space="preserve">Change leadership, role-specific workflow redesign, coaching</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50E23AE6" wp14:textId="77777777">
            <w:pPr>
              <w:spacing w:after="0" w:line="220"/>
            </w:pPr>
            <w:r>
              <w:rPr>
                <w:rFonts w:ascii="Arial" w:hAnsi="Arial" w:eastAsia="Arial" w:cs="Arial"/>
                <w:b w:val="false"/>
                <w:bCs w:val="false"/>
                <w:i w:val="false"/>
                <w:iCs w:val="false"/>
                <w:color w:val="1A1A1A"/>
                <w:sz w:val="17"/>
                <w:szCs w:val="17"/>
              </w:rPr>
              <w:t xml:space="preserve">Medium</w:t>
            </w:r>
          </w:p>
        </w:tc>
      </w:tr>
      <w:tr xmlns:wp14="http://schemas.microsoft.com/office/word/2010/wordml" w14:paraId="286B0929"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4D4850D" wp14:textId="77777777">
            <w:pPr>
              <w:spacing w:after="0" w:line="220"/>
            </w:pPr>
            <w:r>
              <w:rPr>
                <w:rFonts w:ascii="Arial" w:hAnsi="Arial" w:eastAsia="Arial" w:cs="Arial"/>
                <w:b w:val="false"/>
                <w:bCs w:val="false"/>
                <w:i w:val="false"/>
                <w:iCs w:val="false"/>
                <w:color w:val="1A1A1A"/>
                <w:sz w:val="17"/>
                <w:szCs w:val="17"/>
              </w:rPr>
              <w:t xml:space="preserve">Security alert enrichment and phishing triage</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4B94C47A" wp14:textId="77777777">
            <w:pPr>
              <w:spacing w:after="0" w:line="220"/>
            </w:pPr>
            <w:r>
              <w:rPr>
                <w:rFonts w:ascii="Arial" w:hAnsi="Arial" w:eastAsia="Arial" w:cs="Arial"/>
                <w:b w:val="false"/>
                <w:bCs w:val="false"/>
                <w:i w:val="false"/>
                <w:iCs w:val="false"/>
                <w:color w:val="1A1A1A"/>
                <w:sz w:val="17"/>
                <w:szCs w:val="17"/>
              </w:rPr>
              <w:t xml:space="preserve">40–70%</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5F40AEBE" wp14:textId="77777777">
            <w:pPr>
              <w:spacing w:after="0" w:line="220"/>
            </w:pPr>
            <w:r>
              <w:rPr>
                <w:rFonts w:ascii="Arial" w:hAnsi="Arial" w:eastAsia="Arial" w:cs="Arial"/>
                <w:b w:val="false"/>
                <w:bCs w:val="false"/>
                <w:i w:val="false"/>
                <w:iCs w:val="false"/>
                <w:color w:val="1A1A1A"/>
                <w:sz w:val="17"/>
                <w:szCs w:val="17"/>
              </w:rPr>
              <w:t xml:space="preserve">Detection engineering, containment authority, forensics</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4DD5E4C" wp14:textId="77777777">
            <w:pPr>
              <w:spacing w:after="0" w:line="220"/>
            </w:pPr>
            <w:r>
              <w:rPr>
                <w:rFonts w:ascii="Arial" w:hAnsi="Arial" w:eastAsia="Arial" w:cs="Arial"/>
                <w:b w:val="false"/>
                <w:bCs w:val="false"/>
                <w:i w:val="false"/>
                <w:iCs w:val="false"/>
                <w:color w:val="1A1A1A"/>
                <w:sz w:val="17"/>
                <w:szCs w:val="17"/>
              </w:rPr>
              <w:t xml:space="preserve">Medium-high</w:t>
            </w:r>
          </w:p>
        </w:tc>
      </w:tr>
      <w:tr xmlns:wp14="http://schemas.microsoft.com/office/word/2010/wordml" w14:paraId="16FDEEDF"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2A026DB8" wp14:textId="77777777">
            <w:pPr>
              <w:spacing w:after="0" w:line="220"/>
            </w:pPr>
            <w:r>
              <w:rPr>
                <w:rFonts w:ascii="Arial" w:hAnsi="Arial" w:eastAsia="Arial" w:cs="Arial"/>
                <w:b w:val="false"/>
                <w:bCs w:val="false"/>
                <w:i w:val="false"/>
                <w:iCs w:val="false"/>
                <w:color w:val="1A1A1A"/>
                <w:sz w:val="17"/>
                <w:szCs w:val="17"/>
              </w:rPr>
              <w:t xml:space="preserve">Threat hunting and incident command</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0FD86100" wp14:textId="77777777">
            <w:pPr>
              <w:spacing w:after="0" w:line="220"/>
            </w:pPr>
            <w:r>
              <w:rPr>
                <w:rFonts w:ascii="Arial" w:hAnsi="Arial" w:eastAsia="Arial" w:cs="Arial"/>
                <w:b w:val="false"/>
                <w:bCs w:val="false"/>
                <w:i w:val="false"/>
                <w:iCs w:val="false"/>
                <w:color w:val="1A1A1A"/>
                <w:sz w:val="17"/>
                <w:szCs w:val="17"/>
              </w:rPr>
              <w:t xml:space="preserve">20–40%</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5483C387" wp14:textId="77777777">
            <w:pPr>
              <w:spacing w:after="0" w:line="220"/>
            </w:pPr>
            <w:r>
              <w:rPr>
                <w:rFonts w:ascii="Arial" w:hAnsi="Arial" w:eastAsia="Arial" w:cs="Arial"/>
                <w:b w:val="false"/>
                <w:bCs w:val="false"/>
                <w:i w:val="false"/>
                <w:iCs w:val="false"/>
                <w:color w:val="1A1A1A"/>
                <w:sz w:val="17"/>
                <w:szCs w:val="17"/>
              </w:rPr>
              <w:t xml:space="preserve">Adversarial judgment, legal coordination, executive decisions</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6B8808D5" wp14:textId="77777777">
            <w:pPr>
              <w:spacing w:after="0" w:line="220"/>
            </w:pPr>
            <w:r>
              <w:rPr>
                <w:rFonts w:ascii="Arial" w:hAnsi="Arial" w:eastAsia="Arial" w:cs="Arial"/>
                <w:b w:val="false"/>
                <w:bCs w:val="false"/>
                <w:i w:val="false"/>
                <w:iCs w:val="false"/>
                <w:color w:val="1A1A1A"/>
                <w:sz w:val="17"/>
                <w:szCs w:val="17"/>
              </w:rPr>
              <w:t xml:space="preserve">Medium-low</w:t>
            </w:r>
          </w:p>
        </w:tc>
      </w:tr>
    </w:tbl>
    <w:p xmlns:wp14="http://schemas.microsoft.com/office/word/2010/wordml" w14:paraId="0E27B00A" wp14:textId="77777777">
      <w:pPr>
        <w:spacing w:after="120"/>
      </w:pPr>
    </w:p>
    <w:p xmlns:wp14="http://schemas.microsoft.com/office/word/2010/wordml" w14:paraId="47AB327B" wp14:textId="77777777">
      <w:pPr>
        <w:keepLines/>
        <w:spacing w:after="130" w:line="290"/>
        <w:jc w:val="left"/>
      </w:pPr>
      <w:r>
        <w:rPr>
          <w:rFonts w:ascii="Arial" w:hAnsi="Arial" w:eastAsia="Arial" w:cs="Arial"/>
          <w:b w:val="false"/>
          <w:bCs w:val="false"/>
          <w:i w:val="false"/>
          <w:iCs w:val="false"/>
          <w:color w:val="1A1A1A"/>
          <w:sz w:val="20"/>
          <w:szCs w:val="20"/>
        </w:rPr>
        <w:t xml:space="preserve">These ranges are report judgments informed by empirical support productivity, analyst forecasts and current vendor capabilities; they are not measured industry percentages. </w:t>
      </w:r>
      <w:hyperlink w:history="1" r:id="rIdd4clxo3phqhkhati_lacm">
        <w:r>
          <w:rPr>
            <w:rStyle w:val="Hyperlink"/>
            <w:rFonts w:ascii="Arial" w:hAnsi="Arial" w:eastAsia="Arial" w:cs="Arial"/>
            <w:b/>
            <w:bCs/>
            <w:sz w:val="16"/>
            <w:szCs w:val="16"/>
          </w:rPr>
          <w:t xml:space="preserve">[6]</w:t>
        </w:r>
      </w:hyperlink>
      <w:r>
        <w:rPr>
          <w:rFonts w:ascii="Arial" w:hAnsi="Arial" w:eastAsia="Arial" w:cs="Arial"/>
          <w:b w:val="false"/>
          <w:bCs w:val="false"/>
          <w:i w:val="false"/>
          <w:iCs w:val="false"/>
          <w:color w:val="1A1A1A"/>
          <w:sz w:val="20"/>
          <w:szCs w:val="20"/>
        </w:rPr>
        <w:t xml:space="preserve"> </w:t>
      </w:r>
      <w:hyperlink w:history="1" r:id="rIdgntnnisx8qs-mhsohq207">
        <w:r>
          <w:rPr>
            <w:rStyle w:val="Hyperlink"/>
            <w:rFonts w:ascii="Arial" w:hAnsi="Arial" w:eastAsia="Arial" w:cs="Arial"/>
            <w:b/>
            <w:bCs/>
            <w:sz w:val="16"/>
            <w:szCs w:val="16"/>
          </w:rPr>
          <w:t xml:space="preserve">[8]</w:t>
        </w:r>
      </w:hyperlink>
      <w:r>
        <w:rPr>
          <w:rFonts w:ascii="Arial" w:hAnsi="Arial" w:eastAsia="Arial" w:cs="Arial"/>
          <w:b w:val="false"/>
          <w:bCs w:val="false"/>
          <w:i w:val="false"/>
          <w:iCs w:val="false"/>
          <w:color w:val="1A1A1A"/>
          <w:sz w:val="20"/>
          <w:szCs w:val="20"/>
        </w:rPr>
        <w:t xml:space="preserve"> </w:t>
      </w:r>
      <w:hyperlink w:history="1" r:id="rId2vhx5e1bgrq0ieofe5kb3">
        <w:r>
          <w:rPr>
            <w:rStyle w:val="Hyperlink"/>
            <w:rFonts w:ascii="Arial" w:hAnsi="Arial" w:eastAsia="Arial" w:cs="Arial"/>
            <w:b/>
            <w:bCs/>
            <w:sz w:val="16"/>
            <w:szCs w:val="16"/>
          </w:rPr>
          <w:t xml:space="preserve">[22]</w:t>
        </w:r>
      </w:hyperlink>
      <w:r>
        <w:rPr>
          <w:rFonts w:ascii="Arial" w:hAnsi="Arial" w:eastAsia="Arial" w:cs="Arial"/>
          <w:b w:val="false"/>
          <w:bCs w:val="false"/>
          <w:i w:val="false"/>
          <w:iCs w:val="false"/>
          <w:color w:val="1A1A1A"/>
          <w:sz w:val="20"/>
          <w:szCs w:val="20"/>
        </w:rPr>
        <w:t xml:space="preserve"> </w:t>
      </w:r>
      <w:hyperlink w:history="1" r:id="rIdxznr5fe0etstgdvg5wqsu">
        <w:r>
          <w:rPr>
            <w:rStyle w:val="Hyperlink"/>
            <w:rFonts w:ascii="Arial" w:hAnsi="Arial" w:eastAsia="Arial" w:cs="Arial"/>
            <w:b/>
            <w:bCs/>
            <w:sz w:val="16"/>
            <w:szCs w:val="16"/>
          </w:rPr>
          <w:t xml:space="preserve">[25]</w:t>
        </w:r>
      </w:hyperlink>
      <w:r>
        <w:rPr>
          <w:rFonts w:ascii="Arial" w:hAnsi="Arial" w:eastAsia="Arial" w:cs="Arial"/>
          <w:b w:val="false"/>
          <w:bCs w:val="false"/>
          <w:i w:val="false"/>
          <w:iCs w:val="false"/>
          <w:color w:val="1A1A1A"/>
          <w:sz w:val="20"/>
          <w:szCs w:val="20"/>
        </w:rPr>
        <w:t xml:space="preserve"> </w:t>
      </w:r>
      <w:hyperlink w:history="1" r:id="rIdnasxea6qnk4oeeoqhhb45">
        <w:r>
          <w:rPr>
            <w:rStyle w:val="Hyperlink"/>
            <w:rFonts w:ascii="Arial" w:hAnsi="Arial" w:eastAsia="Arial" w:cs="Arial"/>
            <w:b/>
            <w:bCs/>
            <w:sz w:val="16"/>
            <w:szCs w:val="16"/>
          </w:rPr>
          <w:t xml:space="preserve">[28]</w:t>
        </w:r>
      </w:hyperlink>
    </w:p>
    <w:p xmlns:wp14="http://schemas.microsoft.com/office/word/2010/wordml" w14:paraId="628A64F4" wp14:textId="77777777">
      <w:pPr>
        <w:pStyle w:val="Heading2"/>
      </w:pPr>
      <w:r>
        <w:rPr>
          <w:rFonts w:ascii="Arial" w:hAnsi="Arial" w:eastAsia="Arial" w:cs="Arial"/>
          <w:b/>
          <w:bCs/>
          <w:color w:val="1F8A8A"/>
          <w:sz w:val="25"/>
          <w:szCs w:val="25"/>
        </w:rPr>
        <w:t xml:space="preserve">8.2 Level 1 and Level 2 support</w:t>
      </w:r>
    </w:p>
    <w:p xmlns:wp14="http://schemas.microsoft.com/office/word/2010/wordml" w14:paraId="7ED83A74" wp14:textId="77777777">
      <w:pPr>
        <w:keepLines/>
        <w:spacing w:after="130" w:line="290"/>
        <w:jc w:val="left"/>
      </w:pPr>
      <w:r>
        <w:rPr>
          <w:rFonts w:ascii="Arial" w:hAnsi="Arial" w:eastAsia="Arial" w:cs="Arial"/>
          <w:b w:val="false"/>
          <w:bCs w:val="false"/>
          <w:i w:val="false"/>
          <w:iCs w:val="false"/>
          <w:color w:val="1A1A1A"/>
          <w:sz w:val="20"/>
          <w:szCs w:val="20"/>
        </w:rPr>
        <w:t xml:space="preserve">Level 1 is exposed because requests are repetitive, documented and permission-bounded. AI can classify, retrieve knowledge, generate communications, execute workflows and update records. The limiting factors are identity, knowledge quality, approval design and the cost of a wrong action.</w:t>
      </w:r>
    </w:p>
    <w:p xmlns:wp14="http://schemas.microsoft.com/office/word/2010/wordml" w14:paraId="40D87D9B" wp14:textId="77777777">
      <w:pPr>
        <w:keepLines/>
        <w:spacing w:after="130" w:line="290"/>
        <w:jc w:val="left"/>
      </w:pPr>
      <w:r>
        <w:rPr>
          <w:rFonts w:ascii="Arial" w:hAnsi="Arial" w:eastAsia="Arial" w:cs="Arial"/>
          <w:b w:val="false"/>
          <w:bCs w:val="false"/>
          <w:i w:val="false"/>
          <w:iCs w:val="false"/>
          <w:color w:val="1A1A1A"/>
          <w:sz w:val="20"/>
          <w:szCs w:val="20"/>
        </w:rPr>
        <w:t xml:space="preserve">Level 2 is less exposed but will change materially. Agents can correlate telemetry, search prior incidents, propose root causes, generate scripts and execute approved runbooks. Technicians move from searching and typing toward supervising, validating and handling ambiguity. The number of people required per customer can fall even if job titles remain.</w:t>
      </w:r>
    </w:p>
    <w:p xmlns:wp14="http://schemas.microsoft.com/office/word/2010/wordml" w14:paraId="2C8D68BD" wp14:textId="77777777">
      <w:pPr>
        <w:pStyle w:val="Heading2"/>
      </w:pPr>
      <w:r>
        <w:rPr>
          <w:rFonts w:ascii="Arial" w:hAnsi="Arial" w:eastAsia="Arial" w:cs="Arial"/>
          <w:b/>
          <w:bCs/>
          <w:color w:val="1F8A8A"/>
          <w:sz w:val="25"/>
          <w:szCs w:val="25"/>
        </w:rPr>
        <w:t xml:space="preserve">8.3 Monitoring, AIOps and autonomous operations</w:t>
      </w:r>
    </w:p>
    <w:p xmlns:wp14="http://schemas.microsoft.com/office/word/2010/wordml" w14:paraId="585BD027" wp14:textId="77777777">
      <w:pPr>
        <w:keepLines/>
        <w:spacing w:after="130" w:line="290"/>
        <w:jc w:val="left"/>
      </w:pPr>
      <w:r>
        <w:rPr>
          <w:rFonts w:ascii="Arial" w:hAnsi="Arial" w:eastAsia="Arial" w:cs="Arial"/>
          <w:b w:val="false"/>
          <w:bCs w:val="false"/>
          <w:i w:val="false"/>
          <w:iCs w:val="false"/>
          <w:color w:val="1A1A1A"/>
          <w:sz w:val="20"/>
          <w:szCs w:val="20"/>
        </w:rPr>
        <w:t xml:space="preserve">AIOps compresses the classic monitor-triage-escalate chain by correlating events, suppressing noise, recommending root causes and executing remediation. AWS, Google Cloud and Microsoft product direction demonstrates this progression. </w:t>
      </w:r>
      <w:hyperlink w:history="1" r:id="rIdrpvlwtfboyi6t6_ovgntk">
        <w:r>
          <w:rPr>
            <w:rStyle w:val="Hyperlink"/>
            <w:rFonts w:ascii="Arial" w:hAnsi="Arial" w:eastAsia="Arial" w:cs="Arial"/>
            <w:b/>
            <w:bCs/>
            <w:sz w:val="16"/>
            <w:szCs w:val="16"/>
          </w:rPr>
          <w:t xml:space="preserve">[20]</w:t>
        </w:r>
      </w:hyperlink>
      <w:r>
        <w:rPr>
          <w:rFonts w:ascii="Arial" w:hAnsi="Arial" w:eastAsia="Arial" w:cs="Arial"/>
          <w:b w:val="false"/>
          <w:bCs w:val="false"/>
          <w:i w:val="false"/>
          <w:iCs w:val="false"/>
          <w:color w:val="1A1A1A"/>
          <w:sz w:val="20"/>
          <w:szCs w:val="20"/>
        </w:rPr>
        <w:t xml:space="preserve"> </w:t>
      </w:r>
      <w:hyperlink w:history="1" r:id="rIdj_sykowmhmf473qybsqob">
        <w:r>
          <w:rPr>
            <w:rStyle w:val="Hyperlink"/>
            <w:rFonts w:ascii="Arial" w:hAnsi="Arial" w:eastAsia="Arial" w:cs="Arial"/>
            <w:b/>
            <w:bCs/>
            <w:sz w:val="16"/>
            <w:szCs w:val="16"/>
          </w:rPr>
          <w:t xml:space="preserve">[25]</w:t>
        </w:r>
      </w:hyperlink>
      <w:r>
        <w:rPr>
          <w:rFonts w:ascii="Arial" w:hAnsi="Arial" w:eastAsia="Arial" w:cs="Arial"/>
          <w:b w:val="false"/>
          <w:bCs w:val="false"/>
          <w:i w:val="false"/>
          <w:iCs w:val="false"/>
          <w:color w:val="1A1A1A"/>
          <w:sz w:val="20"/>
          <w:szCs w:val="20"/>
        </w:rPr>
        <w:t xml:space="preserve"> </w:t>
      </w:r>
      <w:hyperlink w:history="1" r:id="rIdgjlfzbdanccv2g5jmyxpz">
        <w:r>
          <w:rPr>
            <w:rStyle w:val="Hyperlink"/>
            <w:rFonts w:ascii="Arial" w:hAnsi="Arial" w:eastAsia="Arial" w:cs="Arial"/>
            <w:b/>
            <w:bCs/>
            <w:sz w:val="16"/>
            <w:szCs w:val="16"/>
          </w:rPr>
          <w:t xml:space="preserve">[27]</w:t>
        </w:r>
      </w:hyperlink>
    </w:p>
    <w:p xmlns:wp14="http://schemas.microsoft.com/office/word/2010/wordml" w14:paraId="1BEB57E7" wp14:textId="77777777">
      <w:pPr>
        <w:keepLines/>
        <w:spacing w:after="130" w:line="290"/>
        <w:jc w:val="left"/>
      </w:pPr>
      <w:r>
        <w:rPr>
          <w:rFonts w:ascii="Arial" w:hAnsi="Arial" w:eastAsia="Arial" w:cs="Arial"/>
          <w:b w:val="false"/>
          <w:bCs w:val="false"/>
          <w:i w:val="false"/>
          <w:iCs w:val="false"/>
          <w:color w:val="1A1A1A"/>
          <w:sz w:val="20"/>
          <w:szCs w:val="20"/>
        </w:rPr>
        <w:t xml:space="preserve">The strategic risk for the MSP is not that every alert disappears. It is that the platform performs first interpretation and the customer no longer pays separately for the same layer. A provider should therefore own policy, cross-platform context, service-level risk, exception handling and continual improvement.</w:t>
      </w:r>
    </w:p>
    <w:p xmlns:wp14="http://schemas.microsoft.com/office/word/2010/wordml" w14:paraId="59C2B214" wp14:textId="77777777">
      <w:pPr>
        <w:pStyle w:val="Heading2"/>
      </w:pPr>
      <w:r>
        <w:rPr>
          <w:rFonts w:ascii="Arial" w:hAnsi="Arial" w:eastAsia="Arial" w:cs="Arial"/>
          <w:b/>
          <w:bCs/>
          <w:color w:val="1F8A8A"/>
          <w:sz w:val="25"/>
          <w:szCs w:val="25"/>
        </w:rPr>
        <w:t xml:space="preserve">8.4 AI-driven security operations</w:t>
      </w:r>
    </w:p>
    <w:p xmlns:wp14="http://schemas.microsoft.com/office/word/2010/wordml" w14:paraId="1589EC56" wp14:textId="77777777">
      <w:pPr>
        <w:keepLines/>
        <w:spacing w:after="130" w:line="290"/>
        <w:jc w:val="left"/>
      </w:pPr>
      <w:r>
        <w:rPr>
          <w:rFonts w:ascii="Arial" w:hAnsi="Arial" w:eastAsia="Arial" w:cs="Arial"/>
          <w:b w:val="false"/>
          <w:bCs w:val="false"/>
          <w:i w:val="false"/>
          <w:iCs w:val="false"/>
          <w:color w:val="1A1A1A"/>
          <w:sz w:val="20"/>
          <w:szCs w:val="20"/>
        </w:rPr>
        <w:t xml:space="preserve">AI can enrich alerts, summarize incidents, classify phishing, prioritize exposure and recommend response. It can also expand the attack surface through prompt injection, agent identities, data leakage and uncontrolled actions. Deloitte reports agent adoption scaling faster than governance in many organizations, while NIST's GenAI profile emphasizes lifecycle risk management, testing, monitoring and human oversight. </w:t>
      </w:r>
      <w:hyperlink w:history="1" r:id="rId8md6znbvcqeirb0in6cqa">
        <w:r>
          <w:rPr>
            <w:rStyle w:val="Hyperlink"/>
            <w:rFonts w:ascii="Arial" w:hAnsi="Arial" w:eastAsia="Arial" w:cs="Arial"/>
            <w:b/>
            <w:bCs/>
            <w:sz w:val="16"/>
            <w:szCs w:val="16"/>
          </w:rPr>
          <w:t xml:space="preserve">[14]</w:t>
        </w:r>
      </w:hyperlink>
      <w:r>
        <w:rPr>
          <w:rFonts w:ascii="Arial" w:hAnsi="Arial" w:eastAsia="Arial" w:cs="Arial"/>
          <w:b w:val="false"/>
          <w:bCs w:val="false"/>
          <w:i w:val="false"/>
          <w:iCs w:val="false"/>
          <w:color w:val="1A1A1A"/>
          <w:sz w:val="20"/>
          <w:szCs w:val="20"/>
        </w:rPr>
        <w:t xml:space="preserve"> </w:t>
      </w:r>
      <w:hyperlink w:history="1" r:id="rIdnbky-n0-cghfrfhs_1ts3">
        <w:r>
          <w:rPr>
            <w:rStyle w:val="Hyperlink"/>
            <w:rFonts w:ascii="Arial" w:hAnsi="Arial" w:eastAsia="Arial" w:cs="Arial"/>
            <w:b/>
            <w:bCs/>
            <w:sz w:val="16"/>
            <w:szCs w:val="16"/>
          </w:rPr>
          <w:t xml:space="preserve">[31]</w:t>
        </w:r>
      </w:hyperlink>
    </w:p>
    <w:p xmlns:wp14="http://schemas.microsoft.com/office/word/2010/wordml" w14:paraId="06287B29" wp14:textId="77777777">
      <w:pPr>
        <w:keepLines/>
        <w:spacing w:after="130" w:line="290"/>
        <w:jc w:val="left"/>
      </w:pPr>
      <w:r>
        <w:rPr>
          <w:rFonts w:ascii="Arial" w:hAnsi="Arial" w:eastAsia="Arial" w:cs="Arial"/>
          <w:b w:val="false"/>
          <w:bCs w:val="false"/>
          <w:i w:val="false"/>
          <w:iCs w:val="false"/>
          <w:color w:val="1A1A1A"/>
          <w:sz w:val="20"/>
          <w:szCs w:val="20"/>
        </w:rPr>
        <w:t xml:space="preserve">Security operations will not become human-free. The economically valuable human work moves toward detection design, validation, containment decisions, forensics, legal/regulatory coordination and customer accountability. Commodity triage becomes less valuable; high-consequence judgment becomes more valuable.</w:t>
      </w:r>
    </w:p>
    <w:p xmlns:wp14="http://schemas.microsoft.com/office/word/2010/wordml" w14:paraId="073A2578" wp14:textId="77777777">
      <w:pPr>
        <w:pStyle w:val="Heading2"/>
      </w:pPr>
      <w:r>
        <w:rPr>
          <w:rFonts w:ascii="Arial" w:hAnsi="Arial" w:eastAsia="Arial" w:cs="Arial"/>
          <w:b/>
          <w:bCs/>
          <w:color w:val="1F8A8A"/>
          <w:sz w:val="25"/>
          <w:szCs w:val="25"/>
        </w:rPr>
        <w:t xml:space="preserve">8.5 Organizational impact</w:t>
      </w:r>
    </w:p>
    <w:p xmlns:wp14="http://schemas.microsoft.com/office/word/2010/wordml" w14:paraId="589F22AB" wp14:textId="77777777">
      <w:pPr>
        <w:keepLines/>
        <w:spacing w:after="130" w:line="290"/>
        <w:jc w:val="left"/>
      </w:pPr>
      <w:r>
        <w:rPr>
          <w:rFonts w:ascii="Arial" w:hAnsi="Arial" w:eastAsia="Arial" w:cs="Arial"/>
          <w:b w:val="false"/>
          <w:bCs w:val="false"/>
          <w:i w:val="false"/>
          <w:iCs w:val="false"/>
          <w:color w:val="1A1A1A"/>
          <w:sz w:val="20"/>
          <w:szCs w:val="20"/>
        </w:rPr>
        <w:t xml:space="preserve">The likely organizational changes are:</w:t>
      </w:r>
    </w:p>
    <w:p xmlns:wp14="http://schemas.microsoft.com/office/word/2010/wordml" w14:paraId="08F71FFC"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fewer pure dispatch and L1 roles per customer base;</w:t>
      </w:r>
    </w:p>
    <w:p xmlns:wp14="http://schemas.microsoft.com/office/word/2010/wordml" w14:paraId="227BC739"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more service automation, knowledge engineering and agent-operations roles;</w:t>
      </w:r>
    </w:p>
    <w:p xmlns:wp14="http://schemas.microsoft.com/office/word/2010/wordml" w14:paraId="2CF34791"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smaller generalist teams supported by specialist pools;</w:t>
      </w:r>
    </w:p>
    <w:p xmlns:wp14="http://schemas.microsoft.com/office/word/2010/wordml" w14:paraId="43CE8B5E"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product management for repeatable services and intellectual property;</w:t>
      </w:r>
    </w:p>
    <w:p xmlns:wp14="http://schemas.microsoft.com/office/word/2010/wordml" w14:paraId="109467FE"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tighter integration of security, identity, data and compliance;</w:t>
      </w:r>
    </w:p>
    <w:p xmlns:wp14="http://schemas.microsoft.com/office/word/2010/wordml" w14:paraId="23AFCFCC"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compensation based less on utilization and more on quality, automation and customer outcomes.</w:t>
      </w:r>
    </w:p>
    <w:p xmlns:wp14="http://schemas.microsoft.com/office/word/2010/wordml" w14:paraId="084CE65F" wp14:textId="77777777">
      <w:pPr>
        <w:keepLines/>
        <w:spacing w:after="130" w:line="290"/>
        <w:jc w:val="left"/>
      </w:pPr>
      <w:r>
        <w:rPr>
          <w:rFonts w:ascii="Arial" w:hAnsi="Arial" w:eastAsia="Arial" w:cs="Arial"/>
          <w:b w:val="false"/>
          <w:bCs w:val="false"/>
          <w:i w:val="false"/>
          <w:iCs w:val="false"/>
          <w:color w:val="1A1A1A"/>
          <w:sz w:val="20"/>
          <w:szCs w:val="20"/>
        </w:rPr>
        <w:t xml:space="preserve">The WEF Future of Jobs 2025 survey anticipates substantial task and skill change, with AI/big data and cybersecurity among the fastest-growing skill areas. This supports reskilling, not a simple labor-elimination narrative. </w:t>
      </w:r>
      <w:hyperlink w:history="1" r:id="rIdqqi-_sb_nlbkodv_q3m3u">
        <w:r>
          <w:rPr>
            <w:rStyle w:val="Hyperlink"/>
            <w:rFonts w:ascii="Arial" w:hAnsi="Arial" w:eastAsia="Arial" w:cs="Arial"/>
            <w:b/>
            <w:bCs/>
            <w:sz w:val="16"/>
            <w:szCs w:val="16"/>
          </w:rPr>
          <w:t xml:space="preserve">[11]</w:t>
        </w:r>
      </w:hyperlink>
    </w:p>
    <w:p xmlns:wp14="http://schemas.microsoft.com/office/word/2010/wordml" w14:paraId="7D36FE6B" wp14:textId="77777777">
      <w:pPr>
        <w:pStyle w:val="Heading2"/>
      </w:pPr>
      <w:r>
        <w:rPr>
          <w:rFonts w:ascii="Arial" w:hAnsi="Arial" w:eastAsia="Arial" w:cs="Arial"/>
          <w:b/>
          <w:bCs/>
          <w:color w:val="1F8A8A"/>
          <w:sz w:val="25"/>
          <w:szCs w:val="25"/>
        </w:rPr>
        <w:t xml:space="preserve">8.6 Internal adoption controls</w:t>
      </w:r>
    </w:p>
    <w:p xmlns:wp14="http://schemas.microsoft.com/office/word/2010/wordml" w14:paraId="35E23E59" wp14:textId="77777777">
      <w:pPr>
        <w:keepLines/>
        <w:spacing w:after="130" w:line="290"/>
        <w:jc w:val="left"/>
      </w:pPr>
      <w:r>
        <w:rPr>
          <w:rFonts w:ascii="Arial" w:hAnsi="Arial" w:eastAsia="Arial" w:cs="Arial"/>
          <w:b w:val="false"/>
          <w:bCs w:val="false"/>
          <w:i w:val="false"/>
          <w:iCs w:val="false"/>
          <w:color w:val="1A1A1A"/>
          <w:sz w:val="20"/>
          <w:szCs w:val="20"/>
        </w:rPr>
        <w:t xml:space="preserve">Before selling managed AI, an MSP should operate its own agent program with:</w:t>
      </w:r>
    </w:p>
    <w:p xmlns:wp14="http://schemas.microsoft.com/office/word/2010/wordml" w14:paraId="5AA436CB"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an agent inventory and named business owner;</w:t>
      </w:r>
    </w:p>
    <w:p xmlns:wp14="http://schemas.microsoft.com/office/word/2010/wordml" w14:paraId="27901F7B"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least-privilege identity and separate production credentials;</w:t>
      </w:r>
    </w:p>
    <w:p xmlns:wp14="http://schemas.microsoft.com/office/word/2010/wordml" w14:paraId="34511DD2"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approved data sources and DLP policy;</w:t>
      </w:r>
    </w:p>
    <w:p xmlns:wp14="http://schemas.microsoft.com/office/word/2010/wordml" w14:paraId="1DDB1EF7"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evaluation datasets and change control;</w:t>
      </w:r>
    </w:p>
    <w:p xmlns:wp14="http://schemas.microsoft.com/office/word/2010/wordml" w14:paraId="19532F5F"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human approval for high-impact actions;</w:t>
      </w:r>
    </w:p>
    <w:p xmlns:wp14="http://schemas.microsoft.com/office/word/2010/wordml" w14:paraId="194BB170"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logging, cost allocation and incident response;</w:t>
      </w:r>
    </w:p>
    <w:p xmlns:wp14="http://schemas.microsoft.com/office/word/2010/wordml" w14:paraId="2CAAD5AB"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customer-specific legal, privacy and residency assessment;</w:t>
      </w:r>
    </w:p>
    <w:p xmlns:wp14="http://schemas.microsoft.com/office/word/2010/wordml" w14:paraId="3AF96031"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quality-adjusted economic measurement.</w:t>
      </w:r>
    </w:p>
    <w:p xmlns:wp14="http://schemas.microsoft.com/office/word/2010/wordml" w14:paraId="065F002A" wp14:textId="77777777">
      <w:pPr>
        <w:keepLines/>
        <w:spacing w:after="130" w:line="290"/>
        <w:jc w:val="left"/>
      </w:pPr>
      <w:r>
        <w:rPr>
          <w:rFonts w:ascii="Arial" w:hAnsi="Arial" w:eastAsia="Arial" w:cs="Arial"/>
          <w:b w:val="false"/>
          <w:bCs w:val="false"/>
          <w:i w:val="false"/>
          <w:iCs w:val="false"/>
          <w:color w:val="1A1A1A"/>
          <w:sz w:val="20"/>
          <w:szCs w:val="20"/>
        </w:rPr>
        <w:t xml:space="preserve">An internal AI program is not a back-office project. It is the proof that the provider can govern what it intends to sell.</w:t>
      </w:r>
    </w:p>
    <w:p xmlns:wp14="http://schemas.microsoft.com/office/word/2010/wordml" w14:paraId="2117BCC4" wp14:textId="77777777">
      <w:pPr>
        <w:pStyle w:val="Heading1"/>
        <w:pageBreakBefore/>
      </w:pPr>
      <w:r>
        <w:rPr>
          <w:rFonts w:ascii="Arial" w:hAnsi="Arial" w:eastAsia="Arial" w:cs="Arial"/>
          <w:b/>
          <w:bCs/>
          <w:color w:val="173F5F"/>
          <w:sz w:val="30"/>
          <w:szCs w:val="30"/>
        </w:rPr>
        <w:t xml:space="preserve">9. Future Industry Scenarios</w:t>
      </w:r>
    </w:p>
    <w:p xmlns:wp14="http://schemas.microsoft.com/office/word/2010/wordml" w14:paraId="24BA118B" wp14:textId="77777777">
      <w:pPr>
        <w:pStyle w:val="Heading2"/>
      </w:pPr>
      <w:r>
        <w:rPr>
          <w:rFonts w:ascii="Arial" w:hAnsi="Arial" w:eastAsia="Arial" w:cs="Arial"/>
          <w:b/>
          <w:bCs/>
          <w:color w:val="1F8A8A"/>
          <w:sz w:val="25"/>
          <w:szCs w:val="25"/>
        </w:rPr>
        <w:t xml:space="preserve">9.1 Bull case: slow substitution, strong partner capture</w:t>
      </w:r>
    </w:p>
    <w:p xmlns:wp14="http://schemas.microsoft.com/office/word/2010/wordml" w14:paraId="362DE01F" wp14:textId="77777777">
      <w:pPr>
        <w:keepLines/>
        <w:spacing w:after="130" w:line="290"/>
        <w:jc w:val="left"/>
      </w:pPr>
      <w:r>
        <w:rPr>
          <w:rFonts w:ascii="Arial" w:hAnsi="Arial" w:eastAsia="Arial" w:cs="Arial"/>
          <w:b w:val="false"/>
          <w:bCs w:val="false"/>
          <w:i w:val="false"/>
          <w:iCs w:val="false"/>
          <w:color w:val="1A1A1A"/>
          <w:sz w:val="20"/>
          <w:szCs w:val="20"/>
        </w:rPr>
        <w:t xml:space="preserve">In the bull case, platform capability advances but SME adoption remains constrained by skills, data and trust. Customers continue to value a single accountable provider; automation savings are retained; security and compliance demand expands; and partners monetize adoption, governance and managed agents. Most well-run conventional MSPs remain viable through 2030, while transformed providers widen margins.</w:t>
      </w:r>
    </w:p>
    <w:p xmlns:wp14="http://schemas.microsoft.com/office/word/2010/wordml" w14:paraId="13E184F4" wp14:textId="77777777">
      <w:pPr>
        <w:keepLines/>
        <w:spacing w:after="130" w:line="290"/>
        <w:jc w:val="left"/>
      </w:pPr>
      <w:r>
        <w:rPr>
          <w:rFonts w:ascii="Arial" w:hAnsi="Arial" w:eastAsia="Arial" w:cs="Arial"/>
          <w:b w:val="false"/>
          <w:bCs w:val="false"/>
          <w:i w:val="false"/>
          <w:iCs w:val="false"/>
          <w:color w:val="1A1A1A"/>
          <w:sz w:val="20"/>
          <w:szCs w:val="20"/>
        </w:rPr>
        <w:t xml:space="preserve">Signposts include stable like-for-like renewal pricing, MSP EBITDA growth at least matching revenue, limited autonomous remediation in SMB license tiers, and strong attach rates for governance and security services.</w:t>
      </w:r>
    </w:p>
    <w:p xmlns:wp14="http://schemas.microsoft.com/office/word/2010/wordml" w14:paraId="247DD7CF" wp14:textId="77777777">
      <w:pPr>
        <w:pStyle w:val="Heading2"/>
      </w:pPr>
      <w:r>
        <w:rPr>
          <w:rFonts w:ascii="Arial" w:hAnsi="Arial" w:eastAsia="Arial" w:cs="Arial"/>
          <w:b/>
          <w:bCs/>
          <w:color w:val="1F8A8A"/>
          <w:sz w:val="25"/>
          <w:szCs w:val="25"/>
        </w:rPr>
        <w:t xml:space="preserve">9.2 Base case: selective automation and repricing</w:t>
      </w:r>
    </w:p>
    <w:p xmlns:wp14="http://schemas.microsoft.com/office/word/2010/wordml" w14:paraId="45B0ED5D" wp14:textId="77777777">
      <w:pPr>
        <w:keepLines/>
        <w:spacing w:after="130" w:line="290"/>
        <w:jc w:val="left"/>
      </w:pPr>
      <w:r>
        <w:rPr>
          <w:rFonts w:ascii="Arial" w:hAnsi="Arial" w:eastAsia="Arial" w:cs="Arial"/>
          <w:b w:val="false"/>
          <w:bCs w:val="false"/>
          <w:i w:val="false"/>
          <w:iCs w:val="false"/>
          <w:color w:val="1A1A1A"/>
          <w:sz w:val="20"/>
          <w:szCs w:val="20"/>
        </w:rPr>
        <w:t xml:space="preserve">The base case is the most likely. Routine tasks become progressively embedded in platforms between 2027 and 2030. Customers expect some productivity benefit at renewal. Security, identity, compliance, data and agent governance grow, but not every provider can sell them. Industry revenue remains positive; margin dispersion and M&amp;A increase.</w:t>
      </w:r>
    </w:p>
    <w:p xmlns:wp14="http://schemas.microsoft.com/office/word/2010/wordml" w14:paraId="0EFCFFA8" wp14:textId="77777777">
      <w:pPr>
        <w:keepLines/>
        <w:spacing w:after="130" w:line="290"/>
        <w:jc w:val="left"/>
      </w:pPr>
      <w:r>
        <w:rPr>
          <w:rFonts w:ascii="Arial" w:hAnsi="Arial" w:eastAsia="Arial" w:cs="Arial"/>
          <w:b w:val="false"/>
          <w:bCs w:val="false"/>
          <w:i w:val="false"/>
          <w:iCs w:val="false"/>
          <w:color w:val="1A1A1A"/>
          <w:sz w:val="20"/>
          <w:szCs w:val="20"/>
        </w:rPr>
        <w:t xml:space="preserve">A conventional provider can remain profitable, but the valuation gap widens between automation-mature specialists and labor-heavy generalists. Managed services survives as a category while its economic content changes.</w:t>
      </w:r>
    </w:p>
    <w:p xmlns:wp14="http://schemas.microsoft.com/office/word/2010/wordml" w14:paraId="59D68F0E" wp14:textId="77777777">
      <w:pPr>
        <w:pStyle w:val="Heading2"/>
      </w:pPr>
      <w:r>
        <w:rPr>
          <w:rFonts w:ascii="Arial" w:hAnsi="Arial" w:eastAsia="Arial" w:cs="Arial"/>
          <w:b/>
          <w:bCs/>
          <w:color w:val="1F8A8A"/>
          <w:sz w:val="25"/>
          <w:szCs w:val="25"/>
        </w:rPr>
        <w:t xml:space="preserve">9.3 Bear case: platform absorption and rapid price reset</w:t>
      </w:r>
    </w:p>
    <w:p xmlns:wp14="http://schemas.microsoft.com/office/word/2010/wordml" w14:paraId="3EE11EC6" wp14:textId="77777777">
      <w:pPr>
        <w:keepLines/>
        <w:spacing w:after="130" w:line="290"/>
        <w:jc w:val="left"/>
      </w:pPr>
      <w:r>
        <w:rPr>
          <w:rFonts w:ascii="Arial" w:hAnsi="Arial" w:eastAsia="Arial" w:cs="Arial"/>
          <w:b w:val="false"/>
          <w:bCs w:val="false"/>
          <w:i w:val="false"/>
          <w:iCs w:val="false"/>
          <w:color w:val="1A1A1A"/>
          <w:sz w:val="20"/>
          <w:szCs w:val="20"/>
        </w:rPr>
        <w:t xml:space="preserve">In the bear case, autonomous support and operations reach SMB tiers quickly, AI-native entrants price aggressively, vendors expand direct managed services, and customers demand lower per-user prices. Providers carry duplicated tools and people during transition; weak balance sheets force distressed sales or exits.</w:t>
      </w:r>
    </w:p>
    <w:p xmlns:wp14="http://schemas.microsoft.com/office/word/2010/wordml" w14:paraId="54904530" wp14:textId="77777777">
      <w:pPr>
        <w:keepLines/>
        <w:spacing w:after="130" w:line="290"/>
        <w:jc w:val="left"/>
      </w:pPr>
      <w:r>
        <w:rPr>
          <w:rFonts w:ascii="Arial" w:hAnsi="Arial" w:eastAsia="Arial" w:cs="Arial"/>
          <w:b w:val="false"/>
          <w:bCs w:val="false"/>
          <w:i w:val="false"/>
          <w:iCs w:val="false"/>
          <w:color w:val="1A1A1A"/>
          <w:sz w:val="20"/>
          <w:szCs w:val="20"/>
        </w:rPr>
        <w:t xml:space="preserve">Even in this case, some providers survive through vertical specialization, regulated assurance, complex integration and trusted incident ownership. The bear case is not zero MSPs; it is a much smaller share of value accruing to undifferentiated intermediaries.</w:t>
      </w:r>
    </w:p>
    <w:p xmlns:wp14="http://schemas.microsoft.com/office/word/2010/wordml" w14:paraId="7EF1563B" wp14:textId="77777777">
      <w:pPr>
        <w:pStyle w:val="Heading2"/>
      </w:pPr>
      <w:r>
        <w:rPr>
          <w:rFonts w:ascii="Arial" w:hAnsi="Arial" w:eastAsia="Arial" w:cs="Arial"/>
          <w:b/>
          <w:bCs/>
          <w:color w:val="1F8A8A"/>
          <w:sz w:val="25"/>
          <w:szCs w:val="25"/>
        </w:rPr>
        <w:t xml:space="preserve">9.4 100-firm planning cohort</w:t>
      </w:r>
    </w:p>
    <w:p xmlns:wp14="http://schemas.microsoft.com/office/word/2010/wordml" w14:paraId="62429CD3" wp14:textId="77777777">
      <w:pPr>
        <w:keepLines/>
        <w:spacing w:after="130" w:line="290"/>
        <w:jc w:val="left"/>
      </w:pPr>
      <w:r>
        <w:rPr>
          <w:rFonts w:ascii="Arial" w:hAnsi="Arial" w:eastAsia="Arial" w:cs="Arial"/>
          <w:b w:val="false"/>
          <w:bCs w:val="false"/>
          <w:i w:val="false"/>
          <w:iCs w:val="false"/>
          <w:color w:val="1A1A1A"/>
          <w:sz w:val="20"/>
          <w:szCs w:val="20"/>
        </w:rPr>
        <w:t xml:space="preserve">Because no authoritative longitudinal MSP census exists, the following is an explicit planning estimate. The base-case starting mix assumes 40 labor-dependent/task-centric firms, 40 hybrid generalists and 20 security/compliance/vertical specialists.</w:t>
      </w:r>
    </w:p>
    <w:tbl>
      <w:tblPr>
        <w:tblW w:w="10656" w:type="dxa"/>
        <w:tblBorders>
          <w:top w:val="single" w:color="auto" w:sz="4"/>
          <w:left w:val="single" w:color="auto" w:sz="4"/>
          <w:bottom w:val="single" w:color="auto" w:sz="4"/>
          <w:right w:val="single" w:color="auto" w:sz="4"/>
          <w:insideH w:val="single" w:color="auto" w:sz="4"/>
          <w:insideV w:val="single" w:color="auto" w:sz="4"/>
        </w:tblBorders>
      </w:tblPr>
      <w:tblGrid>
        <w:gridCol w:w="2664"/>
        <w:gridCol w:w="2664"/>
        <w:gridCol w:w="2664"/>
        <w:gridCol w:w="2664"/>
      </w:tblGrid>
      <w:tr xmlns:wp14="http://schemas.microsoft.com/office/word/2010/wordml" w14:paraId="01EE5093" wp14:textId="77777777">
        <w:trPr>
          <w:cantSplit/>
          <w:tblHeader/>
        </w:trPr>
        <w:tc>
          <w:tcPr>
            <w:tcW w:w="2664"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02AFDB51" wp14:textId="77777777">
            <w:pPr>
              <w:spacing w:after="0" w:line="220"/>
            </w:pPr>
            <w:r>
              <w:rPr>
                <w:rFonts w:ascii="Arial" w:hAnsi="Arial" w:eastAsia="Arial" w:cs="Arial"/>
                <w:b/>
                <w:bCs/>
                <w:i w:val="false"/>
                <w:iCs w:val="false"/>
                <w:color w:val="FFFFFF"/>
                <w:sz w:val="17"/>
                <w:szCs w:val="17"/>
              </w:rPr>
              <w:t xml:space="preserve">State</w:t>
            </w:r>
          </w:p>
        </w:tc>
        <w:tc>
          <w:tcPr>
            <w:tcW w:w="2664"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259337F0" wp14:textId="77777777">
            <w:pPr>
              <w:spacing w:after="0" w:line="220"/>
            </w:pPr>
            <w:r>
              <w:rPr>
                <w:rFonts w:ascii="Arial" w:hAnsi="Arial" w:eastAsia="Arial" w:cs="Arial"/>
                <w:b/>
                <w:bCs/>
                <w:i w:val="false"/>
                <w:iCs w:val="false"/>
                <w:color w:val="FFFFFF"/>
                <w:sz w:val="17"/>
                <w:szCs w:val="17"/>
              </w:rPr>
              <w:t xml:space="preserve">End-2030</w:t>
            </w:r>
          </w:p>
        </w:tc>
        <w:tc>
          <w:tcPr>
            <w:tcW w:w="2664"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0D62A8E3" wp14:textId="77777777">
            <w:pPr>
              <w:spacing w:after="0" w:line="220"/>
            </w:pPr>
            <w:r>
              <w:rPr>
                <w:rFonts w:ascii="Arial" w:hAnsi="Arial" w:eastAsia="Arial" w:cs="Arial"/>
                <w:b/>
                <w:bCs/>
                <w:i w:val="false"/>
                <w:iCs w:val="false"/>
                <w:color w:val="FFFFFF"/>
                <w:sz w:val="17"/>
                <w:szCs w:val="17"/>
              </w:rPr>
              <w:t xml:space="preserve">End-2036</w:t>
            </w:r>
          </w:p>
        </w:tc>
        <w:tc>
          <w:tcPr>
            <w:tcW w:w="2664"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3DA1D686" wp14:textId="77777777">
            <w:pPr>
              <w:spacing w:after="0" w:line="220"/>
            </w:pPr>
            <w:r>
              <w:rPr>
                <w:rFonts w:ascii="Arial" w:hAnsi="Arial" w:eastAsia="Arial" w:cs="Arial"/>
                <w:b/>
                <w:bCs/>
                <w:i w:val="false"/>
                <w:iCs w:val="false"/>
                <w:color w:val="FFFFFF"/>
                <w:sz w:val="17"/>
                <w:szCs w:val="17"/>
              </w:rPr>
              <w:t xml:space="preserve">Definition</w:t>
            </w:r>
          </w:p>
        </w:tc>
      </w:tr>
      <w:tr xmlns:wp14="http://schemas.microsoft.com/office/word/2010/wordml" w14:paraId="0715D3AB"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64962E3" wp14:textId="77777777">
            <w:pPr>
              <w:spacing w:after="0" w:line="220"/>
            </w:pPr>
            <w:r>
              <w:rPr>
                <w:rFonts w:ascii="Arial" w:hAnsi="Arial" w:eastAsia="Arial" w:cs="Arial"/>
                <w:b w:val="false"/>
                <w:bCs w:val="false"/>
                <w:i w:val="false"/>
                <w:iCs w:val="false"/>
                <w:color w:val="1A1A1A"/>
                <w:sz w:val="17"/>
                <w:szCs w:val="17"/>
              </w:rPr>
              <w:t xml:space="preserve">Continuity</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C8B330C" wp14:textId="77777777">
            <w:pPr>
              <w:spacing w:after="0" w:line="220"/>
            </w:pPr>
            <w:r>
              <w:rPr>
                <w:rFonts w:ascii="Arial" w:hAnsi="Arial" w:eastAsia="Arial" w:cs="Arial"/>
                <w:b w:val="false"/>
                <w:bCs w:val="false"/>
                <w:i w:val="false"/>
                <w:iCs w:val="false"/>
                <w:color w:val="1A1A1A"/>
                <w:sz w:val="17"/>
                <w:szCs w:val="17"/>
              </w:rPr>
              <w:t xml:space="preserve">31</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3CFEC6B" wp14:textId="77777777">
            <w:pPr>
              <w:spacing w:after="0" w:line="220"/>
            </w:pPr>
            <w:r>
              <w:rPr>
                <w:rFonts w:ascii="Arial" w:hAnsi="Arial" w:eastAsia="Arial" w:cs="Arial"/>
                <w:b w:val="false"/>
                <w:bCs w:val="false"/>
                <w:i w:val="false"/>
                <w:iCs w:val="false"/>
                <w:color w:val="1A1A1A"/>
                <w:sz w:val="17"/>
                <w:szCs w:val="17"/>
              </w:rPr>
              <w:t xml:space="preserve">15</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791B14C8" wp14:textId="77777777">
            <w:pPr>
              <w:spacing w:after="0" w:line="220"/>
            </w:pPr>
            <w:r>
              <w:rPr>
                <w:rFonts w:ascii="Arial" w:hAnsi="Arial" w:eastAsia="Arial" w:cs="Arial"/>
                <w:b w:val="false"/>
                <w:bCs w:val="false"/>
                <w:i w:val="false"/>
                <w:iCs w:val="false"/>
                <w:color w:val="1A1A1A"/>
                <w:sz w:val="17"/>
                <w:szCs w:val="17"/>
              </w:rPr>
              <w:t xml:space="preserve">Independent and operating without material model change.</w:t>
            </w:r>
          </w:p>
        </w:tc>
      </w:tr>
      <w:tr xmlns:wp14="http://schemas.microsoft.com/office/word/2010/wordml" w14:paraId="478EC06E"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44296FEB" wp14:textId="77777777">
            <w:pPr>
              <w:spacing w:after="0" w:line="220"/>
            </w:pPr>
            <w:r>
              <w:rPr>
                <w:rFonts w:ascii="Arial" w:hAnsi="Arial" w:eastAsia="Arial" w:cs="Arial"/>
                <w:b w:val="false"/>
                <w:bCs w:val="false"/>
                <w:i w:val="false"/>
                <w:iCs w:val="false"/>
                <w:color w:val="1A1A1A"/>
                <w:sz w:val="17"/>
                <w:szCs w:val="17"/>
              </w:rPr>
              <w:t xml:space="preserve">Transformed</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4BFDD700" wp14:textId="77777777">
            <w:pPr>
              <w:spacing w:after="0" w:line="220"/>
            </w:pPr>
            <w:r>
              <w:rPr>
                <w:rFonts w:ascii="Arial" w:hAnsi="Arial" w:eastAsia="Arial" w:cs="Arial"/>
                <w:b w:val="false"/>
                <w:bCs w:val="false"/>
                <w:i w:val="false"/>
                <w:iCs w:val="false"/>
                <w:color w:val="1A1A1A"/>
                <w:sz w:val="17"/>
                <w:szCs w:val="17"/>
              </w:rPr>
              <w:t xml:space="preserve">25</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57393B24" wp14:textId="77777777">
            <w:pPr>
              <w:spacing w:after="0" w:line="220"/>
            </w:pPr>
            <w:r>
              <w:rPr>
                <w:rFonts w:ascii="Arial" w:hAnsi="Arial" w:eastAsia="Arial" w:cs="Arial"/>
                <w:b w:val="false"/>
                <w:bCs w:val="false"/>
                <w:i w:val="false"/>
                <w:iCs w:val="false"/>
                <w:color w:val="1A1A1A"/>
                <w:sz w:val="17"/>
                <w:szCs w:val="17"/>
              </w:rPr>
              <w:t xml:space="preserve">28</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2592041A" wp14:textId="77777777">
            <w:pPr>
              <w:spacing w:after="0" w:line="220"/>
            </w:pPr>
            <w:r>
              <w:rPr>
                <w:rFonts w:ascii="Arial" w:hAnsi="Arial" w:eastAsia="Arial" w:cs="Arial"/>
                <w:b w:val="false"/>
                <w:bCs w:val="false"/>
                <w:i w:val="false"/>
                <w:iCs w:val="false"/>
                <w:color w:val="1A1A1A"/>
                <w:sz w:val="17"/>
                <w:szCs w:val="17"/>
              </w:rPr>
              <w:t xml:space="preserve">Independent with material change in revenue mix, pricing or delivery.</w:t>
            </w:r>
          </w:p>
        </w:tc>
      </w:tr>
      <w:tr xmlns:wp14="http://schemas.microsoft.com/office/word/2010/wordml" w14:paraId="019E7E7A"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75D9F913" wp14:textId="77777777">
            <w:pPr>
              <w:spacing w:after="0" w:line="220"/>
            </w:pPr>
            <w:r>
              <w:rPr>
                <w:rFonts w:ascii="Arial" w:hAnsi="Arial" w:eastAsia="Arial" w:cs="Arial"/>
                <w:b w:val="false"/>
                <w:bCs w:val="false"/>
                <w:i w:val="false"/>
                <w:iCs w:val="false"/>
                <w:color w:val="1A1A1A"/>
                <w:sz w:val="17"/>
                <w:szCs w:val="17"/>
              </w:rPr>
              <w:t xml:space="preserve">Acquired / merged</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41C0AA51" wp14:textId="77777777">
            <w:pPr>
              <w:spacing w:after="0" w:line="220"/>
            </w:pPr>
            <w:r>
              <w:rPr>
                <w:rFonts w:ascii="Arial" w:hAnsi="Arial" w:eastAsia="Arial" w:cs="Arial"/>
                <w:b w:val="false"/>
                <w:bCs w:val="false"/>
                <w:i w:val="false"/>
                <w:iCs w:val="false"/>
                <w:color w:val="1A1A1A"/>
                <w:sz w:val="17"/>
                <w:szCs w:val="17"/>
              </w:rPr>
              <w:t xml:space="preserve">27</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0CD124DB" wp14:textId="77777777">
            <w:pPr>
              <w:spacing w:after="0" w:line="220"/>
            </w:pPr>
            <w:r>
              <w:rPr>
                <w:rFonts w:ascii="Arial" w:hAnsi="Arial" w:eastAsia="Arial" w:cs="Arial"/>
                <w:b w:val="false"/>
                <w:bCs w:val="false"/>
                <w:i w:val="false"/>
                <w:iCs w:val="false"/>
                <w:color w:val="1A1A1A"/>
                <w:sz w:val="17"/>
                <w:szCs w:val="17"/>
              </w:rPr>
              <w:t xml:space="preserve">38</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9B8DA96" wp14:textId="77777777">
            <w:pPr>
              <w:spacing w:after="0" w:line="220"/>
            </w:pPr>
            <w:r>
              <w:rPr>
                <w:rFonts w:ascii="Arial" w:hAnsi="Arial" w:eastAsia="Arial" w:cs="Arial"/>
                <w:b w:val="false"/>
                <w:bCs w:val="false"/>
                <w:i w:val="false"/>
                <w:iCs w:val="false"/>
                <w:color w:val="1A1A1A"/>
                <w:sz w:val="17"/>
                <w:szCs w:val="17"/>
              </w:rPr>
              <w:t xml:space="preserve">Ownership change; not automatically a failure.</w:t>
            </w:r>
          </w:p>
        </w:tc>
      </w:tr>
      <w:tr xmlns:wp14="http://schemas.microsoft.com/office/word/2010/wordml" w14:paraId="12ECABC0"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3D09A46C" wp14:textId="77777777">
            <w:pPr>
              <w:spacing w:after="0" w:line="220"/>
            </w:pPr>
            <w:r>
              <w:rPr>
                <w:rFonts w:ascii="Arial" w:hAnsi="Arial" w:eastAsia="Arial" w:cs="Arial"/>
                <w:b w:val="false"/>
                <w:bCs w:val="false"/>
                <w:i w:val="false"/>
                <w:iCs w:val="false"/>
                <w:color w:val="1A1A1A"/>
                <w:sz w:val="17"/>
                <w:szCs w:val="17"/>
              </w:rPr>
              <w:t xml:space="preserve">Distressed</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5D369756" wp14:textId="77777777">
            <w:pPr>
              <w:spacing w:after="0" w:line="220"/>
            </w:pPr>
            <w:r>
              <w:rPr>
                <w:rFonts w:ascii="Arial" w:hAnsi="Arial" w:eastAsia="Arial" w:cs="Arial"/>
                <w:b w:val="false"/>
                <w:bCs w:val="false"/>
                <w:i w:val="false"/>
                <w:iCs w:val="false"/>
                <w:color w:val="1A1A1A"/>
                <w:sz w:val="17"/>
                <w:szCs w:val="17"/>
              </w:rPr>
              <w:t xml:space="preserve">10</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29B4EA11" wp14:textId="77777777">
            <w:pPr>
              <w:spacing w:after="0" w:line="220"/>
            </w:pPr>
            <w:r>
              <w:rPr>
                <w:rFonts w:ascii="Arial" w:hAnsi="Arial" w:eastAsia="Arial" w:cs="Arial"/>
                <w:b w:val="false"/>
                <w:bCs w:val="false"/>
                <w:i w:val="false"/>
                <w:iCs w:val="false"/>
                <w:color w:val="1A1A1A"/>
                <w:sz w:val="17"/>
                <w:szCs w:val="17"/>
              </w:rPr>
              <w:t xml:space="preserve">6</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2C6142F0" wp14:textId="77777777">
            <w:pPr>
              <w:spacing w:after="0" w:line="220"/>
            </w:pPr>
            <w:r>
              <w:rPr>
                <w:rFonts w:ascii="Arial" w:hAnsi="Arial" w:eastAsia="Arial" w:cs="Arial"/>
                <w:b w:val="false"/>
                <w:bCs w:val="false"/>
                <w:i w:val="false"/>
                <w:iCs w:val="false"/>
                <w:color w:val="1A1A1A"/>
                <w:sz w:val="17"/>
                <w:szCs w:val="17"/>
              </w:rPr>
              <w:t xml:space="preserve">Still operating but with material financial or strategic impairment.</w:t>
            </w:r>
          </w:p>
        </w:tc>
      </w:tr>
      <w:tr xmlns:wp14="http://schemas.microsoft.com/office/word/2010/wordml" w14:paraId="1F82FEE5"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51D3C2AD" wp14:textId="77777777">
            <w:pPr>
              <w:spacing w:after="0" w:line="220"/>
            </w:pPr>
            <w:r>
              <w:rPr>
                <w:rFonts w:ascii="Arial" w:hAnsi="Arial" w:eastAsia="Arial" w:cs="Arial"/>
                <w:b w:val="false"/>
                <w:bCs w:val="false"/>
                <w:i w:val="false"/>
                <w:iCs w:val="false"/>
                <w:color w:val="1A1A1A"/>
                <w:sz w:val="17"/>
                <w:szCs w:val="17"/>
              </w:rPr>
              <w:t xml:space="preserve">Exited</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75697EEC" wp14:textId="77777777">
            <w:pPr>
              <w:spacing w:after="0" w:line="220"/>
            </w:pPr>
            <w:r>
              <w:rPr>
                <w:rFonts w:ascii="Arial" w:hAnsi="Arial" w:eastAsia="Arial" w:cs="Arial"/>
                <w:b w:val="false"/>
                <w:bCs w:val="false"/>
                <w:i w:val="false"/>
                <w:iCs w:val="false"/>
                <w:color w:val="1A1A1A"/>
                <w:sz w:val="17"/>
                <w:szCs w:val="17"/>
              </w:rPr>
              <w:t xml:space="preserve">7</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9F18D26" wp14:textId="77777777">
            <w:pPr>
              <w:spacing w:after="0" w:line="220"/>
            </w:pPr>
            <w:r>
              <w:rPr>
                <w:rFonts w:ascii="Arial" w:hAnsi="Arial" w:eastAsia="Arial" w:cs="Arial"/>
                <w:b w:val="false"/>
                <w:bCs w:val="false"/>
                <w:i w:val="false"/>
                <w:iCs w:val="false"/>
                <w:color w:val="1A1A1A"/>
                <w:sz w:val="17"/>
                <w:szCs w:val="17"/>
              </w:rPr>
              <w:t xml:space="preserve">13</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6F2CF337" wp14:textId="77777777">
            <w:pPr>
              <w:spacing w:after="0" w:line="220"/>
            </w:pPr>
            <w:r>
              <w:rPr>
                <w:rFonts w:ascii="Arial" w:hAnsi="Arial" w:eastAsia="Arial" w:cs="Arial"/>
                <w:b w:val="false"/>
                <w:bCs w:val="false"/>
                <w:i w:val="false"/>
                <w:iCs w:val="false"/>
                <w:color w:val="1A1A1A"/>
                <w:sz w:val="17"/>
                <w:szCs w:val="17"/>
              </w:rPr>
              <w:t xml:space="preserve">No longer operating as an MSP, excluding acquisition; includes retirement, pivot and insolvency.</w:t>
            </w:r>
          </w:p>
        </w:tc>
      </w:tr>
    </w:tbl>
    <w:p xmlns:wp14="http://schemas.microsoft.com/office/word/2010/wordml" w14:paraId="60061E4C" wp14:textId="77777777">
      <w:pPr>
        <w:spacing w:after="120"/>
      </w:pPr>
    </w:p>
    <w:p xmlns:wp14="http://schemas.microsoft.com/office/word/2010/wordml" w14:paraId="44EAFD9C" wp14:textId="77777777">
      <w:pPr>
        <w:spacing w:before="160" w:after="70"/>
        <w:jc w:val="center"/>
      </w:pPr>
      <w:r>
        <w:drawing>
          <wp:inline xmlns:wp14="http://schemas.microsoft.com/office/word/2010/wordprocessingDrawing" distT="0" distB="0" distL="0" distR="0" wp14:anchorId="1D2C6F15" wp14:editId="7777777">
            <wp:extent cx="6572250" cy="3257550"/>
            <wp:effectExtent l="0" t="0" r="0" b="0"/>
            <wp:docPr id="1406731328" name="chart_cohort.png" descr="Figure 3. The base-case cohort is a non-empirical planning illustration; consolidation is more likely than universal failure." title="Figure 3. The base-case cohort is a non-empirical planning illustration; consolidation is more likely than universal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3257550"/>
                    </a:xfrm>
                    <a:prstGeom prst="rect">
                      <a:avLst/>
                    </a:prstGeom>
                  </pic:spPr>
                </pic:pic>
              </a:graphicData>
            </a:graphic>
          </wp:inline>
        </w:drawing>
      </w:r>
    </w:p>
    <w:p xmlns:wp14="http://schemas.microsoft.com/office/word/2010/wordml" w14:paraId="1470BABB" wp14:textId="77777777">
      <w:pPr>
        <w:spacing w:after="180"/>
        <w:jc w:val="center"/>
      </w:pPr>
      <w:r>
        <w:rPr>
          <w:rFonts w:ascii="Arial" w:hAnsi="Arial" w:eastAsia="Arial" w:cs="Arial"/>
          <w:i/>
          <w:iCs/>
          <w:color w:val="526578"/>
          <w:sz w:val="16"/>
          <w:szCs w:val="16"/>
        </w:rPr>
        <w:t xml:space="preserve">Figure 3. The base-case cohort is a non-empirical planning illustration; consolidation is more likely than universal failure.</w:t>
      </w:r>
    </w:p>
    <w:p xmlns:wp14="http://schemas.microsoft.com/office/word/2010/wordml" w14:paraId="491C02B6" wp14:textId="77777777">
      <w:pPr>
        <w:keepLines/>
        <w:spacing w:after="130" w:line="290"/>
        <w:jc w:val="left"/>
      </w:pPr>
      <w:r>
        <w:rPr>
          <w:rFonts w:ascii="Arial" w:hAnsi="Arial" w:eastAsia="Arial" w:cs="Arial"/>
          <w:b w:val="false"/>
          <w:bCs w:val="false"/>
          <w:i w:val="false"/>
          <w:iCs w:val="false"/>
          <w:color w:val="1A1A1A"/>
          <w:sz w:val="20"/>
          <w:szCs w:val="20"/>
        </w:rPr>
        <w:t xml:space="preserve">A reasonable range around the 2036 base case is 10–25% continuity, 25–45% transformed independent, 25–45% acquired/merged, 5–15% distressed and 5–20% exited. The categories are mutually exclusive at the horizon. These ranges are not confidence intervals; they express scenario uncertainty.</w:t>
      </w:r>
    </w:p>
    <w:p xmlns:wp14="http://schemas.microsoft.com/office/word/2010/wordml" w14:paraId="12111247" wp14:textId="77777777">
      <w:pPr>
        <w:pStyle w:val="Heading2"/>
      </w:pPr>
      <w:r>
        <w:rPr>
          <w:rFonts w:ascii="Arial" w:hAnsi="Arial" w:eastAsia="Arial" w:cs="Arial"/>
          <w:b/>
          <w:bCs/>
          <w:color w:val="1F8A8A"/>
          <w:sz w:val="25"/>
          <w:szCs w:val="25"/>
        </w:rPr>
        <w:t xml:space="preserve">9.5 Which MSPs are most at risk?</w:t>
      </w:r>
    </w:p>
    <w:p xmlns:wp14="http://schemas.microsoft.com/office/word/2010/wordml" w14:paraId="6B78E820" wp14:textId="77777777">
      <w:pPr>
        <w:keepLines/>
        <w:spacing w:after="130" w:line="290"/>
        <w:jc w:val="left"/>
      </w:pPr>
      <w:r>
        <w:rPr>
          <w:rFonts w:ascii="Arial" w:hAnsi="Arial" w:eastAsia="Arial" w:cs="Arial"/>
          <w:b w:val="false"/>
          <w:bCs w:val="false"/>
          <w:i w:val="false"/>
          <w:iCs w:val="false"/>
          <w:color w:val="1A1A1A"/>
          <w:sz w:val="20"/>
          <w:szCs w:val="20"/>
        </w:rPr>
        <w:t xml:space="preserve">Highest risk:</w:t>
      </w:r>
    </w:p>
    <w:p xmlns:wp14="http://schemas.microsoft.com/office/word/2010/wordml" w14:paraId="5F7F70B5"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high ticket volume with low standardization and poor knowledge;</w:t>
      </w:r>
    </w:p>
    <w:p xmlns:wp14="http://schemas.microsoft.com/office/word/2010/wordml" w14:paraId="6C4DD9CD"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undifferentiated Microsoft 365 administration and license resale;</w:t>
      </w:r>
    </w:p>
    <w:p xmlns:wp14="http://schemas.microsoft.com/office/word/2010/wordml" w14:paraId="5ECBDD91"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broad fixed-fee scope with manual delivery and weak contract controls;</w:t>
      </w:r>
    </w:p>
    <w:p xmlns:wp14="http://schemas.microsoft.com/office/word/2010/wordml" w14:paraId="134675B2"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small generalist teams attempting to own a 24x7 SOC;</w:t>
      </w:r>
    </w:p>
    <w:p xmlns:wp14="http://schemas.microsoft.com/office/word/2010/wordml" w14:paraId="6100FEF8"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high customer concentration, weak balance sheets or owner dependency;</w:t>
      </w:r>
    </w:p>
    <w:p xmlns:wp14="http://schemas.microsoft.com/office/word/2010/wordml" w14:paraId="10431324"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no service-line P&amp;L and no evidence of automation capture.</w:t>
      </w:r>
    </w:p>
    <w:p xmlns:wp14="http://schemas.microsoft.com/office/word/2010/wordml" w14:paraId="0CB50723" wp14:textId="77777777">
      <w:pPr>
        <w:keepLines/>
        <w:spacing w:after="130" w:line="290"/>
        <w:jc w:val="left"/>
      </w:pPr>
      <w:r>
        <w:rPr>
          <w:rFonts w:ascii="Arial" w:hAnsi="Arial" w:eastAsia="Arial" w:cs="Arial"/>
          <w:b w:val="false"/>
          <w:bCs w:val="false"/>
          <w:i w:val="false"/>
          <w:iCs w:val="false"/>
          <w:color w:val="1A1A1A"/>
          <w:sz w:val="20"/>
          <w:szCs w:val="20"/>
        </w:rPr>
        <w:t xml:space="preserve">Lower risk:</w:t>
      </w:r>
    </w:p>
    <w:p xmlns:wp14="http://schemas.microsoft.com/office/word/2010/wordml" w14:paraId="469E65E6"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standardized platforms with high automation and disciplined scope;</w:t>
      </w:r>
    </w:p>
    <w:p xmlns:wp14="http://schemas.microsoft.com/office/word/2010/wordml" w14:paraId="1C80EA25"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vertical specialists with workflow and regulatory context;</w:t>
      </w:r>
    </w:p>
    <w:p xmlns:wp14="http://schemas.microsoft.com/office/word/2010/wordml" w14:paraId="736799CC"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security providers with real response authority and pooled scale;</w:t>
      </w:r>
    </w:p>
    <w:p xmlns:wp14="http://schemas.microsoft.com/office/word/2010/wordml" w14:paraId="2545999C"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data, integration, governance and business-process specialists;</w:t>
      </w:r>
    </w:p>
    <w:p xmlns:wp14="http://schemas.microsoft.com/office/word/2010/wordml" w14:paraId="01044FDE"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firms with repeatable IP, clean telemetry, low concentration and strong cash conversion.</w:t>
      </w:r>
    </w:p>
    <w:p xmlns:wp14="http://schemas.microsoft.com/office/word/2010/wordml" w14:paraId="6890943A" wp14:textId="77777777">
      <w:pPr>
        <w:pStyle w:val="Heading1"/>
        <w:pageBreakBefore/>
      </w:pPr>
      <w:r>
        <w:rPr>
          <w:rFonts w:ascii="Arial" w:hAnsi="Arial" w:eastAsia="Arial" w:cs="Arial"/>
          <w:b/>
          <w:bCs/>
          <w:color w:val="173F5F"/>
          <w:sz w:val="30"/>
          <w:szCs w:val="30"/>
        </w:rPr>
        <w:t xml:space="preserve">10. Transformation Framework</w:t>
      </w:r>
    </w:p>
    <w:p xmlns:wp14="http://schemas.microsoft.com/office/word/2010/wordml" w14:paraId="7AD8C3AC" wp14:textId="77777777">
      <w:pPr>
        <w:pStyle w:val="Heading2"/>
      </w:pPr>
      <w:r>
        <w:rPr>
          <w:rFonts w:ascii="Arial" w:hAnsi="Arial" w:eastAsia="Arial" w:cs="Arial"/>
          <w:b/>
          <w:bCs/>
          <w:color w:val="1F8A8A"/>
          <w:sz w:val="25"/>
          <w:szCs w:val="25"/>
        </w:rPr>
        <w:t xml:space="preserve">10.1 Strategic design principles</w:t>
      </w:r>
    </w:p>
    <w:p xmlns:wp14="http://schemas.microsoft.com/office/word/2010/wordml" w14:paraId="388081F0" wp14:textId="77777777">
      <w:pPr>
        <w:spacing w:after="70" w:line="260"/>
        <w:ind w:left="480" w:hanging="240"/>
      </w:pPr>
      <w:r>
        <w:rPr>
          <w:rFonts w:ascii="Arial" w:hAnsi="Arial" w:eastAsia="Arial" w:cs="Arial"/>
          <w:b w:val="false"/>
          <w:bCs w:val="false"/>
          <w:i w:val="false"/>
          <w:iCs w:val="false"/>
          <w:color w:val="1A1A1A"/>
          <w:sz w:val="19"/>
          <w:szCs w:val="19"/>
        </w:rPr>
        <w:t xml:space="preserve">1. Preserve profitable recurring revenue while redesigning its delivery.</w:t>
      </w:r>
    </w:p>
    <w:p xmlns:wp14="http://schemas.microsoft.com/office/word/2010/wordml" w14:paraId="5C3285C2" wp14:textId="77777777">
      <w:pPr>
        <w:spacing w:after="70" w:line="260"/>
        <w:ind w:left="480" w:hanging="240"/>
      </w:pPr>
      <w:r>
        <w:rPr>
          <w:rFonts w:ascii="Arial" w:hAnsi="Arial" w:eastAsia="Arial" w:cs="Arial"/>
          <w:b w:val="false"/>
          <w:bCs w:val="false"/>
          <w:i w:val="false"/>
          <w:iCs w:val="false"/>
          <w:color w:val="1A1A1A"/>
          <w:sz w:val="19"/>
          <w:szCs w:val="19"/>
        </w:rPr>
        <w:t xml:space="preserve">2. Automate internally before promising external transformation.</w:t>
      </w:r>
    </w:p>
    <w:p xmlns:wp14="http://schemas.microsoft.com/office/word/2010/wordml" w14:paraId="2A351472" wp14:textId="77777777">
      <w:pPr>
        <w:spacing w:after="70" w:line="260"/>
        <w:ind w:left="480" w:hanging="240"/>
      </w:pPr>
      <w:r>
        <w:rPr>
          <w:rFonts w:ascii="Arial" w:hAnsi="Arial" w:eastAsia="Arial" w:cs="Arial"/>
          <w:b w:val="false"/>
          <w:bCs w:val="false"/>
          <w:i w:val="false"/>
          <w:iCs w:val="false"/>
          <w:color w:val="1A1A1A"/>
          <w:sz w:val="19"/>
          <w:szCs w:val="19"/>
        </w:rPr>
        <w:t xml:space="preserve">3. Standardize the stack and narrow exceptions.</w:t>
      </w:r>
    </w:p>
    <w:p xmlns:wp14="http://schemas.microsoft.com/office/word/2010/wordml" w14:paraId="51CA4827" wp14:textId="77777777">
      <w:pPr>
        <w:spacing w:after="70" w:line="260"/>
        <w:ind w:left="480" w:hanging="240"/>
      </w:pPr>
      <w:r>
        <w:rPr>
          <w:rFonts w:ascii="Arial" w:hAnsi="Arial" w:eastAsia="Arial" w:cs="Arial"/>
          <w:b w:val="false"/>
          <w:bCs w:val="false"/>
          <w:i w:val="false"/>
          <w:iCs w:val="false"/>
          <w:color w:val="1A1A1A"/>
          <w:sz w:val="19"/>
          <w:szCs w:val="19"/>
        </w:rPr>
        <w:t xml:space="preserve">4. Own customer context, identity, governance and accountability.</w:t>
      </w:r>
    </w:p>
    <w:p xmlns:wp14="http://schemas.microsoft.com/office/word/2010/wordml" w14:paraId="114B8DBA" wp14:textId="77777777">
      <w:pPr>
        <w:spacing w:after="70" w:line="260"/>
        <w:ind w:left="480" w:hanging="240"/>
      </w:pPr>
      <w:r>
        <w:rPr>
          <w:rFonts w:ascii="Arial" w:hAnsi="Arial" w:eastAsia="Arial" w:cs="Arial"/>
          <w:b w:val="false"/>
          <w:bCs w:val="false"/>
          <w:i w:val="false"/>
          <w:iCs w:val="false"/>
          <w:color w:val="1A1A1A"/>
          <w:sz w:val="19"/>
          <w:szCs w:val="19"/>
        </w:rPr>
        <w:t xml:space="preserve">5. Productize methods into repeatable services and IP.</w:t>
      </w:r>
    </w:p>
    <w:p xmlns:wp14="http://schemas.microsoft.com/office/word/2010/wordml" w14:paraId="0EF8E376" wp14:textId="77777777">
      <w:pPr>
        <w:spacing w:after="70" w:line="260"/>
        <w:ind w:left="480" w:hanging="240"/>
      </w:pPr>
      <w:r>
        <w:rPr>
          <w:rFonts w:ascii="Arial" w:hAnsi="Arial" w:eastAsia="Arial" w:cs="Arial"/>
          <w:b w:val="false"/>
          <w:bCs w:val="false"/>
          <w:i w:val="false"/>
          <w:iCs w:val="false"/>
          <w:color w:val="1A1A1A"/>
          <w:sz w:val="19"/>
          <w:szCs w:val="19"/>
        </w:rPr>
        <w:t xml:space="preserve">6. Use partners for capabilities that require uneconomic scale.</w:t>
      </w:r>
    </w:p>
    <w:p xmlns:wp14="http://schemas.microsoft.com/office/word/2010/wordml" w14:paraId="1034521C" wp14:textId="77777777">
      <w:pPr>
        <w:spacing w:after="70" w:line="260"/>
        <w:ind w:left="480" w:hanging="240"/>
      </w:pPr>
      <w:r>
        <w:rPr>
          <w:rFonts w:ascii="Arial" w:hAnsi="Arial" w:eastAsia="Arial" w:cs="Arial"/>
          <w:b w:val="false"/>
          <w:bCs w:val="false"/>
          <w:i w:val="false"/>
          <w:iCs w:val="false"/>
          <w:color w:val="1A1A1A"/>
          <w:sz w:val="19"/>
          <w:szCs w:val="19"/>
        </w:rPr>
        <w:t xml:space="preserve">7. Price for platform, complexity, risk and outcomes—not technician activity.</w:t>
      </w:r>
    </w:p>
    <w:p xmlns:wp14="http://schemas.microsoft.com/office/word/2010/wordml" w14:paraId="5A5CC2D3" wp14:textId="77777777">
      <w:pPr>
        <w:spacing w:after="70" w:line="260"/>
        <w:ind w:left="480" w:hanging="240"/>
      </w:pPr>
      <w:r>
        <w:rPr>
          <w:rFonts w:ascii="Arial" w:hAnsi="Arial" w:eastAsia="Arial" w:cs="Arial"/>
          <w:b w:val="false"/>
          <w:bCs w:val="false"/>
          <w:i w:val="false"/>
          <w:iCs w:val="false"/>
          <w:color w:val="1A1A1A"/>
          <w:sz w:val="19"/>
          <w:szCs w:val="19"/>
        </w:rPr>
        <w:t xml:space="preserve">8. Fund the transition as a portfolio with stage gates.</w:t>
      </w:r>
    </w:p>
    <w:p xmlns:wp14="http://schemas.microsoft.com/office/word/2010/wordml" w14:paraId="11EAF6B7" wp14:textId="77777777">
      <w:pPr>
        <w:pStyle w:val="Heading2"/>
      </w:pPr>
      <w:r>
        <w:rPr>
          <w:rFonts w:ascii="Arial" w:hAnsi="Arial" w:eastAsia="Arial" w:cs="Arial"/>
          <w:b/>
          <w:bCs/>
          <w:color w:val="1F8A8A"/>
          <w:sz w:val="25"/>
          <w:szCs w:val="25"/>
        </w:rPr>
        <w:t xml:space="preserve">10.2 Opportunity ranking</w:t>
      </w:r>
    </w:p>
    <w:p xmlns:wp14="http://schemas.microsoft.com/office/word/2010/wordml" w14:paraId="3CA146EA" wp14:textId="77777777">
      <w:pPr>
        <w:keepLines/>
        <w:spacing w:after="130" w:line="290"/>
        <w:jc w:val="left"/>
      </w:pPr>
      <w:r>
        <w:rPr>
          <w:rFonts w:ascii="Arial" w:hAnsi="Arial" w:eastAsia="Arial" w:cs="Arial"/>
          <w:b w:val="false"/>
          <w:bCs w:val="false"/>
          <w:i w:val="false"/>
          <w:iCs w:val="false"/>
          <w:color w:val="1A1A1A"/>
          <w:sz w:val="20"/>
          <w:szCs w:val="20"/>
        </w:rPr>
        <w:t xml:space="preserve">Scores are analytical judgments on a 1–5 scale, not market forecasts.</w:t>
      </w:r>
    </w:p>
    <w:tbl>
      <w:tblPr>
        <w:tblW w:w="10656" w:type="dxa"/>
        <w:tblBorders>
          <w:top w:val="single" w:color="auto" w:sz="4"/>
          <w:left w:val="single" w:color="auto" w:sz="4"/>
          <w:bottom w:val="single" w:color="auto" w:sz="4"/>
          <w:right w:val="single" w:color="auto" w:sz="4"/>
          <w:insideH w:val="single" w:color="auto" w:sz="4"/>
          <w:insideV w:val="single" w:color="auto" w:sz="4"/>
        </w:tblBorders>
      </w:tblPr>
      <w:tblGrid>
        <w:gridCol w:w="1776"/>
        <w:gridCol w:w="1776"/>
        <w:gridCol w:w="1776"/>
        <w:gridCol w:w="1776"/>
        <w:gridCol w:w="1776"/>
        <w:gridCol w:w="1776"/>
      </w:tblGrid>
      <w:tr xmlns:wp14="http://schemas.microsoft.com/office/word/2010/wordml" w14:paraId="52E70727" wp14:textId="77777777">
        <w:trPr>
          <w:cantSplit/>
          <w:tblHeader/>
        </w:trPr>
        <w:tc>
          <w:tcPr>
            <w:tcW w:w="1776"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7E043E9B" wp14:textId="77777777">
            <w:pPr>
              <w:spacing w:after="0" w:line="220"/>
            </w:pPr>
            <w:r>
              <w:rPr>
                <w:rFonts w:ascii="Arial" w:hAnsi="Arial" w:eastAsia="Arial" w:cs="Arial"/>
                <w:b/>
                <w:bCs/>
                <w:i w:val="false"/>
                <w:iCs w:val="false"/>
                <w:color w:val="FFFFFF"/>
                <w:sz w:val="15"/>
                <w:szCs w:val="15"/>
              </w:rPr>
              <w:t xml:space="preserve">Opportunity</w:t>
            </w:r>
          </w:p>
        </w:tc>
        <w:tc>
          <w:tcPr>
            <w:tcW w:w="1776"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2002960E" wp14:textId="77777777">
            <w:pPr>
              <w:spacing w:after="0" w:line="220"/>
            </w:pPr>
            <w:r>
              <w:rPr>
                <w:rFonts w:ascii="Arial" w:hAnsi="Arial" w:eastAsia="Arial" w:cs="Arial"/>
                <w:b/>
                <w:bCs/>
                <w:i w:val="false"/>
                <w:iCs w:val="false"/>
                <w:color w:val="FFFFFF"/>
                <w:sz w:val="15"/>
                <w:szCs w:val="15"/>
              </w:rPr>
              <w:t xml:space="preserve">Urgency</w:t>
            </w:r>
          </w:p>
        </w:tc>
        <w:tc>
          <w:tcPr>
            <w:tcW w:w="1776"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57BA6692" wp14:textId="77777777">
            <w:pPr>
              <w:spacing w:after="0" w:line="220"/>
            </w:pPr>
            <w:r>
              <w:rPr>
                <w:rFonts w:ascii="Arial" w:hAnsi="Arial" w:eastAsia="Arial" w:cs="Arial"/>
                <w:b/>
                <w:bCs/>
                <w:i w:val="false"/>
                <w:iCs w:val="false"/>
                <w:color w:val="FFFFFF"/>
                <w:sz w:val="15"/>
                <w:szCs w:val="15"/>
              </w:rPr>
              <w:t xml:space="preserve">Revenue potential</w:t>
            </w:r>
          </w:p>
        </w:tc>
        <w:tc>
          <w:tcPr>
            <w:tcW w:w="1776"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34B0E72E" wp14:textId="77777777">
            <w:pPr>
              <w:spacing w:after="0" w:line="220"/>
            </w:pPr>
            <w:r>
              <w:rPr>
                <w:rFonts w:ascii="Arial" w:hAnsi="Arial" w:eastAsia="Arial" w:cs="Arial"/>
                <w:b/>
                <w:bCs/>
                <w:i w:val="false"/>
                <w:iCs w:val="false"/>
                <w:color w:val="FFFFFF"/>
                <w:sz w:val="15"/>
                <w:szCs w:val="15"/>
              </w:rPr>
              <w:t xml:space="preserve">Margin potential</w:t>
            </w:r>
          </w:p>
        </w:tc>
        <w:tc>
          <w:tcPr>
            <w:tcW w:w="1776"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706018A6" wp14:textId="77777777">
            <w:pPr>
              <w:spacing w:after="0" w:line="220"/>
            </w:pPr>
            <w:r>
              <w:rPr>
                <w:rFonts w:ascii="Arial" w:hAnsi="Arial" w:eastAsia="Arial" w:cs="Arial"/>
                <w:b/>
                <w:bCs/>
                <w:i w:val="false"/>
                <w:iCs w:val="false"/>
                <w:color w:val="FFFFFF"/>
                <w:sz w:val="15"/>
                <w:szCs w:val="15"/>
              </w:rPr>
              <w:t xml:space="preserve">Defensibility</w:t>
            </w:r>
          </w:p>
        </w:tc>
        <w:tc>
          <w:tcPr>
            <w:tcW w:w="1776"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30AF9FB3" wp14:textId="77777777">
            <w:pPr>
              <w:spacing w:after="0" w:line="220"/>
            </w:pPr>
            <w:r>
              <w:rPr>
                <w:rFonts w:ascii="Arial" w:hAnsi="Arial" w:eastAsia="Arial" w:cs="Arial"/>
                <w:b/>
                <w:bCs/>
                <w:i w:val="false"/>
                <w:iCs w:val="false"/>
                <w:color w:val="FFFFFF"/>
                <w:sz w:val="15"/>
                <w:szCs w:val="15"/>
              </w:rPr>
              <w:t xml:space="preserve">Strategic note</w:t>
            </w:r>
          </w:p>
        </w:tc>
      </w:tr>
      <w:tr xmlns:wp14="http://schemas.microsoft.com/office/word/2010/wordml" w14:paraId="1F7AB36C" wp14:textId="77777777">
        <w:trPr>
          <w:cantSplit/>
          <w:tblHeader w:val="false"/>
        </w:trPr>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76808AC" wp14:textId="77777777">
            <w:pPr>
              <w:spacing w:after="0" w:line="220"/>
            </w:pPr>
            <w:r>
              <w:rPr>
                <w:rFonts w:ascii="Arial" w:hAnsi="Arial" w:eastAsia="Arial" w:cs="Arial"/>
                <w:b w:val="false"/>
                <w:bCs w:val="false"/>
                <w:i w:val="false"/>
                <w:iCs w:val="false"/>
                <w:color w:val="1A1A1A"/>
                <w:sz w:val="15"/>
                <w:szCs w:val="15"/>
              </w:rPr>
              <w:t xml:space="preserve">Identity and security-first managed services</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78941E47" wp14:textId="77777777">
            <w:pPr>
              <w:spacing w:after="0" w:line="220"/>
            </w:pPr>
            <w:r>
              <w:rPr>
                <w:rFonts w:ascii="Arial" w:hAnsi="Arial" w:eastAsia="Arial" w:cs="Arial"/>
                <w:b w:val="false"/>
                <w:bCs w:val="false"/>
                <w:i w:val="false"/>
                <w:iCs w:val="false"/>
                <w:color w:val="1A1A1A"/>
                <w:sz w:val="15"/>
                <w:szCs w:val="15"/>
              </w:rPr>
              <w:t xml:space="preserve">5</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44240AAE" wp14:textId="77777777">
            <w:pPr>
              <w:spacing w:after="0" w:line="220"/>
            </w:pPr>
            <w:r>
              <w:rPr>
                <w:rFonts w:ascii="Arial" w:hAnsi="Arial" w:eastAsia="Arial" w:cs="Arial"/>
                <w:b w:val="false"/>
                <w:bCs w:val="false"/>
                <w:i w:val="false"/>
                <w:iCs w:val="false"/>
                <w:color w:val="1A1A1A"/>
                <w:sz w:val="15"/>
                <w:szCs w:val="15"/>
              </w:rPr>
              <w:t xml:space="preserve">5</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598DEE6" wp14:textId="77777777">
            <w:pPr>
              <w:spacing w:after="0" w:line="220"/>
            </w:pPr>
            <w:r>
              <w:rPr>
                <w:rFonts w:ascii="Arial" w:hAnsi="Arial" w:eastAsia="Arial" w:cs="Arial"/>
                <w:b w:val="false"/>
                <w:bCs w:val="false"/>
                <w:i w:val="false"/>
                <w:iCs w:val="false"/>
                <w:color w:val="1A1A1A"/>
                <w:sz w:val="15"/>
                <w:szCs w:val="15"/>
              </w:rPr>
              <w:t xml:space="preserve">4</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76DB90EB" wp14:textId="77777777">
            <w:pPr>
              <w:spacing w:after="0" w:line="220"/>
            </w:pPr>
            <w:r>
              <w:rPr>
                <w:rFonts w:ascii="Arial" w:hAnsi="Arial" w:eastAsia="Arial" w:cs="Arial"/>
                <w:b w:val="false"/>
                <w:bCs w:val="false"/>
                <w:i w:val="false"/>
                <w:iCs w:val="false"/>
                <w:color w:val="1A1A1A"/>
                <w:sz w:val="15"/>
                <w:szCs w:val="15"/>
              </w:rPr>
              <w:t xml:space="preserve">5</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5DBCAB2" wp14:textId="77777777">
            <w:pPr>
              <w:spacing w:after="0" w:line="220"/>
            </w:pPr>
            <w:r>
              <w:rPr>
                <w:rFonts w:ascii="Arial" w:hAnsi="Arial" w:eastAsia="Arial" w:cs="Arial"/>
                <w:b w:val="false"/>
                <w:bCs w:val="false"/>
                <w:i w:val="false"/>
                <w:iCs w:val="false"/>
                <w:color w:val="1A1A1A"/>
                <w:sz w:val="15"/>
                <w:szCs w:val="15"/>
              </w:rPr>
              <w:t xml:space="preserve">Foundation for all other automation and agents.</w:t>
            </w:r>
          </w:p>
        </w:tc>
      </w:tr>
      <w:tr xmlns:wp14="http://schemas.microsoft.com/office/word/2010/wordml" w14:paraId="4F6DD8B3" wp14:textId="77777777">
        <w:trPr>
          <w:cantSplit/>
          <w:tblHeader w:val="false"/>
        </w:trPr>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1C33A40" wp14:textId="77777777">
            <w:pPr>
              <w:spacing w:after="0" w:line="220"/>
            </w:pPr>
            <w:r>
              <w:rPr>
                <w:rFonts w:ascii="Arial" w:hAnsi="Arial" w:eastAsia="Arial" w:cs="Arial"/>
                <w:b w:val="false"/>
                <w:bCs w:val="false"/>
                <w:i w:val="false"/>
                <w:iCs w:val="false"/>
                <w:color w:val="1A1A1A"/>
                <w:sz w:val="15"/>
                <w:szCs w:val="15"/>
              </w:rPr>
              <w:t xml:space="preserve">Compliance and assurance</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29DE7E4" wp14:textId="77777777">
            <w:pPr>
              <w:spacing w:after="0" w:line="220"/>
            </w:pPr>
            <w:r>
              <w:rPr>
                <w:rFonts w:ascii="Arial" w:hAnsi="Arial" w:eastAsia="Arial" w:cs="Arial"/>
                <w:b w:val="false"/>
                <w:bCs w:val="false"/>
                <w:i w:val="false"/>
                <w:iCs w:val="false"/>
                <w:color w:val="1A1A1A"/>
                <w:sz w:val="15"/>
                <w:szCs w:val="15"/>
              </w:rPr>
              <w:t xml:space="preserve">5</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279935FF" wp14:textId="77777777">
            <w:pPr>
              <w:spacing w:after="0" w:line="220"/>
            </w:pPr>
            <w:r>
              <w:rPr>
                <w:rFonts w:ascii="Arial" w:hAnsi="Arial" w:eastAsia="Arial" w:cs="Arial"/>
                <w:b w:val="false"/>
                <w:bCs w:val="false"/>
                <w:i w:val="false"/>
                <w:iCs w:val="false"/>
                <w:color w:val="1A1A1A"/>
                <w:sz w:val="15"/>
                <w:szCs w:val="15"/>
              </w:rPr>
              <w:t xml:space="preserve">4</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C964D78" wp14:textId="77777777">
            <w:pPr>
              <w:spacing w:after="0" w:line="220"/>
            </w:pPr>
            <w:r>
              <w:rPr>
                <w:rFonts w:ascii="Arial" w:hAnsi="Arial" w:eastAsia="Arial" w:cs="Arial"/>
                <w:b w:val="false"/>
                <w:bCs w:val="false"/>
                <w:i w:val="false"/>
                <w:iCs w:val="false"/>
                <w:color w:val="1A1A1A"/>
                <w:sz w:val="15"/>
                <w:szCs w:val="15"/>
              </w:rPr>
              <w:t xml:space="preserve">4</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1D0ADF7A" wp14:textId="77777777">
            <w:pPr>
              <w:spacing w:after="0" w:line="220"/>
            </w:pPr>
            <w:r>
              <w:rPr>
                <w:rFonts w:ascii="Arial" w:hAnsi="Arial" w:eastAsia="Arial" w:cs="Arial"/>
                <w:b w:val="false"/>
                <w:bCs w:val="false"/>
                <w:i w:val="false"/>
                <w:iCs w:val="false"/>
                <w:color w:val="1A1A1A"/>
                <w:sz w:val="15"/>
                <w:szCs w:val="15"/>
              </w:rPr>
              <w:t xml:space="preserve">5</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004F8084" wp14:textId="77777777">
            <w:pPr>
              <w:spacing w:after="0" w:line="220"/>
            </w:pPr>
            <w:r>
              <w:rPr>
                <w:rFonts w:ascii="Arial" w:hAnsi="Arial" w:eastAsia="Arial" w:cs="Arial"/>
                <w:b w:val="false"/>
                <w:bCs w:val="false"/>
                <w:i w:val="false"/>
                <w:iCs w:val="false"/>
                <w:color w:val="1A1A1A"/>
                <w:sz w:val="15"/>
                <w:szCs w:val="15"/>
              </w:rPr>
              <w:t xml:space="preserve">Strong where evidence, vertical knowledge and executive accountability matter.</w:t>
            </w:r>
          </w:p>
        </w:tc>
      </w:tr>
      <w:tr xmlns:wp14="http://schemas.microsoft.com/office/word/2010/wordml" w14:paraId="68B8B72E" wp14:textId="77777777">
        <w:trPr>
          <w:cantSplit/>
          <w:tblHeader w:val="false"/>
        </w:trPr>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F803CD2" wp14:textId="77777777">
            <w:pPr>
              <w:spacing w:after="0" w:line="220"/>
            </w:pPr>
            <w:r>
              <w:rPr>
                <w:rFonts w:ascii="Arial" w:hAnsi="Arial" w:eastAsia="Arial" w:cs="Arial"/>
                <w:b w:val="false"/>
                <w:bCs w:val="false"/>
                <w:i w:val="false"/>
                <w:iCs w:val="false"/>
                <w:color w:val="1A1A1A"/>
                <w:sz w:val="15"/>
                <w:szCs w:val="15"/>
              </w:rPr>
              <w:t xml:space="preserve">Internal AI-enabled delivery</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4648C29" wp14:textId="77777777">
            <w:pPr>
              <w:spacing w:after="0" w:line="220"/>
            </w:pPr>
            <w:r>
              <w:rPr>
                <w:rFonts w:ascii="Arial" w:hAnsi="Arial" w:eastAsia="Arial" w:cs="Arial"/>
                <w:b w:val="false"/>
                <w:bCs w:val="false"/>
                <w:i w:val="false"/>
                <w:iCs w:val="false"/>
                <w:color w:val="1A1A1A"/>
                <w:sz w:val="15"/>
                <w:szCs w:val="15"/>
              </w:rPr>
              <w:t xml:space="preserve">5</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5FCD5EC4" wp14:textId="77777777">
            <w:pPr>
              <w:spacing w:after="0" w:line="220"/>
            </w:pPr>
            <w:r>
              <w:rPr>
                <w:rFonts w:ascii="Arial" w:hAnsi="Arial" w:eastAsia="Arial" w:cs="Arial"/>
                <w:b w:val="false"/>
                <w:bCs w:val="false"/>
                <w:i w:val="false"/>
                <w:iCs w:val="false"/>
                <w:color w:val="1A1A1A"/>
                <w:sz w:val="15"/>
                <w:szCs w:val="15"/>
              </w:rPr>
              <w:t xml:space="preserve">3</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4C3CC76" wp14:textId="77777777">
            <w:pPr>
              <w:spacing w:after="0" w:line="220"/>
            </w:pPr>
            <w:r>
              <w:rPr>
                <w:rFonts w:ascii="Arial" w:hAnsi="Arial" w:eastAsia="Arial" w:cs="Arial"/>
                <w:b w:val="false"/>
                <w:bCs w:val="false"/>
                <w:i w:val="false"/>
                <w:iCs w:val="false"/>
                <w:color w:val="1A1A1A"/>
                <w:sz w:val="15"/>
                <w:szCs w:val="15"/>
              </w:rPr>
              <w:t xml:space="preserve">5</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7310F6F" wp14:textId="77777777">
            <w:pPr>
              <w:spacing w:after="0" w:line="220"/>
            </w:pPr>
            <w:r>
              <w:rPr>
                <w:rFonts w:ascii="Arial" w:hAnsi="Arial" w:eastAsia="Arial" w:cs="Arial"/>
                <w:b w:val="false"/>
                <w:bCs w:val="false"/>
                <w:i w:val="false"/>
                <w:iCs w:val="false"/>
                <w:color w:val="1A1A1A"/>
                <w:sz w:val="15"/>
                <w:szCs w:val="15"/>
              </w:rPr>
              <w:t xml:space="preserve">4</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44388BC" wp14:textId="77777777">
            <w:pPr>
              <w:spacing w:after="0" w:line="220"/>
            </w:pPr>
            <w:r>
              <w:rPr>
                <w:rFonts w:ascii="Arial" w:hAnsi="Arial" w:eastAsia="Arial" w:cs="Arial"/>
                <w:b w:val="false"/>
                <w:bCs w:val="false"/>
                <w:i w:val="false"/>
                <w:iCs w:val="false"/>
                <w:color w:val="1A1A1A"/>
                <w:sz w:val="15"/>
                <w:szCs w:val="15"/>
              </w:rPr>
              <w:t xml:space="preserve">Prerequisite for price and margin resilience.</w:t>
            </w:r>
          </w:p>
        </w:tc>
      </w:tr>
      <w:tr xmlns:wp14="http://schemas.microsoft.com/office/word/2010/wordml" w14:paraId="1A8BD035" wp14:textId="77777777">
        <w:trPr>
          <w:cantSplit/>
          <w:tblHeader w:val="false"/>
        </w:trPr>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4B4D174F" wp14:textId="77777777">
            <w:pPr>
              <w:spacing w:after="0" w:line="220"/>
            </w:pPr>
            <w:r>
              <w:rPr>
                <w:rFonts w:ascii="Arial" w:hAnsi="Arial" w:eastAsia="Arial" w:cs="Arial"/>
                <w:b w:val="false"/>
                <w:bCs w:val="false"/>
                <w:i w:val="false"/>
                <w:iCs w:val="false"/>
                <w:color w:val="1A1A1A"/>
                <w:sz w:val="15"/>
                <w:szCs w:val="15"/>
              </w:rPr>
              <w:t xml:space="preserve">AI governance and managed agent operations</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5090736E" wp14:textId="77777777">
            <w:pPr>
              <w:spacing w:after="0" w:line="220"/>
            </w:pPr>
            <w:r>
              <w:rPr>
                <w:rFonts w:ascii="Arial" w:hAnsi="Arial" w:eastAsia="Arial" w:cs="Arial"/>
                <w:b w:val="false"/>
                <w:bCs w:val="false"/>
                <w:i w:val="false"/>
                <w:iCs w:val="false"/>
                <w:color w:val="1A1A1A"/>
                <w:sz w:val="15"/>
                <w:szCs w:val="15"/>
              </w:rPr>
              <w:t xml:space="preserve">5</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95C1E81" wp14:textId="77777777">
            <w:pPr>
              <w:spacing w:after="0" w:line="220"/>
            </w:pPr>
            <w:r>
              <w:rPr>
                <w:rFonts w:ascii="Arial" w:hAnsi="Arial" w:eastAsia="Arial" w:cs="Arial"/>
                <w:b w:val="false"/>
                <w:bCs w:val="false"/>
                <w:i w:val="false"/>
                <w:iCs w:val="false"/>
                <w:color w:val="1A1A1A"/>
                <w:sz w:val="15"/>
                <w:szCs w:val="15"/>
              </w:rPr>
              <w:t xml:space="preserve">5</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22C3D751" wp14:textId="77777777">
            <w:pPr>
              <w:spacing w:after="0" w:line="220"/>
            </w:pPr>
            <w:r>
              <w:rPr>
                <w:rFonts w:ascii="Arial" w:hAnsi="Arial" w:eastAsia="Arial" w:cs="Arial"/>
                <w:b w:val="false"/>
                <w:bCs w:val="false"/>
                <w:i w:val="false"/>
                <w:iCs w:val="false"/>
                <w:color w:val="1A1A1A"/>
                <w:sz w:val="15"/>
                <w:szCs w:val="15"/>
              </w:rPr>
              <w:t xml:space="preserve">4</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4E6894D6" wp14:textId="77777777">
            <w:pPr>
              <w:spacing w:after="0" w:line="220"/>
            </w:pPr>
            <w:r>
              <w:rPr>
                <w:rFonts w:ascii="Arial" w:hAnsi="Arial" w:eastAsia="Arial" w:cs="Arial"/>
                <w:b w:val="false"/>
                <w:bCs w:val="false"/>
                <w:i w:val="false"/>
                <w:iCs w:val="false"/>
                <w:color w:val="1A1A1A"/>
                <w:sz w:val="15"/>
                <w:szCs w:val="15"/>
              </w:rPr>
              <w:t xml:space="preserve">5</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316E92B4" wp14:textId="77777777">
            <w:pPr>
              <w:spacing w:after="0" w:line="220"/>
            </w:pPr>
            <w:r>
              <w:rPr>
                <w:rFonts w:ascii="Arial" w:hAnsi="Arial" w:eastAsia="Arial" w:cs="Arial"/>
                <w:b w:val="false"/>
                <w:bCs w:val="false"/>
                <w:i w:val="false"/>
                <w:iCs w:val="false"/>
                <w:color w:val="1A1A1A"/>
                <w:sz w:val="15"/>
                <w:szCs w:val="15"/>
              </w:rPr>
              <w:t xml:space="preserve">New control-plane service aligned with Microsoft direction.</w:t>
            </w:r>
          </w:p>
        </w:tc>
      </w:tr>
      <w:tr xmlns:wp14="http://schemas.microsoft.com/office/word/2010/wordml" w14:paraId="6DC72B8F" wp14:textId="77777777">
        <w:trPr>
          <w:cantSplit/>
          <w:tblHeader w:val="false"/>
        </w:trPr>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0F15986D" wp14:textId="77777777">
            <w:pPr>
              <w:spacing w:after="0" w:line="220"/>
            </w:pPr>
            <w:r>
              <w:rPr>
                <w:rFonts w:ascii="Arial" w:hAnsi="Arial" w:eastAsia="Arial" w:cs="Arial"/>
                <w:b w:val="false"/>
                <w:bCs w:val="false"/>
                <w:i w:val="false"/>
                <w:iCs w:val="false"/>
                <w:color w:val="1A1A1A"/>
                <w:sz w:val="15"/>
                <w:szCs w:val="15"/>
              </w:rPr>
              <w:t xml:space="preserve">Business-process automation</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5055DCC4" wp14:textId="77777777">
            <w:pPr>
              <w:spacing w:after="0" w:line="220"/>
            </w:pPr>
            <w:r>
              <w:rPr>
                <w:rFonts w:ascii="Arial" w:hAnsi="Arial" w:eastAsia="Arial" w:cs="Arial"/>
                <w:b w:val="false"/>
                <w:bCs w:val="false"/>
                <w:i w:val="false"/>
                <w:iCs w:val="false"/>
                <w:color w:val="1A1A1A"/>
                <w:sz w:val="15"/>
                <w:szCs w:val="15"/>
              </w:rPr>
              <w:t xml:space="preserve">4</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A581CC0" wp14:textId="77777777">
            <w:pPr>
              <w:spacing w:after="0" w:line="220"/>
            </w:pPr>
            <w:r>
              <w:rPr>
                <w:rFonts w:ascii="Arial" w:hAnsi="Arial" w:eastAsia="Arial" w:cs="Arial"/>
                <w:b w:val="false"/>
                <w:bCs w:val="false"/>
                <w:i w:val="false"/>
                <w:iCs w:val="false"/>
                <w:color w:val="1A1A1A"/>
                <w:sz w:val="15"/>
                <w:szCs w:val="15"/>
              </w:rPr>
              <w:t xml:space="preserve">5</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BC2995D" wp14:textId="77777777">
            <w:pPr>
              <w:spacing w:after="0" w:line="220"/>
            </w:pPr>
            <w:r>
              <w:rPr>
                <w:rFonts w:ascii="Arial" w:hAnsi="Arial" w:eastAsia="Arial" w:cs="Arial"/>
                <w:b w:val="false"/>
                <w:bCs w:val="false"/>
                <w:i w:val="false"/>
                <w:iCs w:val="false"/>
                <w:color w:val="1A1A1A"/>
                <w:sz w:val="15"/>
                <w:szCs w:val="15"/>
              </w:rPr>
              <w:t xml:space="preserve">4</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7CD048C6" wp14:textId="77777777">
            <w:pPr>
              <w:spacing w:after="0" w:line="220"/>
            </w:pPr>
            <w:r>
              <w:rPr>
                <w:rFonts w:ascii="Arial" w:hAnsi="Arial" w:eastAsia="Arial" w:cs="Arial"/>
                <w:b w:val="false"/>
                <w:bCs w:val="false"/>
                <w:i w:val="false"/>
                <w:iCs w:val="false"/>
                <w:color w:val="1A1A1A"/>
                <w:sz w:val="15"/>
                <w:szCs w:val="15"/>
              </w:rPr>
              <w:t xml:space="preserve">4</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05E8F49F" wp14:textId="77777777">
            <w:pPr>
              <w:spacing w:after="0" w:line="220"/>
            </w:pPr>
            <w:r>
              <w:rPr>
                <w:rFonts w:ascii="Arial" w:hAnsi="Arial" w:eastAsia="Arial" w:cs="Arial"/>
                <w:b w:val="false"/>
                <w:bCs w:val="false"/>
                <w:i w:val="false"/>
                <w:iCs w:val="false"/>
                <w:color w:val="1A1A1A"/>
                <w:sz w:val="15"/>
                <w:szCs w:val="15"/>
              </w:rPr>
              <w:t xml:space="preserve">High value when verticalized and repeatable.</w:t>
            </w:r>
          </w:p>
        </w:tc>
      </w:tr>
      <w:tr xmlns:wp14="http://schemas.microsoft.com/office/word/2010/wordml" w14:paraId="6F17229B" wp14:textId="77777777">
        <w:trPr>
          <w:cantSplit/>
          <w:tblHeader w:val="false"/>
        </w:trPr>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0E71C95A" wp14:textId="77777777">
            <w:pPr>
              <w:spacing w:after="0" w:line="220"/>
            </w:pPr>
            <w:r>
              <w:rPr>
                <w:rFonts w:ascii="Arial" w:hAnsi="Arial" w:eastAsia="Arial" w:cs="Arial"/>
                <w:b w:val="false"/>
                <w:bCs w:val="false"/>
                <w:i w:val="false"/>
                <w:iCs w:val="false"/>
                <w:color w:val="1A1A1A"/>
                <w:sz w:val="15"/>
                <w:szCs w:val="15"/>
              </w:rPr>
              <w:t xml:space="preserve">Data readiness, integration and quality</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2A108F41" wp14:textId="77777777">
            <w:pPr>
              <w:spacing w:after="0" w:line="220"/>
            </w:pPr>
            <w:r>
              <w:rPr>
                <w:rFonts w:ascii="Arial" w:hAnsi="Arial" w:eastAsia="Arial" w:cs="Arial"/>
                <w:b w:val="false"/>
                <w:bCs w:val="false"/>
                <w:i w:val="false"/>
                <w:iCs w:val="false"/>
                <w:color w:val="1A1A1A"/>
                <w:sz w:val="15"/>
                <w:szCs w:val="15"/>
              </w:rPr>
              <w:t xml:space="preserve">4</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04EFE100" wp14:textId="77777777">
            <w:pPr>
              <w:spacing w:after="0" w:line="220"/>
            </w:pPr>
            <w:r>
              <w:rPr>
                <w:rFonts w:ascii="Arial" w:hAnsi="Arial" w:eastAsia="Arial" w:cs="Arial"/>
                <w:b w:val="false"/>
                <w:bCs w:val="false"/>
                <w:i w:val="false"/>
                <w:iCs w:val="false"/>
                <w:color w:val="1A1A1A"/>
                <w:sz w:val="15"/>
                <w:szCs w:val="15"/>
              </w:rPr>
              <w:t xml:space="preserve">5</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4FB28CDF" wp14:textId="77777777">
            <w:pPr>
              <w:spacing w:after="0" w:line="220"/>
            </w:pPr>
            <w:r>
              <w:rPr>
                <w:rFonts w:ascii="Arial" w:hAnsi="Arial" w:eastAsia="Arial" w:cs="Arial"/>
                <w:b w:val="false"/>
                <w:bCs w:val="false"/>
                <w:i w:val="false"/>
                <w:iCs w:val="false"/>
                <w:color w:val="1A1A1A"/>
                <w:sz w:val="15"/>
                <w:szCs w:val="15"/>
              </w:rPr>
              <w:t xml:space="preserve">4</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548A7960" wp14:textId="77777777">
            <w:pPr>
              <w:spacing w:after="0" w:line="220"/>
            </w:pPr>
            <w:r>
              <w:rPr>
                <w:rFonts w:ascii="Arial" w:hAnsi="Arial" w:eastAsia="Arial" w:cs="Arial"/>
                <w:b w:val="false"/>
                <w:bCs w:val="false"/>
                <w:i w:val="false"/>
                <w:iCs w:val="false"/>
                <w:color w:val="1A1A1A"/>
                <w:sz w:val="15"/>
                <w:szCs w:val="15"/>
              </w:rPr>
              <w:t xml:space="preserve">5</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33D74C67" wp14:textId="77777777">
            <w:pPr>
              <w:spacing w:after="0" w:line="220"/>
            </w:pPr>
            <w:r>
              <w:rPr>
                <w:rFonts w:ascii="Arial" w:hAnsi="Arial" w:eastAsia="Arial" w:cs="Arial"/>
                <w:b w:val="false"/>
                <w:bCs w:val="false"/>
                <w:i w:val="false"/>
                <w:iCs w:val="false"/>
                <w:color w:val="1A1A1A"/>
                <w:sz w:val="15"/>
                <w:szCs w:val="15"/>
              </w:rPr>
              <w:t xml:space="preserve">Necessary for reliable AI; difficult to commoditize fully.</w:t>
            </w:r>
          </w:p>
        </w:tc>
      </w:tr>
      <w:tr xmlns:wp14="http://schemas.microsoft.com/office/word/2010/wordml" w14:paraId="614003EE" wp14:textId="77777777">
        <w:trPr>
          <w:cantSplit/>
          <w:tblHeader w:val="false"/>
        </w:trPr>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4C4D7761" wp14:textId="77777777">
            <w:pPr>
              <w:spacing w:after="0" w:line="220"/>
            </w:pPr>
            <w:r>
              <w:rPr>
                <w:rFonts w:ascii="Arial" w:hAnsi="Arial" w:eastAsia="Arial" w:cs="Arial"/>
                <w:b w:val="false"/>
                <w:bCs w:val="false"/>
                <w:i w:val="false"/>
                <w:iCs w:val="false"/>
                <w:color w:val="1A1A1A"/>
                <w:sz w:val="15"/>
                <w:szCs w:val="15"/>
              </w:rPr>
              <w:t xml:space="preserve">AI advisory and implementation</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ABCEBE9" wp14:textId="77777777">
            <w:pPr>
              <w:spacing w:after="0" w:line="220"/>
            </w:pPr>
            <w:r>
              <w:rPr>
                <w:rFonts w:ascii="Arial" w:hAnsi="Arial" w:eastAsia="Arial" w:cs="Arial"/>
                <w:b w:val="false"/>
                <w:bCs w:val="false"/>
                <w:i w:val="false"/>
                <w:iCs w:val="false"/>
                <w:color w:val="1A1A1A"/>
                <w:sz w:val="15"/>
                <w:szCs w:val="15"/>
              </w:rPr>
              <w:t xml:space="preserve">4</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7163D972" wp14:textId="77777777">
            <w:pPr>
              <w:spacing w:after="0" w:line="220"/>
            </w:pPr>
            <w:r>
              <w:rPr>
                <w:rFonts w:ascii="Arial" w:hAnsi="Arial" w:eastAsia="Arial" w:cs="Arial"/>
                <w:b w:val="false"/>
                <w:bCs w:val="false"/>
                <w:i w:val="false"/>
                <w:iCs w:val="false"/>
                <w:color w:val="1A1A1A"/>
                <w:sz w:val="15"/>
                <w:szCs w:val="15"/>
              </w:rPr>
              <w:t xml:space="preserve">4</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0B778152" wp14:textId="77777777">
            <w:pPr>
              <w:spacing w:after="0" w:line="220"/>
            </w:pPr>
            <w:r>
              <w:rPr>
                <w:rFonts w:ascii="Arial" w:hAnsi="Arial" w:eastAsia="Arial" w:cs="Arial"/>
                <w:b w:val="false"/>
                <w:bCs w:val="false"/>
                <w:i w:val="false"/>
                <w:iCs w:val="false"/>
                <w:color w:val="1A1A1A"/>
                <w:sz w:val="15"/>
                <w:szCs w:val="15"/>
              </w:rPr>
              <w:t xml:space="preserve">3</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7A036E3D" wp14:textId="77777777">
            <w:pPr>
              <w:spacing w:after="0" w:line="220"/>
            </w:pPr>
            <w:r>
              <w:rPr>
                <w:rFonts w:ascii="Arial" w:hAnsi="Arial" w:eastAsia="Arial" w:cs="Arial"/>
                <w:b w:val="false"/>
                <w:bCs w:val="false"/>
                <w:i w:val="false"/>
                <w:iCs w:val="false"/>
                <w:color w:val="1A1A1A"/>
                <w:sz w:val="15"/>
                <w:szCs w:val="15"/>
              </w:rPr>
              <w:t xml:space="preserve">3</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BC1A060" wp14:textId="77777777">
            <w:pPr>
              <w:spacing w:after="0" w:line="220"/>
            </w:pPr>
            <w:r>
              <w:rPr>
                <w:rFonts w:ascii="Arial" w:hAnsi="Arial" w:eastAsia="Arial" w:cs="Arial"/>
                <w:b w:val="false"/>
                <w:bCs w:val="false"/>
                <w:i w:val="false"/>
                <w:iCs w:val="false"/>
                <w:color w:val="1A1A1A"/>
                <w:sz w:val="15"/>
                <w:szCs w:val="15"/>
              </w:rPr>
              <w:t xml:space="preserve">Attractive but project-heavy unless converted to managed operations.</w:t>
            </w:r>
          </w:p>
        </w:tc>
      </w:tr>
      <w:tr xmlns:wp14="http://schemas.microsoft.com/office/word/2010/wordml" w14:paraId="2C169E32" wp14:textId="77777777">
        <w:trPr>
          <w:cantSplit/>
          <w:tblHeader w:val="false"/>
        </w:trPr>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69ECF3C8" wp14:textId="77777777">
            <w:pPr>
              <w:spacing w:after="0" w:line="220"/>
            </w:pPr>
            <w:r>
              <w:rPr>
                <w:rFonts w:ascii="Arial" w:hAnsi="Arial" w:eastAsia="Arial" w:cs="Arial"/>
                <w:b w:val="false"/>
                <w:bCs w:val="false"/>
                <w:i w:val="false"/>
                <w:iCs w:val="false"/>
                <w:color w:val="1A1A1A"/>
                <w:sz w:val="15"/>
                <w:szCs w:val="15"/>
              </w:rPr>
              <w:t xml:space="preserve">Continuous adoption and training</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68D9363B" wp14:textId="77777777">
            <w:pPr>
              <w:spacing w:after="0" w:line="220"/>
            </w:pPr>
            <w:r>
              <w:rPr>
                <w:rFonts w:ascii="Arial" w:hAnsi="Arial" w:eastAsia="Arial" w:cs="Arial"/>
                <w:b w:val="false"/>
                <w:bCs w:val="false"/>
                <w:i w:val="false"/>
                <w:iCs w:val="false"/>
                <w:color w:val="1A1A1A"/>
                <w:sz w:val="15"/>
                <w:szCs w:val="15"/>
              </w:rPr>
              <w:t xml:space="preserve">3</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57AB7477" wp14:textId="77777777">
            <w:pPr>
              <w:spacing w:after="0" w:line="220"/>
            </w:pPr>
            <w:r>
              <w:rPr>
                <w:rFonts w:ascii="Arial" w:hAnsi="Arial" w:eastAsia="Arial" w:cs="Arial"/>
                <w:b w:val="false"/>
                <w:bCs w:val="false"/>
                <w:i w:val="false"/>
                <w:iCs w:val="false"/>
                <w:color w:val="1A1A1A"/>
                <w:sz w:val="15"/>
                <w:szCs w:val="15"/>
              </w:rPr>
              <w:t xml:space="preserve">3</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D3D5FE3" wp14:textId="77777777">
            <w:pPr>
              <w:spacing w:after="0" w:line="220"/>
            </w:pPr>
            <w:r>
              <w:rPr>
                <w:rFonts w:ascii="Arial" w:hAnsi="Arial" w:eastAsia="Arial" w:cs="Arial"/>
                <w:b w:val="false"/>
                <w:bCs w:val="false"/>
                <w:i w:val="false"/>
                <w:iCs w:val="false"/>
                <w:color w:val="1A1A1A"/>
                <w:sz w:val="15"/>
                <w:szCs w:val="15"/>
              </w:rPr>
              <w:t xml:space="preserve">4</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297C039E" wp14:textId="77777777">
            <w:pPr>
              <w:spacing w:after="0" w:line="220"/>
            </w:pPr>
            <w:r>
              <w:rPr>
                <w:rFonts w:ascii="Arial" w:hAnsi="Arial" w:eastAsia="Arial" w:cs="Arial"/>
                <w:b w:val="false"/>
                <w:bCs w:val="false"/>
                <w:i w:val="false"/>
                <w:iCs w:val="false"/>
                <w:color w:val="1A1A1A"/>
                <w:sz w:val="15"/>
                <w:szCs w:val="15"/>
              </w:rPr>
              <w:t xml:space="preserve">3</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63316646" wp14:textId="77777777">
            <w:pPr>
              <w:spacing w:after="0" w:line="220"/>
            </w:pPr>
            <w:r>
              <w:rPr>
                <w:rFonts w:ascii="Arial" w:hAnsi="Arial" w:eastAsia="Arial" w:cs="Arial"/>
                <w:b w:val="false"/>
                <w:bCs w:val="false"/>
                <w:i w:val="false"/>
                <w:iCs w:val="false"/>
                <w:color w:val="1A1A1A"/>
                <w:sz w:val="15"/>
                <w:szCs w:val="15"/>
              </w:rPr>
              <w:t xml:space="preserve">Defensible when tied to role outcomes and telemetry.</w:t>
            </w:r>
          </w:p>
        </w:tc>
      </w:tr>
      <w:tr xmlns:wp14="http://schemas.microsoft.com/office/word/2010/wordml" w14:paraId="39ADBB23" wp14:textId="77777777">
        <w:trPr>
          <w:cantSplit/>
          <w:tblHeader w:val="false"/>
        </w:trPr>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7DAFAAE6" wp14:textId="77777777">
            <w:pPr>
              <w:spacing w:after="0" w:line="220"/>
            </w:pPr>
            <w:r>
              <w:rPr>
                <w:rFonts w:ascii="Arial" w:hAnsi="Arial" w:eastAsia="Arial" w:cs="Arial"/>
                <w:b w:val="false"/>
                <w:bCs w:val="false"/>
                <w:i w:val="false"/>
                <w:iCs w:val="false"/>
                <w:color w:val="1A1A1A"/>
                <w:sz w:val="15"/>
                <w:szCs w:val="15"/>
              </w:rPr>
              <w:t xml:space="preserve">Standalone 24x7 SOC build</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8F999B5" wp14:textId="77777777">
            <w:pPr>
              <w:spacing w:after="0" w:line="220"/>
            </w:pPr>
            <w:r>
              <w:rPr>
                <w:rFonts w:ascii="Arial" w:hAnsi="Arial" w:eastAsia="Arial" w:cs="Arial"/>
                <w:b w:val="false"/>
                <w:bCs w:val="false"/>
                <w:i w:val="false"/>
                <w:iCs w:val="false"/>
                <w:color w:val="1A1A1A"/>
                <w:sz w:val="15"/>
                <w:szCs w:val="15"/>
              </w:rPr>
              <w:t xml:space="preserve">2</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7714E194" wp14:textId="77777777">
            <w:pPr>
              <w:spacing w:after="0" w:line="220"/>
            </w:pPr>
            <w:r>
              <w:rPr>
                <w:rFonts w:ascii="Arial" w:hAnsi="Arial" w:eastAsia="Arial" w:cs="Arial"/>
                <w:b w:val="false"/>
                <w:bCs w:val="false"/>
                <w:i w:val="false"/>
                <w:iCs w:val="false"/>
                <w:color w:val="1A1A1A"/>
                <w:sz w:val="15"/>
                <w:szCs w:val="15"/>
              </w:rPr>
              <w:t xml:space="preserve">4</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7144751B" wp14:textId="77777777">
            <w:pPr>
              <w:spacing w:after="0" w:line="220"/>
            </w:pPr>
            <w:r>
              <w:rPr>
                <w:rFonts w:ascii="Arial" w:hAnsi="Arial" w:eastAsia="Arial" w:cs="Arial"/>
                <w:b w:val="false"/>
                <w:bCs w:val="false"/>
                <w:i w:val="false"/>
                <w:iCs w:val="false"/>
                <w:color w:val="1A1A1A"/>
                <w:sz w:val="15"/>
                <w:szCs w:val="15"/>
              </w:rPr>
              <w:t xml:space="preserve">2</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A2176D0" wp14:textId="77777777">
            <w:pPr>
              <w:spacing w:after="0" w:line="220"/>
            </w:pPr>
            <w:r>
              <w:rPr>
                <w:rFonts w:ascii="Arial" w:hAnsi="Arial" w:eastAsia="Arial" w:cs="Arial"/>
                <w:b w:val="false"/>
                <w:bCs w:val="false"/>
                <w:i w:val="false"/>
                <w:iCs w:val="false"/>
                <w:color w:val="1A1A1A"/>
                <w:sz w:val="15"/>
                <w:szCs w:val="15"/>
              </w:rPr>
              <w:t xml:space="preserve">3</w:t>
            </w:r>
          </w:p>
        </w:tc>
        <w:tc>
          <w:tcPr>
            <w:tcW w:w="1776"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69F38CD" wp14:textId="77777777">
            <w:pPr>
              <w:spacing w:after="0" w:line="220"/>
            </w:pPr>
            <w:r>
              <w:rPr>
                <w:rFonts w:ascii="Arial" w:hAnsi="Arial" w:eastAsia="Arial" w:cs="Arial"/>
                <w:b w:val="false"/>
                <w:bCs w:val="false"/>
                <w:i w:val="false"/>
                <w:iCs w:val="false"/>
                <w:color w:val="1A1A1A"/>
                <w:sz w:val="15"/>
                <w:szCs w:val="15"/>
              </w:rPr>
              <w:t xml:space="preserve">Often better through partnership unless scale is already present.</w:t>
            </w:r>
          </w:p>
        </w:tc>
      </w:tr>
      <w:tr xmlns:wp14="http://schemas.microsoft.com/office/word/2010/wordml" w14:paraId="44AC1BE4" wp14:textId="77777777">
        <w:trPr>
          <w:cantSplit/>
          <w:tblHeader w:val="false"/>
        </w:trPr>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01F0E390" wp14:textId="77777777">
            <w:pPr>
              <w:spacing w:after="0" w:line="220"/>
            </w:pPr>
            <w:r>
              <w:rPr>
                <w:rFonts w:ascii="Arial" w:hAnsi="Arial" w:eastAsia="Arial" w:cs="Arial"/>
                <w:b w:val="false"/>
                <w:bCs w:val="false"/>
                <w:i w:val="false"/>
                <w:iCs w:val="false"/>
                <w:color w:val="1A1A1A"/>
                <w:sz w:val="15"/>
                <w:szCs w:val="15"/>
              </w:rPr>
              <w:t xml:space="preserve">Commodity device/help-desk expansion</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649841BE" wp14:textId="77777777">
            <w:pPr>
              <w:spacing w:after="0" w:line="220"/>
            </w:pPr>
            <w:r>
              <w:rPr>
                <w:rFonts w:ascii="Arial" w:hAnsi="Arial" w:eastAsia="Arial" w:cs="Arial"/>
                <w:b w:val="false"/>
                <w:bCs w:val="false"/>
                <w:i w:val="false"/>
                <w:iCs w:val="false"/>
                <w:color w:val="1A1A1A"/>
                <w:sz w:val="15"/>
                <w:szCs w:val="15"/>
              </w:rPr>
              <w:t xml:space="preserve">1</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8E884CA" wp14:textId="77777777">
            <w:pPr>
              <w:spacing w:after="0" w:line="220"/>
            </w:pPr>
            <w:r>
              <w:rPr>
                <w:rFonts w:ascii="Arial" w:hAnsi="Arial" w:eastAsia="Arial" w:cs="Arial"/>
                <w:b w:val="false"/>
                <w:bCs w:val="false"/>
                <w:i w:val="false"/>
                <w:iCs w:val="false"/>
                <w:color w:val="1A1A1A"/>
                <w:sz w:val="15"/>
                <w:szCs w:val="15"/>
              </w:rPr>
              <w:t xml:space="preserve">2</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842F596" wp14:textId="77777777">
            <w:pPr>
              <w:spacing w:after="0" w:line="220"/>
            </w:pPr>
            <w:r>
              <w:rPr>
                <w:rFonts w:ascii="Arial" w:hAnsi="Arial" w:eastAsia="Arial" w:cs="Arial"/>
                <w:b w:val="false"/>
                <w:bCs w:val="false"/>
                <w:i w:val="false"/>
                <w:iCs w:val="false"/>
                <w:color w:val="1A1A1A"/>
                <w:sz w:val="15"/>
                <w:szCs w:val="15"/>
              </w:rPr>
              <w:t xml:space="preserve">2</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56B20A0C" wp14:textId="77777777">
            <w:pPr>
              <w:spacing w:after="0" w:line="220"/>
            </w:pPr>
            <w:r>
              <w:rPr>
                <w:rFonts w:ascii="Arial" w:hAnsi="Arial" w:eastAsia="Arial" w:cs="Arial"/>
                <w:b w:val="false"/>
                <w:bCs w:val="false"/>
                <w:i w:val="false"/>
                <w:iCs w:val="false"/>
                <w:color w:val="1A1A1A"/>
                <w:sz w:val="15"/>
                <w:szCs w:val="15"/>
              </w:rPr>
              <w:t xml:space="preserve">1</w:t>
            </w:r>
          </w:p>
        </w:tc>
        <w:tc>
          <w:tcPr>
            <w:tcW w:w="1776"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6B815E75" wp14:textId="77777777">
            <w:pPr>
              <w:spacing w:after="0" w:line="220"/>
            </w:pPr>
            <w:r>
              <w:rPr>
                <w:rFonts w:ascii="Arial" w:hAnsi="Arial" w:eastAsia="Arial" w:cs="Arial"/>
                <w:b w:val="false"/>
                <w:bCs w:val="false"/>
                <w:i w:val="false"/>
                <w:iCs w:val="false"/>
                <w:color w:val="1A1A1A"/>
                <w:sz w:val="15"/>
                <w:szCs w:val="15"/>
              </w:rPr>
              <w:t xml:space="preserve">Harvest and automate; do not make it the growth thesis.</w:t>
            </w:r>
          </w:p>
        </w:tc>
      </w:tr>
    </w:tbl>
    <w:p xmlns:wp14="http://schemas.microsoft.com/office/word/2010/wordml" w14:paraId="4B94D5A5" wp14:textId="77777777">
      <w:pPr>
        <w:spacing w:after="120"/>
      </w:pPr>
    </w:p>
    <w:p xmlns:wp14="http://schemas.microsoft.com/office/word/2010/wordml" w14:paraId="6F03752F" wp14:textId="77777777">
      <w:pPr>
        <w:pStyle w:val="Heading2"/>
      </w:pPr>
      <w:r>
        <w:rPr>
          <w:rFonts w:ascii="Arial" w:hAnsi="Arial" w:eastAsia="Arial" w:cs="Arial"/>
          <w:b/>
          <w:bCs/>
          <w:color w:val="1F8A8A"/>
          <w:sz w:val="25"/>
          <w:szCs w:val="25"/>
        </w:rPr>
        <w:t xml:space="preserve">10.3 Portfolio migration</w:t>
      </w:r>
    </w:p>
    <w:p xmlns:wp14="http://schemas.microsoft.com/office/word/2010/wordml" w14:paraId="3DEEC669" wp14:textId="77777777">
      <w:pPr>
        <w:spacing w:before="160" w:after="70"/>
        <w:jc w:val="center"/>
      </w:pPr>
      <w:r>
        <w:drawing>
          <wp:inline xmlns:wp14="http://schemas.microsoft.com/office/word/2010/wordprocessingDrawing" distT="0" distB="0" distL="0" distR="0" wp14:anchorId="41A5C0A3" wp14:editId="7777777">
            <wp:extent cx="6572250" cy="2867025"/>
            <wp:effectExtent l="0" t="0" r="0" b="0"/>
            <wp:docPr id="191010014" name="chart_portfolio_mix.png" descr="Figure 4. An illustrative transformed portfolio reduces commodity task concentration and expands security, governance, data and automation." title="Figure 4. An illustrative transformed portfolio reduces commodity task concentration and expands security, governance, data and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2867025"/>
                    </a:xfrm>
                    <a:prstGeom prst="rect">
                      <a:avLst/>
                    </a:prstGeom>
                  </pic:spPr>
                </pic:pic>
              </a:graphicData>
            </a:graphic>
          </wp:inline>
        </w:drawing>
      </w:r>
    </w:p>
    <w:p xmlns:wp14="http://schemas.microsoft.com/office/word/2010/wordml" w14:paraId="5A87F1DA" wp14:textId="77777777">
      <w:pPr>
        <w:spacing w:after="180"/>
        <w:jc w:val="center"/>
      </w:pPr>
      <w:r>
        <w:rPr>
          <w:rFonts w:ascii="Arial" w:hAnsi="Arial" w:eastAsia="Arial" w:cs="Arial"/>
          <w:i/>
          <w:iCs/>
          <w:color w:val="526578"/>
          <w:sz w:val="16"/>
          <w:szCs w:val="16"/>
        </w:rPr>
        <w:t xml:space="preserve">Figure 4. An illustrative transformed portfolio reduces commodity task concentration and expands security, governance, data and automation.</w:t>
      </w:r>
    </w:p>
    <w:p xmlns:wp14="http://schemas.microsoft.com/office/word/2010/wordml" w14:paraId="29BEB5A5" wp14:textId="77777777">
      <w:pPr>
        <w:keepLines/>
        <w:spacing w:after="130" w:line="290"/>
        <w:jc w:val="left"/>
      </w:pPr>
      <w:r>
        <w:rPr>
          <w:rFonts w:ascii="Arial" w:hAnsi="Arial" w:eastAsia="Arial" w:cs="Arial"/>
          <w:b w:val="false"/>
          <w:bCs w:val="false"/>
          <w:i w:val="false"/>
          <w:iCs w:val="false"/>
          <w:color w:val="1A1A1A"/>
          <w:sz w:val="20"/>
          <w:szCs w:val="20"/>
        </w:rPr>
        <w:t xml:space="preserve">The target is not to rename current services. It is to move gross profit toward managed risk and managed change. Every new service should have a defined customer problem, repeatable scope, measurable outcome, delivery design, unit economics, legal boundary and renewal mechanism.</w:t>
      </w:r>
    </w:p>
    <w:p xmlns:wp14="http://schemas.microsoft.com/office/word/2010/wordml" w14:paraId="423F940D" wp14:textId="77777777">
      <w:pPr>
        <w:pStyle w:val="Heading2"/>
      </w:pPr>
      <w:r>
        <w:rPr>
          <w:rFonts w:ascii="Arial" w:hAnsi="Arial" w:eastAsia="Arial" w:cs="Arial"/>
          <w:b/>
          <w:bCs/>
          <w:color w:val="1F8A8A"/>
          <w:sz w:val="25"/>
          <w:szCs w:val="25"/>
        </w:rPr>
        <w:t xml:space="preserve">10.4 Commercial evolution</w:t>
      </w:r>
    </w:p>
    <w:p xmlns:wp14="http://schemas.microsoft.com/office/word/2010/wordml" w14:paraId="7642B409" wp14:textId="77777777">
      <w:pPr>
        <w:keepLines/>
        <w:spacing w:after="130" w:line="290"/>
        <w:jc w:val="left"/>
      </w:pPr>
      <w:r>
        <w:rPr>
          <w:rFonts w:ascii="Arial" w:hAnsi="Arial" w:eastAsia="Arial" w:cs="Arial"/>
          <w:b w:val="false"/>
          <w:bCs w:val="false"/>
          <w:i w:val="false"/>
          <w:iCs w:val="false"/>
          <w:color w:val="1A1A1A"/>
          <w:sz w:val="20"/>
          <w:szCs w:val="20"/>
        </w:rPr>
        <w:t xml:space="preserve">Transition away from ticket-count value and unlimited scope. Retain per-user or per-device units only where they are simple proxies for platform access or risk surface.</w:t>
      </w:r>
    </w:p>
    <w:p xmlns:wp14="http://schemas.microsoft.com/office/word/2010/wordml" w14:paraId="770D1A0E" wp14:textId="77777777">
      <w:pPr>
        <w:keepLines/>
        <w:spacing w:after="130" w:line="290"/>
        <w:jc w:val="left"/>
      </w:pPr>
      <w:r>
        <w:rPr>
          <w:rFonts w:ascii="Arial" w:hAnsi="Arial" w:eastAsia="Arial" w:cs="Arial"/>
          <w:b w:val="false"/>
          <w:bCs w:val="false"/>
          <w:i w:val="false"/>
          <w:iCs w:val="false"/>
          <w:color w:val="1A1A1A"/>
          <w:sz w:val="20"/>
          <w:szCs w:val="20"/>
        </w:rPr>
        <w:t xml:space="preserve">Recommended architecture:</w:t>
      </w:r>
    </w:p>
    <w:p xmlns:wp14="http://schemas.microsoft.com/office/word/2010/wordml" w14:paraId="5AEB9DC6"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a base platform and governance subscription;</w:t>
      </w:r>
    </w:p>
    <w:p xmlns:wp14="http://schemas.microsoft.com/office/word/2010/wordml" w14:paraId="747D84B6"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managed security/identity tiers based on risk, telemetry and response scope;</w:t>
      </w:r>
    </w:p>
    <w:p xmlns:wp14="http://schemas.microsoft.com/office/word/2010/wordml" w14:paraId="66038ACC"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managed AI/agent tiers based on environments, agents, consumption and control requirements;</w:t>
      </w:r>
    </w:p>
    <w:p xmlns:wp14="http://schemas.microsoft.com/office/word/2010/wordml" w14:paraId="4BB617BF"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fixed-price implementation packages for repeatable outcomes;</w:t>
      </w:r>
    </w:p>
    <w:p xmlns:wp14="http://schemas.microsoft.com/office/word/2010/wordml" w14:paraId="542EF929"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consumption pass-through with optimization and caps;</w:t>
      </w:r>
    </w:p>
    <w:p xmlns:wp14="http://schemas.microsoft.com/office/word/2010/wordml" w14:paraId="1F261C2F"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outcome incentives only where baselines and customer responsibilities are measurable.</w:t>
      </w:r>
    </w:p>
    <w:p xmlns:wp14="http://schemas.microsoft.com/office/word/2010/wordml" w14:paraId="125E873D" wp14:textId="77777777">
      <w:pPr>
        <w:keepLines/>
        <w:spacing w:after="130" w:line="290"/>
        <w:jc w:val="left"/>
      </w:pPr>
      <w:r>
        <w:rPr>
          <w:rFonts w:ascii="Arial" w:hAnsi="Arial" w:eastAsia="Arial" w:cs="Arial"/>
          <w:b w:val="false"/>
          <w:bCs w:val="false"/>
          <w:i w:val="false"/>
          <w:iCs w:val="false"/>
          <w:color w:val="1A1A1A"/>
          <w:sz w:val="20"/>
          <w:szCs w:val="20"/>
        </w:rPr>
        <w:t xml:space="preserve">Avoid pure outcome contracts for outcomes the provider cannot control. Use shared responsibilities, exclusions, approval thresholds and service credits rather than unlimited liability.</w:t>
      </w:r>
    </w:p>
    <w:p xmlns:wp14="http://schemas.microsoft.com/office/word/2010/wordml" w14:paraId="28090E18" wp14:textId="77777777">
      <w:pPr>
        <w:pStyle w:val="Heading2"/>
      </w:pPr>
      <w:r>
        <w:rPr>
          <w:rFonts w:ascii="Arial" w:hAnsi="Arial" w:eastAsia="Arial" w:cs="Arial"/>
          <w:b/>
          <w:bCs/>
          <w:color w:val="1F8A8A"/>
          <w:sz w:val="25"/>
          <w:szCs w:val="25"/>
        </w:rPr>
        <w:t xml:space="preserve">10.5 Operating-model evolution</w:t>
      </w:r>
    </w:p>
    <w:p xmlns:wp14="http://schemas.microsoft.com/office/word/2010/wordml" w14:paraId="52CB7E5D" wp14:textId="77777777">
      <w:pPr>
        <w:keepLines/>
        <w:spacing w:after="130" w:line="290"/>
        <w:jc w:val="left"/>
      </w:pPr>
      <w:r>
        <w:rPr>
          <w:rFonts w:ascii="Arial" w:hAnsi="Arial" w:eastAsia="Arial" w:cs="Arial"/>
          <w:b w:val="false"/>
          <w:bCs w:val="false"/>
          <w:i w:val="false"/>
          <w:iCs w:val="false"/>
          <w:color w:val="1A1A1A"/>
          <w:sz w:val="20"/>
          <w:szCs w:val="20"/>
        </w:rPr>
        <w:t xml:space="preserve">The future delivery organization resembles a software-enabled operations company:</w:t>
      </w:r>
    </w:p>
    <w:p xmlns:wp14="http://schemas.microsoft.com/office/word/2010/wordml" w14:paraId="4B2BF735"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service product managers own scope, economics and roadmap;</w:t>
      </w:r>
    </w:p>
    <w:p xmlns:wp14="http://schemas.microsoft.com/office/word/2010/wordml" w14:paraId="372F9830"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automation/agent engineers own orchestration and evaluation;</w:t>
      </w:r>
    </w:p>
    <w:p xmlns:wp14="http://schemas.microsoft.com/office/word/2010/wordml" w14:paraId="749645B9"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security and identity specialists set control patterns;</w:t>
      </w:r>
    </w:p>
    <w:p xmlns:wp14="http://schemas.microsoft.com/office/word/2010/wordml" w14:paraId="04B7C11C"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service-desk staff supervise automation and exceptions;</w:t>
      </w:r>
    </w:p>
    <w:p xmlns:wp14="http://schemas.microsoft.com/office/word/2010/wordml" w14:paraId="01402B20"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customer-success teams manage adoption and outcome reviews;</w:t>
      </w:r>
    </w:p>
    <w:p xmlns:wp14="http://schemas.microsoft.com/office/word/2010/wordml" w14:paraId="2DC5A362"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finance tracks consumption, gross profit and cash by service line.</w:t>
      </w:r>
    </w:p>
    <w:p xmlns:wp14="http://schemas.microsoft.com/office/word/2010/wordml" w14:paraId="5245C40C" wp14:textId="77777777">
      <w:pPr>
        <w:keepLines/>
        <w:spacing w:after="130" w:line="290"/>
        <w:jc w:val="left"/>
      </w:pPr>
      <w:r>
        <w:rPr>
          <w:rFonts w:ascii="Arial" w:hAnsi="Arial" w:eastAsia="Arial" w:cs="Arial"/>
          <w:b w:val="false"/>
          <w:bCs w:val="false"/>
          <w:i w:val="false"/>
          <w:iCs w:val="false"/>
          <w:color w:val="1A1A1A"/>
          <w:sz w:val="20"/>
          <w:szCs w:val="20"/>
        </w:rPr>
        <w:t xml:space="preserve">The durable competitive asset is not the number of technicians. It is the combination of customer context, standardized telemetry, reusable automation, specialist judgment and accountable operating routines.</w:t>
      </w:r>
    </w:p>
    <w:p xmlns:wp14="http://schemas.microsoft.com/office/word/2010/wordml" w14:paraId="61A1ECFE" wp14:textId="77777777">
      <w:pPr>
        <w:pStyle w:val="Heading1"/>
        <w:pageBreakBefore/>
      </w:pPr>
      <w:r>
        <w:rPr>
          <w:rFonts w:ascii="Arial" w:hAnsi="Arial" w:eastAsia="Arial" w:cs="Arial"/>
          <w:b/>
          <w:bCs/>
          <w:color w:val="173F5F"/>
          <w:sz w:val="30"/>
          <w:szCs w:val="30"/>
        </w:rPr>
        <w:t xml:space="preserve">11. Recommended Actions</w:t>
      </w:r>
    </w:p>
    <w:p xmlns:wp14="http://schemas.microsoft.com/office/word/2010/wordml" w14:paraId="38C2156D" wp14:textId="77777777">
      <w:pPr>
        <w:pStyle w:val="Heading2"/>
      </w:pPr>
      <w:r>
        <w:rPr>
          <w:rFonts w:ascii="Arial" w:hAnsi="Arial" w:eastAsia="Arial" w:cs="Arial"/>
          <w:b/>
          <w:bCs/>
          <w:color w:val="1F8A8A"/>
          <w:sz w:val="25"/>
          <w:szCs w:val="25"/>
        </w:rPr>
        <w:t xml:space="preserve">11.1 First 90 days: establish facts and control</w:t>
      </w:r>
    </w:p>
    <w:tbl>
      <w:tblPr>
        <w:tblW w:w="10656" w:type="dxa"/>
        <w:tblBorders>
          <w:top w:val="single" w:color="auto" w:sz="4"/>
          <w:left w:val="single" w:color="auto" w:sz="4"/>
          <w:bottom w:val="single" w:color="auto" w:sz="4"/>
          <w:right w:val="single" w:color="auto" w:sz="4"/>
          <w:insideH w:val="single" w:color="auto" w:sz="4"/>
          <w:insideV w:val="single" w:color="auto" w:sz="4"/>
        </w:tblBorders>
      </w:tblPr>
      <w:tblGrid>
        <w:gridCol w:w="2664"/>
        <w:gridCol w:w="2664"/>
        <w:gridCol w:w="2664"/>
        <w:gridCol w:w="2664"/>
      </w:tblGrid>
      <w:tr xmlns:wp14="http://schemas.microsoft.com/office/word/2010/wordml" w14:paraId="50E6D3F1" wp14:textId="77777777">
        <w:trPr>
          <w:cantSplit/>
          <w:tblHeader/>
        </w:trPr>
        <w:tc>
          <w:tcPr>
            <w:tcW w:w="2664"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5CE446E2" wp14:textId="77777777">
            <w:pPr>
              <w:spacing w:after="0" w:line="220"/>
            </w:pPr>
            <w:r>
              <w:rPr>
                <w:rFonts w:ascii="Arial" w:hAnsi="Arial" w:eastAsia="Arial" w:cs="Arial"/>
                <w:b/>
                <w:bCs/>
                <w:i w:val="false"/>
                <w:iCs w:val="false"/>
                <w:color w:val="FFFFFF"/>
                <w:sz w:val="17"/>
                <w:szCs w:val="17"/>
              </w:rPr>
              <w:t xml:space="preserve">Action</w:t>
            </w:r>
          </w:p>
        </w:tc>
        <w:tc>
          <w:tcPr>
            <w:tcW w:w="2664"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468A569D" wp14:textId="77777777">
            <w:pPr>
              <w:spacing w:after="0" w:line="220"/>
            </w:pPr>
            <w:r>
              <w:rPr>
                <w:rFonts w:ascii="Arial" w:hAnsi="Arial" w:eastAsia="Arial" w:cs="Arial"/>
                <w:b/>
                <w:bCs/>
                <w:i w:val="false"/>
                <w:iCs w:val="false"/>
                <w:color w:val="FFFFFF"/>
                <w:sz w:val="17"/>
                <w:szCs w:val="17"/>
              </w:rPr>
              <w:t xml:space="preserve">Owner</w:t>
            </w:r>
          </w:p>
        </w:tc>
        <w:tc>
          <w:tcPr>
            <w:tcW w:w="2664"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2A3AB60E" wp14:textId="77777777">
            <w:pPr>
              <w:spacing w:after="0" w:line="220"/>
            </w:pPr>
            <w:r>
              <w:rPr>
                <w:rFonts w:ascii="Arial" w:hAnsi="Arial" w:eastAsia="Arial" w:cs="Arial"/>
                <w:b/>
                <w:bCs/>
                <w:i w:val="false"/>
                <w:iCs w:val="false"/>
                <w:color w:val="FFFFFF"/>
                <w:sz w:val="17"/>
                <w:szCs w:val="17"/>
              </w:rPr>
              <w:t xml:space="preserve">Deliverable</w:t>
            </w:r>
          </w:p>
        </w:tc>
        <w:tc>
          <w:tcPr>
            <w:tcW w:w="2664"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4D07441C" wp14:textId="77777777">
            <w:pPr>
              <w:spacing w:after="0" w:line="220"/>
            </w:pPr>
            <w:r>
              <w:rPr>
                <w:rFonts w:ascii="Arial" w:hAnsi="Arial" w:eastAsia="Arial" w:cs="Arial"/>
                <w:b/>
                <w:bCs/>
                <w:i w:val="false"/>
                <w:iCs w:val="false"/>
                <w:color w:val="FFFFFF"/>
                <w:sz w:val="17"/>
                <w:szCs w:val="17"/>
              </w:rPr>
              <w:t xml:space="preserve">Decision gate</w:t>
            </w:r>
          </w:p>
        </w:tc>
      </w:tr>
      <w:tr xmlns:wp14="http://schemas.microsoft.com/office/word/2010/wordml" w14:paraId="3A3E9E48"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547B1E30" wp14:textId="77777777">
            <w:pPr>
              <w:spacing w:after="0" w:line="220"/>
            </w:pPr>
            <w:r>
              <w:rPr>
                <w:rFonts w:ascii="Arial" w:hAnsi="Arial" w:eastAsia="Arial" w:cs="Arial"/>
                <w:b w:val="false"/>
                <w:bCs w:val="false"/>
                <w:i w:val="false"/>
                <w:iCs w:val="false"/>
                <w:color w:val="1A1A1A"/>
                <w:sz w:val="17"/>
                <w:szCs w:val="17"/>
              </w:rPr>
              <w:t xml:space="preserve">Recast financials by service line</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7080BF1C" wp14:textId="77777777">
            <w:pPr>
              <w:spacing w:after="0" w:line="220"/>
            </w:pPr>
            <w:r>
              <w:rPr>
                <w:rFonts w:ascii="Arial" w:hAnsi="Arial" w:eastAsia="Arial" w:cs="Arial"/>
                <w:b w:val="false"/>
                <w:bCs w:val="false"/>
                <w:i w:val="false"/>
                <w:iCs w:val="false"/>
                <w:color w:val="1A1A1A"/>
                <w:sz w:val="17"/>
                <w:szCs w:val="17"/>
              </w:rPr>
              <w:t xml:space="preserve">CFO / COO</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F3E083B" wp14:textId="77777777">
            <w:pPr>
              <w:spacing w:after="0" w:line="220"/>
            </w:pPr>
            <w:r>
              <w:rPr>
                <w:rFonts w:ascii="Arial" w:hAnsi="Arial" w:eastAsia="Arial" w:cs="Arial"/>
                <w:b w:val="false"/>
                <w:bCs w:val="false"/>
                <w:i w:val="false"/>
                <w:iCs w:val="false"/>
                <w:color w:val="1A1A1A"/>
                <w:sz w:val="17"/>
                <w:szCs w:val="17"/>
              </w:rPr>
              <w:t xml:space="preserve">Net revenue, labor, tools, gross profit and cash by line</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02E5C25" wp14:textId="77777777">
            <w:pPr>
              <w:spacing w:after="0" w:line="220"/>
            </w:pPr>
            <w:r>
              <w:rPr>
                <w:rFonts w:ascii="Arial" w:hAnsi="Arial" w:eastAsia="Arial" w:cs="Arial"/>
                <w:b w:val="false"/>
                <w:bCs w:val="false"/>
                <w:i w:val="false"/>
                <w:iCs w:val="false"/>
                <w:color w:val="1A1A1A"/>
                <w:sz w:val="17"/>
                <w:szCs w:val="17"/>
              </w:rPr>
              <w:t xml:space="preserve">No strategic investment without a comparable baseline.</w:t>
            </w:r>
          </w:p>
        </w:tc>
      </w:tr>
      <w:tr xmlns:wp14="http://schemas.microsoft.com/office/word/2010/wordml" w14:paraId="02F5C2C2"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56E05253" wp14:textId="77777777">
            <w:pPr>
              <w:spacing w:after="0" w:line="220"/>
            </w:pPr>
            <w:r>
              <w:rPr>
                <w:rFonts w:ascii="Arial" w:hAnsi="Arial" w:eastAsia="Arial" w:cs="Arial"/>
                <w:b w:val="false"/>
                <w:bCs w:val="false"/>
                <w:i w:val="false"/>
                <w:iCs w:val="false"/>
                <w:color w:val="1A1A1A"/>
                <w:sz w:val="17"/>
                <w:szCs w:val="17"/>
              </w:rPr>
              <w:t xml:space="preserve">Instrument service operations</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7F62356" wp14:textId="77777777">
            <w:pPr>
              <w:spacing w:after="0" w:line="220"/>
            </w:pPr>
            <w:r>
              <w:rPr>
                <w:rFonts w:ascii="Arial" w:hAnsi="Arial" w:eastAsia="Arial" w:cs="Arial"/>
                <w:b w:val="false"/>
                <w:bCs w:val="false"/>
                <w:i w:val="false"/>
                <w:iCs w:val="false"/>
                <w:color w:val="1A1A1A"/>
                <w:sz w:val="17"/>
                <w:szCs w:val="17"/>
              </w:rPr>
              <w:t xml:space="preserve">Service leader</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34A97413" wp14:textId="77777777">
            <w:pPr>
              <w:spacing w:after="0" w:line="220"/>
            </w:pPr>
            <w:r>
              <w:rPr>
                <w:rFonts w:ascii="Arial" w:hAnsi="Arial" w:eastAsia="Arial" w:cs="Arial"/>
                <w:b w:val="false"/>
                <w:bCs w:val="false"/>
                <w:i w:val="false"/>
                <w:iCs w:val="false"/>
                <w:color w:val="1A1A1A"/>
                <w:sz w:val="17"/>
                <w:szCs w:val="17"/>
              </w:rPr>
              <w:t xml:space="preserve">Correct resolution cost, reopen rate, automation rate, review time</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3C0FB141" wp14:textId="77777777">
            <w:pPr>
              <w:spacing w:after="0" w:line="220"/>
            </w:pPr>
            <w:r>
              <w:rPr>
                <w:rFonts w:ascii="Arial" w:hAnsi="Arial" w:eastAsia="Arial" w:cs="Arial"/>
                <w:b w:val="false"/>
                <w:bCs w:val="false"/>
                <w:i w:val="false"/>
                <w:iCs w:val="false"/>
                <w:color w:val="1A1A1A"/>
                <w:sz w:val="17"/>
                <w:szCs w:val="17"/>
              </w:rPr>
              <w:t xml:space="preserve">Automation must improve quality-adjusted unit cost.</w:t>
            </w:r>
          </w:p>
        </w:tc>
      </w:tr>
      <w:tr xmlns:wp14="http://schemas.microsoft.com/office/word/2010/wordml" w14:paraId="0E89EE3E"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A35899B" wp14:textId="77777777">
            <w:pPr>
              <w:spacing w:after="0" w:line="220"/>
            </w:pPr>
            <w:r>
              <w:rPr>
                <w:rFonts w:ascii="Arial" w:hAnsi="Arial" w:eastAsia="Arial" w:cs="Arial"/>
                <w:b w:val="false"/>
                <w:bCs w:val="false"/>
                <w:i w:val="false"/>
                <w:iCs w:val="false"/>
                <w:color w:val="1A1A1A"/>
                <w:sz w:val="17"/>
                <w:szCs w:val="17"/>
              </w:rPr>
              <w:t xml:space="preserve">Map contract exposure</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DC00717" wp14:textId="77777777">
            <w:pPr>
              <w:spacing w:after="0" w:line="220"/>
            </w:pPr>
            <w:r>
              <w:rPr>
                <w:rFonts w:ascii="Arial" w:hAnsi="Arial" w:eastAsia="Arial" w:cs="Arial"/>
                <w:b w:val="false"/>
                <w:bCs w:val="false"/>
                <w:i w:val="false"/>
                <w:iCs w:val="false"/>
                <w:color w:val="1A1A1A"/>
                <w:sz w:val="17"/>
                <w:szCs w:val="17"/>
              </w:rPr>
              <w:t xml:space="preserve">Commercial / legal</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D22E48F" wp14:textId="77777777">
            <w:pPr>
              <w:spacing w:after="0" w:line="220"/>
            </w:pPr>
            <w:r>
              <w:rPr>
                <w:rFonts w:ascii="Arial" w:hAnsi="Arial" w:eastAsia="Arial" w:cs="Arial"/>
                <w:b w:val="false"/>
                <w:bCs w:val="false"/>
                <w:i w:val="false"/>
                <w:iCs w:val="false"/>
                <w:color w:val="1A1A1A"/>
                <w:sz w:val="17"/>
                <w:szCs w:val="17"/>
              </w:rPr>
              <w:t xml:space="preserve">Scope, caps, exclusions, renewal dates, concentration</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6CEE1A50" wp14:textId="77777777">
            <w:pPr>
              <w:spacing w:after="0" w:line="220"/>
            </w:pPr>
            <w:r>
              <w:rPr>
                <w:rFonts w:ascii="Arial" w:hAnsi="Arial" w:eastAsia="Arial" w:cs="Arial"/>
                <w:b w:val="false"/>
                <w:bCs w:val="false"/>
                <w:i w:val="false"/>
                <w:iCs w:val="false"/>
                <w:color w:val="1A1A1A"/>
                <w:sz w:val="17"/>
                <w:szCs w:val="17"/>
              </w:rPr>
              <w:t xml:space="preserve">Identify contracts where price or liability can move faster than cost.</w:t>
            </w:r>
          </w:p>
        </w:tc>
      </w:tr>
      <w:tr xmlns:wp14="http://schemas.microsoft.com/office/word/2010/wordml" w14:paraId="66A66F83"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635749BC" wp14:textId="77777777">
            <w:pPr>
              <w:spacing w:after="0" w:line="220"/>
            </w:pPr>
            <w:r>
              <w:rPr>
                <w:rFonts w:ascii="Arial" w:hAnsi="Arial" w:eastAsia="Arial" w:cs="Arial"/>
                <w:b w:val="false"/>
                <w:bCs w:val="false"/>
                <w:i w:val="false"/>
                <w:iCs w:val="false"/>
                <w:color w:val="1A1A1A"/>
                <w:sz w:val="17"/>
                <w:szCs w:val="17"/>
              </w:rPr>
              <w:t xml:space="preserve">Create AI and agent governance</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5AAAAB82" wp14:textId="77777777">
            <w:pPr>
              <w:spacing w:after="0" w:line="220"/>
            </w:pPr>
            <w:r>
              <w:rPr>
                <w:rFonts w:ascii="Arial" w:hAnsi="Arial" w:eastAsia="Arial" w:cs="Arial"/>
                <w:b w:val="false"/>
                <w:bCs w:val="false"/>
                <w:i w:val="false"/>
                <w:iCs w:val="false"/>
                <w:color w:val="1A1A1A"/>
                <w:sz w:val="17"/>
                <w:szCs w:val="17"/>
              </w:rPr>
              <w:t xml:space="preserve">CIO / CISO</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0DF9141E" wp14:textId="77777777">
            <w:pPr>
              <w:spacing w:after="0" w:line="220"/>
            </w:pPr>
            <w:r>
              <w:rPr>
                <w:rFonts w:ascii="Arial" w:hAnsi="Arial" w:eastAsia="Arial" w:cs="Arial"/>
                <w:b w:val="false"/>
                <w:bCs w:val="false"/>
                <w:i w:val="false"/>
                <w:iCs w:val="false"/>
                <w:color w:val="1A1A1A"/>
                <w:sz w:val="17"/>
                <w:szCs w:val="17"/>
              </w:rPr>
              <w:t xml:space="preserve">Inventory, owners, identities, DLP, approval policy, logs</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1C96BB7C" wp14:textId="77777777">
            <w:pPr>
              <w:spacing w:after="0" w:line="220"/>
            </w:pPr>
            <w:r>
              <w:rPr>
                <w:rFonts w:ascii="Arial" w:hAnsi="Arial" w:eastAsia="Arial" w:cs="Arial"/>
                <w:b w:val="false"/>
                <w:bCs w:val="false"/>
                <w:i w:val="false"/>
                <w:iCs w:val="false"/>
                <w:color w:val="1A1A1A"/>
                <w:sz w:val="17"/>
                <w:szCs w:val="17"/>
              </w:rPr>
              <w:t xml:space="preserve">No production agent without a named owner and rollback path.</w:t>
            </w:r>
          </w:p>
        </w:tc>
      </w:tr>
      <w:tr xmlns:wp14="http://schemas.microsoft.com/office/word/2010/wordml" w14:paraId="0CA712F8"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8C914D8" wp14:textId="77777777">
            <w:pPr>
              <w:spacing w:after="0" w:line="220"/>
            </w:pPr>
            <w:r>
              <w:rPr>
                <w:rFonts w:ascii="Arial" w:hAnsi="Arial" w:eastAsia="Arial" w:cs="Arial"/>
                <w:b w:val="false"/>
                <w:bCs w:val="false"/>
                <w:i w:val="false"/>
                <w:iCs w:val="false"/>
                <w:color w:val="1A1A1A"/>
                <w:sz w:val="17"/>
                <w:szCs w:val="17"/>
              </w:rPr>
              <w:t xml:space="preserve">Standardize privileged access</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0D2504B" wp14:textId="77777777">
            <w:pPr>
              <w:spacing w:after="0" w:line="220"/>
            </w:pPr>
            <w:r>
              <w:rPr>
                <w:rFonts w:ascii="Arial" w:hAnsi="Arial" w:eastAsia="Arial" w:cs="Arial"/>
                <w:b w:val="false"/>
                <w:bCs w:val="false"/>
                <w:i w:val="false"/>
                <w:iCs w:val="false"/>
                <w:color w:val="1A1A1A"/>
                <w:sz w:val="17"/>
                <w:szCs w:val="17"/>
              </w:rPr>
              <w:t xml:space="preserve">CISO</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9C737D0" wp14:textId="77777777">
            <w:pPr>
              <w:spacing w:after="0" w:line="220"/>
            </w:pPr>
            <w:r>
              <w:rPr>
                <w:rFonts w:ascii="Arial" w:hAnsi="Arial" w:eastAsia="Arial" w:cs="Arial"/>
                <w:b w:val="false"/>
                <w:bCs w:val="false"/>
                <w:i w:val="false"/>
                <w:iCs w:val="false"/>
                <w:color w:val="1A1A1A"/>
                <w:sz w:val="17"/>
                <w:szCs w:val="17"/>
              </w:rPr>
              <w:t xml:space="preserve">MFA, least privilege, separate admin identity, audit evidence</w:t>
            </w:r>
          </w:p>
        </w:tc>
        <w:tc>
          <w:tcPr>
            <w:tcW w:w="2664"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04694921" wp14:textId="77777777">
            <w:pPr>
              <w:spacing w:after="0" w:line="220"/>
            </w:pPr>
            <w:r>
              <w:rPr>
                <w:rFonts w:ascii="Arial" w:hAnsi="Arial" w:eastAsia="Arial" w:cs="Arial"/>
                <w:b w:val="false"/>
                <w:bCs w:val="false"/>
                <w:i w:val="false"/>
                <w:iCs w:val="false"/>
                <w:color w:val="1A1A1A"/>
                <w:sz w:val="17"/>
                <w:szCs w:val="17"/>
              </w:rPr>
              <w:t xml:space="preserve">Treat MSP access as systemic risk. </w:t>
            </w:r>
            <w:hyperlink w:history="1" r:id="rIdtz8zuttxq9sqag9zynyu0">
              <w:r>
                <w:rPr>
                  <w:rStyle w:val="Hyperlink"/>
                  <w:rFonts w:ascii="Arial" w:hAnsi="Arial" w:eastAsia="Arial" w:cs="Arial"/>
                  <w:b/>
                  <w:bCs/>
                  <w:sz w:val="14"/>
                  <w:szCs w:val="14"/>
                </w:rPr>
                <w:t xml:space="preserve">[30]</w:t>
              </w:r>
            </w:hyperlink>
          </w:p>
        </w:tc>
      </w:tr>
      <w:tr xmlns:wp14="http://schemas.microsoft.com/office/word/2010/wordml" w14:paraId="08CC21E7" wp14:textId="77777777">
        <w:trPr>
          <w:cantSplit/>
          <w:tblHeader w:val="false"/>
        </w:trPr>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2ABCFE21" wp14:textId="77777777">
            <w:pPr>
              <w:spacing w:after="0" w:line="220"/>
            </w:pPr>
            <w:r>
              <w:rPr>
                <w:rFonts w:ascii="Arial" w:hAnsi="Arial" w:eastAsia="Arial" w:cs="Arial"/>
                <w:b w:val="false"/>
                <w:bCs w:val="false"/>
                <w:i w:val="false"/>
                <w:iCs w:val="false"/>
                <w:color w:val="1A1A1A"/>
                <w:sz w:val="17"/>
                <w:szCs w:val="17"/>
              </w:rPr>
              <w:t xml:space="preserve">Define target portfolio</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25DC42A1" wp14:textId="77777777">
            <w:pPr>
              <w:spacing w:after="0" w:line="220"/>
            </w:pPr>
            <w:r>
              <w:rPr>
                <w:rFonts w:ascii="Arial" w:hAnsi="Arial" w:eastAsia="Arial" w:cs="Arial"/>
                <w:b w:val="false"/>
                <w:bCs w:val="false"/>
                <w:i w:val="false"/>
                <w:iCs w:val="false"/>
                <w:color w:val="1A1A1A"/>
                <w:sz w:val="17"/>
                <w:szCs w:val="17"/>
              </w:rPr>
              <w:t xml:space="preserve">CEO / board</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12DE23F9" wp14:textId="77777777">
            <w:pPr>
              <w:spacing w:after="0" w:line="220"/>
            </w:pPr>
            <w:r>
              <w:rPr>
                <w:rFonts w:ascii="Arial" w:hAnsi="Arial" w:eastAsia="Arial" w:cs="Arial"/>
                <w:b w:val="false"/>
                <w:bCs w:val="false"/>
                <w:i w:val="false"/>
                <w:iCs w:val="false"/>
                <w:color w:val="1A1A1A"/>
                <w:sz w:val="17"/>
                <w:szCs w:val="17"/>
              </w:rPr>
              <w:t xml:space="preserve">Three to five services to build, partner or retire</w:t>
            </w:r>
          </w:p>
        </w:tc>
        <w:tc>
          <w:tcPr>
            <w:tcW w:w="2664"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A5571C8" wp14:textId="77777777">
            <w:pPr>
              <w:spacing w:after="0" w:line="220"/>
            </w:pPr>
            <w:r>
              <w:rPr>
                <w:rFonts w:ascii="Arial" w:hAnsi="Arial" w:eastAsia="Arial" w:cs="Arial"/>
                <w:b w:val="false"/>
                <w:bCs w:val="false"/>
                <w:i w:val="false"/>
                <w:iCs w:val="false"/>
                <w:color w:val="1A1A1A"/>
                <w:sz w:val="17"/>
                <w:szCs w:val="17"/>
              </w:rPr>
              <w:t xml:space="preserve">Fund only offers with repeatable scope and a renewal path.</w:t>
            </w:r>
          </w:p>
        </w:tc>
      </w:tr>
    </w:tbl>
    <w:p xmlns:wp14="http://schemas.microsoft.com/office/word/2010/wordml" w14:paraId="3656B9AB" wp14:textId="77777777">
      <w:pPr>
        <w:spacing w:after="120"/>
      </w:pPr>
    </w:p>
    <w:p xmlns:wp14="http://schemas.microsoft.com/office/word/2010/wordml" w14:paraId="62AD11C4" wp14:textId="77777777">
      <w:pPr>
        <w:pStyle w:val="Heading2"/>
      </w:pPr>
      <w:r>
        <w:rPr>
          <w:rFonts w:ascii="Arial" w:hAnsi="Arial" w:eastAsia="Arial" w:cs="Arial"/>
          <w:b/>
          <w:bCs/>
          <w:color w:val="1F8A8A"/>
          <w:sz w:val="25"/>
          <w:szCs w:val="25"/>
        </w:rPr>
        <w:t xml:space="preserve">11.2 Months 3–12: prove capture</w:t>
      </w:r>
    </w:p>
    <w:p xmlns:wp14="http://schemas.microsoft.com/office/word/2010/wordml" w14:paraId="45B94EEF"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Automate three high-volume workflows such as onboarding, access requests and common service-desk resolution.</w:t>
      </w:r>
    </w:p>
    <w:p xmlns:wp14="http://schemas.microsoft.com/office/word/2010/wordml" w14:paraId="49E98D95"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Use controlled cohorts and compare cost per correct resolution, customer satisfaction, reopen rate and human review time.</w:t>
      </w:r>
    </w:p>
    <w:p xmlns:wp14="http://schemas.microsoft.com/office/word/2010/wordml" w14:paraId="729EF164"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Redeploy released capacity deliberately; record whether it becomes avoided hiring, new revenue or improved service.</w:t>
      </w:r>
    </w:p>
    <w:p xmlns:wp14="http://schemas.microsoft.com/office/word/2010/wordml" w14:paraId="54181696"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Productize security posture, identity hardening, compliance evidence and incident readiness.</w:t>
      </w:r>
    </w:p>
    <w:p xmlns:wp14="http://schemas.microsoft.com/office/word/2010/wordml" w14:paraId="6D152FA0"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Launch a managed AI-governance offer covering inventory, identity, DLP, evaluations, consumption and incident response.</w:t>
      </w:r>
    </w:p>
    <w:p xmlns:wp14="http://schemas.microsoft.com/office/word/2010/wordml" w14:paraId="1A90B16F"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Build one vertical business-process automation package with a fixed scope and named customer outcome.</w:t>
      </w:r>
    </w:p>
    <w:p xmlns:wp14="http://schemas.microsoft.com/office/word/2010/wordml" w14:paraId="73BA4DFC"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Redesign proposals around platform, risk and outcome; stop using ticket volume as the primary value proof.</w:t>
      </w:r>
    </w:p>
    <w:p xmlns:wp14="http://schemas.microsoft.com/office/word/2010/wordml" w14:paraId="7859122B" wp14:textId="77777777">
      <w:pPr>
        <w:keepLines/>
        <w:spacing w:after="130" w:line="290"/>
        <w:jc w:val="left"/>
      </w:pPr>
      <w:r>
        <w:rPr>
          <w:rFonts w:ascii="Arial" w:hAnsi="Arial" w:eastAsia="Arial" w:cs="Arial"/>
          <w:b w:val="false"/>
          <w:bCs w:val="false"/>
          <w:i w:val="false"/>
          <w:iCs w:val="false"/>
          <w:color w:val="1A1A1A"/>
          <w:sz w:val="20"/>
          <w:szCs w:val="20"/>
        </w:rPr>
        <w:t xml:space="preserve">Gate: proceed to scale only when at least two customer cohorts show paid renewal demand, positive contribution margin after full tooling/review cost, and no material quality deterioration.</w:t>
      </w:r>
    </w:p>
    <w:p xmlns:wp14="http://schemas.microsoft.com/office/word/2010/wordml" w14:paraId="2CBFBDF3" wp14:textId="77777777">
      <w:pPr>
        <w:pStyle w:val="Heading2"/>
      </w:pPr>
      <w:r>
        <w:rPr>
          <w:rFonts w:ascii="Arial" w:hAnsi="Arial" w:eastAsia="Arial" w:cs="Arial"/>
          <w:b/>
          <w:bCs/>
          <w:color w:val="1F8A8A"/>
          <w:sz w:val="25"/>
          <w:szCs w:val="25"/>
        </w:rPr>
        <w:t xml:space="preserve">11.3 Months 12–24: scale what works</w:t>
      </w:r>
    </w:p>
    <w:p xmlns:wp14="http://schemas.microsoft.com/office/word/2010/wordml" w14:paraId="10145F16"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Convert pilots into standard operating procedures, templates, connectors, test suites and reusable IP.</w:t>
      </w:r>
    </w:p>
    <w:p xmlns:wp14="http://schemas.microsoft.com/office/word/2010/wordml" w14:paraId="52CCF8A5"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Establish a partner-led MDR/SOC model unless internal continuous coverage is already economic.</w:t>
      </w:r>
    </w:p>
    <w:p xmlns:wp14="http://schemas.microsoft.com/office/word/2010/wordml" w14:paraId="7533615B"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Build customer success and adoption telemetry into recurring reviews.</w:t>
      </w:r>
    </w:p>
    <w:p xmlns:wp14="http://schemas.microsoft.com/office/word/2010/wordml" w14:paraId="72B3709D"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Reduce overlapping tools and automate evidence collection.</w:t>
      </w:r>
    </w:p>
    <w:p xmlns:wp14="http://schemas.microsoft.com/office/word/2010/wordml" w14:paraId="7F09229D"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Reprice or exit chronically unprofitable legacy contracts.</w:t>
      </w:r>
    </w:p>
    <w:p xmlns:wp14="http://schemas.microsoft.com/office/word/2010/wordml" w14:paraId="5D373EE8"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Train account teams to sell business and risk outcomes, not labor categories.</w:t>
      </w:r>
    </w:p>
    <w:p xmlns:wp14="http://schemas.microsoft.com/office/word/2010/wordml" w14:paraId="39D43415"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Tie leadership incentives to gross-profit mix, automation capture, net retention, service quality and cash.</w:t>
      </w:r>
    </w:p>
    <w:p xmlns:wp14="http://schemas.microsoft.com/office/word/2010/wordml" w14:paraId="03192096" wp14:textId="77777777">
      <w:pPr>
        <w:keepLines/>
        <w:spacing w:after="130" w:line="290"/>
        <w:jc w:val="left"/>
      </w:pPr>
      <w:r>
        <w:rPr>
          <w:rFonts w:ascii="Arial" w:hAnsi="Arial" w:eastAsia="Arial" w:cs="Arial"/>
          <w:b w:val="false"/>
          <w:bCs w:val="false"/>
          <w:i w:val="false"/>
          <w:iCs w:val="false"/>
          <w:color w:val="1A1A1A"/>
          <w:sz w:val="20"/>
          <w:szCs w:val="20"/>
        </w:rPr>
        <w:t xml:space="preserve">Gate: new services should represent at least 20–25% of net service revenue, show improving cohort margin and cover the full cost of the transformation team before broad expansion.</w:t>
      </w:r>
    </w:p>
    <w:p xmlns:wp14="http://schemas.microsoft.com/office/word/2010/wordml" w14:paraId="160FBD60" wp14:textId="77777777">
      <w:pPr>
        <w:pStyle w:val="Heading2"/>
      </w:pPr>
      <w:r>
        <w:rPr>
          <w:rFonts w:ascii="Arial" w:hAnsi="Arial" w:eastAsia="Arial" w:cs="Arial"/>
          <w:b/>
          <w:bCs/>
          <w:color w:val="1F8A8A"/>
          <w:sz w:val="25"/>
          <w:szCs w:val="25"/>
        </w:rPr>
        <w:t xml:space="preserve">11.4 Months 24–36: reposition the company</w:t>
      </w:r>
    </w:p>
    <w:p xmlns:wp14="http://schemas.microsoft.com/office/word/2010/wordml" w14:paraId="1EE63A07"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Target 35–45% of net service revenue from security, compliance, data, automation and managed AI.</w:t>
      </w:r>
    </w:p>
    <w:p xmlns:wp14="http://schemas.microsoft.com/office/word/2010/wordml" w14:paraId="1139648E"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Package proprietary assessment, policy, workflow and evaluation assets as subscription IP.</w:t>
      </w:r>
    </w:p>
    <w:p xmlns:wp14="http://schemas.microsoft.com/office/word/2010/wordml" w14:paraId="57E0AF4A"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Use M&amp;A selectively to acquire distribution, vertical context or scarce capability—not to hide weak organic growth.</w:t>
      </w:r>
    </w:p>
    <w:p xmlns:wp14="http://schemas.microsoft.com/office/word/2010/wordml" w14:paraId="418338A5"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Retire services where the platform has absorbed execution and the provider adds no measurable outcome.</w:t>
      </w:r>
    </w:p>
    <w:p xmlns:wp14="http://schemas.microsoft.com/office/word/2010/wordml" w14:paraId="7704E47B"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Evaluate strategic options: remain independent specialist, become a platform within a vertical, join a consolidator or acquire smaller firms into a standardized operating system.</w:t>
      </w:r>
    </w:p>
    <w:p xmlns:wp14="http://schemas.microsoft.com/office/word/2010/wordml" w14:paraId="19B332CC" wp14:textId="77777777">
      <w:pPr>
        <w:pStyle w:val="Heading2"/>
      </w:pPr>
      <w:r>
        <w:rPr>
          <w:rFonts w:ascii="Arial" w:hAnsi="Arial" w:eastAsia="Arial" w:cs="Arial"/>
          <w:b/>
          <w:bCs/>
          <w:color w:val="1F8A8A"/>
          <w:sz w:val="25"/>
          <w:szCs w:val="25"/>
        </w:rPr>
        <w:t xml:space="preserve">11.5 Board dashboard</w:t>
      </w:r>
    </w:p>
    <w:p xmlns:wp14="http://schemas.microsoft.com/office/word/2010/wordml" w14:paraId="59EDFD7C" wp14:textId="77777777">
      <w:pPr>
        <w:keepLines/>
        <w:spacing w:after="130" w:line="290"/>
        <w:jc w:val="left"/>
      </w:pPr>
      <w:r>
        <w:rPr>
          <w:rFonts w:ascii="Arial" w:hAnsi="Arial" w:eastAsia="Arial" w:cs="Arial"/>
          <w:b w:val="false"/>
          <w:bCs w:val="false"/>
          <w:i w:val="false"/>
          <w:iCs w:val="false"/>
          <w:color w:val="1A1A1A"/>
          <w:sz w:val="20"/>
          <w:szCs w:val="20"/>
        </w:rPr>
        <w:t xml:space="preserve">The board should review quarterly:</w:t>
      </w:r>
    </w:p>
    <w:p xmlns:wp14="http://schemas.microsoft.com/office/word/2010/wordml" w14:paraId="6B902842"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organic net-service-revenue growth and gross retention;</w:t>
      </w:r>
    </w:p>
    <w:p xmlns:wp14="http://schemas.microsoft.com/office/word/2010/wordml" w14:paraId="4521D086"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gross margin by service line and customer cohort;</w:t>
      </w:r>
    </w:p>
    <w:p xmlns:wp14="http://schemas.microsoft.com/office/word/2010/wordml" w14:paraId="65B01BBC"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revenue and gross profit per FTE on a consistent net basis;</w:t>
      </w:r>
    </w:p>
    <w:p xmlns:wp14="http://schemas.microsoft.com/office/word/2010/wordml" w14:paraId="6642348F"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correct resolutions per paid hour and reopen rate;</w:t>
      </w:r>
    </w:p>
    <w:p xmlns:wp14="http://schemas.microsoft.com/office/word/2010/wordml" w14:paraId="329FCDD4"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automated completion rate and human review minutes;</w:t>
      </w:r>
    </w:p>
    <w:p xmlns:wp14="http://schemas.microsoft.com/office/word/2010/wordml" w14:paraId="4A6893F1"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AI/tool consumption per managed user, device, agent and ticket;</w:t>
      </w:r>
    </w:p>
    <w:p xmlns:wp14="http://schemas.microsoft.com/office/word/2010/wordml" w14:paraId="42688D18"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legacy versus growth-service mix;</w:t>
      </w:r>
    </w:p>
    <w:p xmlns:wp14="http://schemas.microsoft.com/office/word/2010/wordml" w14:paraId="066E3238"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renewal price change on a like-for-like basis;</w:t>
      </w:r>
    </w:p>
    <w:p xmlns:wp14="http://schemas.microsoft.com/office/word/2010/wordml" w14:paraId="0B9E581D"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security/compliance incidents and privileged-access exceptions;</w:t>
      </w:r>
    </w:p>
    <w:p xmlns:wp14="http://schemas.microsoft.com/office/word/2010/wordml" w14:paraId="4DD7AF07"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transformation cash spend, payback and remaining liquidity.</w:t>
      </w:r>
    </w:p>
    <w:p xmlns:wp14="http://schemas.microsoft.com/office/word/2010/wordml" w14:paraId="532B6B2F" wp14:textId="77777777">
      <w:pPr>
        <w:pStyle w:val="Heading1"/>
        <w:pageBreakBefore/>
      </w:pPr>
      <w:r>
        <w:rPr>
          <w:rFonts w:ascii="Arial" w:hAnsi="Arial" w:eastAsia="Arial" w:cs="Arial"/>
          <w:b/>
          <w:bCs/>
          <w:color w:val="173F5F"/>
          <w:sz w:val="30"/>
          <w:szCs w:val="30"/>
        </w:rPr>
        <w:t xml:space="preserve">12. Risks and Counterarguments</w:t>
      </w:r>
    </w:p>
    <w:p xmlns:wp14="http://schemas.microsoft.com/office/word/2010/wordml" w14:paraId="5751260A" wp14:textId="77777777">
      <w:pPr>
        <w:pStyle w:val="Heading2"/>
      </w:pPr>
      <w:r>
        <w:rPr>
          <w:rFonts w:ascii="Arial" w:hAnsi="Arial" w:eastAsia="Arial" w:cs="Arial"/>
          <w:b/>
          <w:bCs/>
          <w:color w:val="1F8A8A"/>
          <w:sz w:val="25"/>
          <w:szCs w:val="25"/>
        </w:rPr>
        <w:t xml:space="preserve">12.1 Arguments supporting MSP survival</w:t>
      </w:r>
    </w:p>
    <w:p xmlns:wp14="http://schemas.microsoft.com/office/word/2010/wordml" w14:paraId="7393AA9A" wp14:textId="77777777">
      <w:pPr>
        <w:pStyle w:val="Heading3"/>
      </w:pPr>
      <w:r>
        <w:rPr>
          <w:rFonts w:ascii="Arial" w:hAnsi="Arial" w:eastAsia="Arial" w:cs="Arial"/>
          <w:b/>
          <w:bCs/>
          <w:color w:val="526578"/>
          <w:sz w:val="21"/>
          <w:szCs w:val="21"/>
        </w:rPr>
        <w:t xml:space="preserve">Customers still need accountability</w:t>
      </w:r>
    </w:p>
    <w:p xmlns:wp14="http://schemas.microsoft.com/office/word/2010/wordml" w14:paraId="0E1EFA7E" wp14:textId="77777777">
      <w:pPr>
        <w:keepLines/>
        <w:spacing w:after="130" w:line="290"/>
        <w:jc w:val="left"/>
      </w:pPr>
      <w:r>
        <w:rPr>
          <w:rFonts w:ascii="Arial" w:hAnsi="Arial" w:eastAsia="Arial" w:cs="Arial"/>
          <w:b w:val="false"/>
          <w:bCs w:val="false"/>
          <w:i w:val="false"/>
          <w:iCs w:val="false"/>
          <w:color w:val="1A1A1A"/>
          <w:sz w:val="20"/>
          <w:szCs w:val="20"/>
        </w:rPr>
        <w:t xml:space="preserve">SMEs often lack internal breadth and value a trusted party that integrates products, explains tradeoffs and responds during incidents. Platform complexity and agent proliferation can increase the need for governance and integration.</w:t>
      </w:r>
    </w:p>
    <w:p xmlns:wp14="http://schemas.microsoft.com/office/word/2010/wordml" w14:paraId="58625BD0" wp14:textId="77777777">
      <w:pPr>
        <w:pStyle w:val="Heading3"/>
      </w:pPr>
      <w:r>
        <w:rPr>
          <w:rFonts w:ascii="Arial" w:hAnsi="Arial" w:eastAsia="Arial" w:cs="Arial"/>
          <w:b/>
          <w:bCs/>
          <w:color w:val="526578"/>
          <w:sz w:val="21"/>
          <w:szCs w:val="21"/>
        </w:rPr>
        <w:t xml:space="preserve">Adoption is slower than product announcements</w:t>
      </w:r>
    </w:p>
    <w:p xmlns:wp14="http://schemas.microsoft.com/office/word/2010/wordml" w14:paraId="52666D9B" wp14:textId="77777777">
      <w:pPr>
        <w:keepLines/>
        <w:spacing w:after="130" w:line="290"/>
        <w:jc w:val="left"/>
      </w:pPr>
      <w:r>
        <w:rPr>
          <w:rFonts w:ascii="Arial" w:hAnsi="Arial" w:eastAsia="Arial" w:cs="Arial"/>
          <w:b w:val="false"/>
          <w:bCs w:val="false"/>
          <w:i w:val="false"/>
          <w:iCs w:val="false"/>
          <w:color w:val="1A1A1A"/>
          <w:sz w:val="20"/>
          <w:szCs w:val="20"/>
        </w:rPr>
        <w:t xml:space="preserve">Gartner expects a high cancellation rate for agentic projects, and OECD identifies skills, legal and regulatory barriers among SMEs. Many customers will not have the knowledge, data or process maturity required for safe autonomy. </w:t>
      </w:r>
      <w:hyperlink w:history="1" r:id="rIdd0nfa7d0bqwkbpmdb0mka">
        <w:r>
          <w:rPr>
            <w:rStyle w:val="Hyperlink"/>
            <w:rFonts w:ascii="Arial" w:hAnsi="Arial" w:eastAsia="Arial" w:cs="Arial"/>
            <w:b/>
            <w:bCs/>
            <w:sz w:val="16"/>
            <w:szCs w:val="16"/>
          </w:rPr>
          <w:t xml:space="preserve">[7]</w:t>
        </w:r>
      </w:hyperlink>
      <w:r>
        <w:rPr>
          <w:rFonts w:ascii="Arial" w:hAnsi="Arial" w:eastAsia="Arial" w:cs="Arial"/>
          <w:b w:val="false"/>
          <w:bCs w:val="false"/>
          <w:i w:val="false"/>
          <w:iCs w:val="false"/>
          <w:color w:val="1A1A1A"/>
          <w:sz w:val="20"/>
          <w:szCs w:val="20"/>
        </w:rPr>
        <w:t xml:space="preserve"> </w:t>
      </w:r>
      <w:hyperlink w:history="1" r:id="rIda3d0e6fkne9zfsxxqz8fg">
        <w:r>
          <w:rPr>
            <w:rStyle w:val="Hyperlink"/>
            <w:rFonts w:ascii="Arial" w:hAnsi="Arial" w:eastAsia="Arial" w:cs="Arial"/>
            <w:b/>
            <w:bCs/>
            <w:sz w:val="16"/>
            <w:szCs w:val="16"/>
          </w:rPr>
          <w:t xml:space="preserve">[12]</w:t>
        </w:r>
      </w:hyperlink>
    </w:p>
    <w:p xmlns:wp14="http://schemas.microsoft.com/office/word/2010/wordml" w14:paraId="68C96703" wp14:textId="77777777">
      <w:pPr>
        <w:pStyle w:val="Heading3"/>
      </w:pPr>
      <w:r>
        <w:rPr>
          <w:rFonts w:ascii="Arial" w:hAnsi="Arial" w:eastAsia="Arial" w:cs="Arial"/>
          <w:b/>
          <w:bCs/>
          <w:color w:val="526578"/>
          <w:sz w:val="21"/>
          <w:szCs w:val="21"/>
        </w:rPr>
        <w:t xml:space="preserve">Fixed fees can capture automation upside</w:t>
      </w:r>
    </w:p>
    <w:p xmlns:wp14="http://schemas.microsoft.com/office/word/2010/wordml" w14:paraId="7C8F7464" wp14:textId="77777777">
      <w:pPr>
        <w:keepLines/>
        <w:spacing w:after="130" w:line="290"/>
        <w:jc w:val="left"/>
      </w:pPr>
      <w:r>
        <w:rPr>
          <w:rFonts w:ascii="Arial" w:hAnsi="Arial" w:eastAsia="Arial" w:cs="Arial"/>
          <w:b w:val="false"/>
          <w:bCs w:val="false"/>
          <w:i w:val="false"/>
          <w:iCs w:val="false"/>
          <w:color w:val="1A1A1A"/>
          <w:sz w:val="20"/>
          <w:szCs w:val="20"/>
        </w:rPr>
        <w:t xml:space="preserve">An MSP with strong contracts and internal automation can keep efficiency gains, improve response and grow without proportional headcount. Per-user pricing can remain a convenient metric when it prices platform access and risk rather than labor.</w:t>
      </w:r>
    </w:p>
    <w:p xmlns:wp14="http://schemas.microsoft.com/office/word/2010/wordml" w14:paraId="4BB79574" wp14:textId="77777777">
      <w:pPr>
        <w:pStyle w:val="Heading3"/>
      </w:pPr>
      <w:r>
        <w:rPr>
          <w:rFonts w:ascii="Arial" w:hAnsi="Arial" w:eastAsia="Arial" w:cs="Arial"/>
          <w:b/>
          <w:bCs/>
          <w:color w:val="526578"/>
          <w:sz w:val="21"/>
          <w:szCs w:val="21"/>
        </w:rPr>
        <w:t xml:space="preserve">Security and regulation create durable demand</w:t>
      </w:r>
    </w:p>
    <w:p xmlns:wp14="http://schemas.microsoft.com/office/word/2010/wordml" w14:paraId="10536881" wp14:textId="77777777">
      <w:pPr>
        <w:keepLines/>
        <w:spacing w:after="130" w:line="290"/>
        <w:jc w:val="left"/>
      </w:pPr>
      <w:r>
        <w:rPr>
          <w:rFonts w:ascii="Arial" w:hAnsi="Arial" w:eastAsia="Arial" w:cs="Arial"/>
          <w:b w:val="false"/>
          <w:bCs w:val="false"/>
          <w:i w:val="false"/>
          <w:iCs w:val="false"/>
          <w:color w:val="1A1A1A"/>
          <w:sz w:val="20"/>
          <w:szCs w:val="20"/>
        </w:rPr>
        <w:t xml:space="preserve">Cybersecurity spending and employment are growing; NIS2, AI governance and contractual accountability create work that cannot be reduced to a product toggle. </w:t>
      </w:r>
      <w:hyperlink w:history="1" r:id="rIdiynmnwtnhwt7cisa24mct">
        <w:r>
          <w:rPr>
            <w:rStyle w:val="Hyperlink"/>
            <w:rFonts w:ascii="Arial" w:hAnsi="Arial" w:eastAsia="Arial" w:cs="Arial"/>
            <w:b/>
            <w:bCs/>
            <w:sz w:val="16"/>
            <w:szCs w:val="16"/>
          </w:rPr>
          <w:t xml:space="preserve">[10]</w:t>
        </w:r>
      </w:hyperlink>
      <w:r>
        <w:rPr>
          <w:rFonts w:ascii="Arial" w:hAnsi="Arial" w:eastAsia="Arial" w:cs="Arial"/>
          <w:b w:val="false"/>
          <w:bCs w:val="false"/>
          <w:i w:val="false"/>
          <w:iCs w:val="false"/>
          <w:color w:val="1A1A1A"/>
          <w:sz w:val="20"/>
          <w:szCs w:val="20"/>
        </w:rPr>
        <w:t xml:space="preserve"> </w:t>
      </w:r>
      <w:hyperlink w:history="1" r:id="rIdwk8iarucwfs1kcakdyc-l">
        <w:r>
          <w:rPr>
            <w:rStyle w:val="Hyperlink"/>
            <w:rFonts w:ascii="Arial" w:hAnsi="Arial" w:eastAsia="Arial" w:cs="Arial"/>
            <w:b/>
            <w:bCs/>
            <w:sz w:val="16"/>
            <w:szCs w:val="16"/>
          </w:rPr>
          <w:t xml:space="preserve">[31]</w:t>
        </w:r>
      </w:hyperlink>
      <w:r>
        <w:rPr>
          <w:rFonts w:ascii="Arial" w:hAnsi="Arial" w:eastAsia="Arial" w:cs="Arial"/>
          <w:b w:val="false"/>
          <w:bCs w:val="false"/>
          <w:i w:val="false"/>
          <w:iCs w:val="false"/>
          <w:color w:val="1A1A1A"/>
          <w:sz w:val="20"/>
          <w:szCs w:val="20"/>
        </w:rPr>
        <w:t xml:space="preserve"> </w:t>
      </w:r>
      <w:hyperlink w:history="1" r:id="rIdxgitntry_i2bsmbrzjd9l">
        <w:r>
          <w:rPr>
            <w:rStyle w:val="Hyperlink"/>
            <w:rFonts w:ascii="Arial" w:hAnsi="Arial" w:eastAsia="Arial" w:cs="Arial"/>
            <w:b/>
            <w:bCs/>
            <w:sz w:val="16"/>
            <w:szCs w:val="16"/>
          </w:rPr>
          <w:t xml:space="preserve">[32]</w:t>
        </w:r>
      </w:hyperlink>
      <w:r>
        <w:rPr>
          <w:rFonts w:ascii="Arial" w:hAnsi="Arial" w:eastAsia="Arial" w:cs="Arial"/>
          <w:b w:val="false"/>
          <w:bCs w:val="false"/>
          <w:i w:val="false"/>
          <w:iCs w:val="false"/>
          <w:color w:val="1A1A1A"/>
          <w:sz w:val="20"/>
          <w:szCs w:val="20"/>
        </w:rPr>
        <w:t xml:space="preserve"> </w:t>
      </w:r>
      <w:hyperlink w:history="1" r:id="rId3xoqoqyietptntifm5esy">
        <w:r>
          <w:rPr>
            <w:rStyle w:val="Hyperlink"/>
            <w:rFonts w:ascii="Arial" w:hAnsi="Arial" w:eastAsia="Arial" w:cs="Arial"/>
            <w:b/>
            <w:bCs/>
            <w:sz w:val="16"/>
            <w:szCs w:val="16"/>
          </w:rPr>
          <w:t xml:space="preserve">[38]</w:t>
        </w:r>
      </w:hyperlink>
    </w:p>
    <w:p xmlns:wp14="http://schemas.microsoft.com/office/word/2010/wordml" w14:paraId="00CD3CAB" wp14:textId="77777777">
      <w:pPr>
        <w:pStyle w:val="Heading3"/>
      </w:pPr>
      <w:r>
        <w:rPr>
          <w:rFonts w:ascii="Arial" w:hAnsi="Arial" w:eastAsia="Arial" w:cs="Arial"/>
          <w:b/>
          <w:bCs/>
          <w:color w:val="526578"/>
          <w:sz w:val="21"/>
          <w:szCs w:val="21"/>
        </w:rPr>
        <w:t xml:space="preserve">The channel remains strategically useful</w:t>
      </w:r>
    </w:p>
    <w:p xmlns:wp14="http://schemas.microsoft.com/office/word/2010/wordml" w14:paraId="37A3F69F" wp14:textId="77777777">
      <w:pPr>
        <w:keepLines/>
        <w:spacing w:after="130" w:line="290"/>
        <w:jc w:val="left"/>
      </w:pPr>
      <w:r>
        <w:rPr>
          <w:rFonts w:ascii="Arial" w:hAnsi="Arial" w:eastAsia="Arial" w:cs="Arial"/>
          <w:b w:val="false"/>
          <w:bCs w:val="false"/>
          <w:i w:val="false"/>
          <w:iCs w:val="false"/>
          <w:color w:val="1A1A1A"/>
          <w:sz w:val="20"/>
          <w:szCs w:val="20"/>
        </w:rPr>
        <w:t xml:space="preserve">Microsoft continues to invest in partner specializations, incentives, marketplace motions and services opportunities around Copilot, Agent 365 and security. </w:t>
      </w:r>
      <w:hyperlink w:history="1" r:id="rIdarbxf9bf6hk-o1qt0lfkd">
        <w:r>
          <w:rPr>
            <w:rStyle w:val="Hyperlink"/>
            <w:rFonts w:ascii="Arial" w:hAnsi="Arial" w:eastAsia="Arial" w:cs="Arial"/>
            <w:b/>
            <w:bCs/>
            <w:sz w:val="16"/>
            <w:szCs w:val="16"/>
          </w:rPr>
          <w:t xml:space="preserve">[23]</w:t>
        </w:r>
      </w:hyperlink>
      <w:r>
        <w:rPr>
          <w:rFonts w:ascii="Arial" w:hAnsi="Arial" w:eastAsia="Arial" w:cs="Arial"/>
          <w:b w:val="false"/>
          <w:bCs w:val="false"/>
          <w:i w:val="false"/>
          <w:iCs w:val="false"/>
          <w:color w:val="1A1A1A"/>
          <w:sz w:val="20"/>
          <w:szCs w:val="20"/>
        </w:rPr>
        <w:t xml:space="preserve"> </w:t>
      </w:r>
      <w:hyperlink w:history="1" r:id="rIdo0pecmnjnxbw9ozmkbx33">
        <w:r>
          <w:rPr>
            <w:rStyle w:val="Hyperlink"/>
            <w:rFonts w:ascii="Arial" w:hAnsi="Arial" w:eastAsia="Arial" w:cs="Arial"/>
            <w:b/>
            <w:bCs/>
            <w:sz w:val="16"/>
            <w:szCs w:val="16"/>
          </w:rPr>
          <w:t xml:space="preserve">[24]</w:t>
        </w:r>
      </w:hyperlink>
      <w:r>
        <w:rPr>
          <w:rFonts w:ascii="Arial" w:hAnsi="Arial" w:eastAsia="Arial" w:cs="Arial"/>
          <w:b w:val="false"/>
          <w:bCs w:val="false"/>
          <w:i w:val="false"/>
          <w:iCs w:val="false"/>
          <w:color w:val="1A1A1A"/>
          <w:sz w:val="20"/>
          <w:szCs w:val="20"/>
        </w:rPr>
        <w:t xml:space="preserve"> </w:t>
      </w:r>
      <w:hyperlink w:history="1" r:id="rId8mz4kccclpfdfr0-t6xov">
        <w:r>
          <w:rPr>
            <w:rStyle w:val="Hyperlink"/>
            <w:rFonts w:ascii="Arial" w:hAnsi="Arial" w:eastAsia="Arial" w:cs="Arial"/>
            <w:b/>
            <w:bCs/>
            <w:sz w:val="16"/>
            <w:szCs w:val="16"/>
          </w:rPr>
          <w:t xml:space="preserve">[39]</w:t>
        </w:r>
      </w:hyperlink>
    </w:p>
    <w:p xmlns:wp14="http://schemas.microsoft.com/office/word/2010/wordml" w14:paraId="02FE8FD1" wp14:textId="77777777">
      <w:pPr>
        <w:pStyle w:val="Heading2"/>
      </w:pPr>
      <w:r>
        <w:rPr>
          <w:rFonts w:ascii="Arial" w:hAnsi="Arial" w:eastAsia="Arial" w:cs="Arial"/>
          <w:b/>
          <w:bCs/>
          <w:color w:val="1F8A8A"/>
          <w:sz w:val="25"/>
          <w:szCs w:val="25"/>
        </w:rPr>
        <w:t xml:space="preserve">12.2 Arguments supporting disruption</w:t>
      </w:r>
    </w:p>
    <w:p xmlns:wp14="http://schemas.microsoft.com/office/word/2010/wordml" w14:paraId="102EF83A" wp14:textId="77777777">
      <w:pPr>
        <w:pStyle w:val="Heading3"/>
      </w:pPr>
      <w:r>
        <w:rPr>
          <w:rFonts w:ascii="Arial" w:hAnsi="Arial" w:eastAsia="Arial" w:cs="Arial"/>
          <w:b/>
          <w:bCs/>
          <w:color w:val="526578"/>
          <w:sz w:val="21"/>
          <w:szCs w:val="21"/>
        </w:rPr>
        <w:t xml:space="preserve">The platform absorbs the easiest margin</w:t>
      </w:r>
    </w:p>
    <w:p xmlns:wp14="http://schemas.microsoft.com/office/word/2010/wordml" w14:paraId="557FE5DD" wp14:textId="77777777">
      <w:pPr>
        <w:keepLines/>
        <w:spacing w:after="130" w:line="290"/>
        <w:jc w:val="left"/>
      </w:pPr>
      <w:r>
        <w:rPr>
          <w:rFonts w:ascii="Arial" w:hAnsi="Arial" w:eastAsia="Arial" w:cs="Arial"/>
          <w:b w:val="false"/>
          <w:bCs w:val="false"/>
          <w:i w:val="false"/>
          <w:iCs w:val="false"/>
          <w:color w:val="1A1A1A"/>
          <w:sz w:val="20"/>
          <w:szCs w:val="20"/>
        </w:rPr>
        <w:t xml:space="preserve">Native agents and managed services perform more triage, investigation, configuration and workflow execution. Customers can compare MSP charges with capabilities already in the license or cloud support tier. </w:t>
      </w:r>
      <w:hyperlink w:history="1" r:id="rIdakqt6cbrfsnc_eayqrvng">
        <w:r>
          <w:rPr>
            <w:rStyle w:val="Hyperlink"/>
            <w:rFonts w:ascii="Arial" w:hAnsi="Arial" w:eastAsia="Arial" w:cs="Arial"/>
            <w:b/>
            <w:bCs/>
            <w:sz w:val="16"/>
            <w:szCs w:val="16"/>
          </w:rPr>
          <w:t xml:space="preserve">[20]</w:t>
        </w:r>
      </w:hyperlink>
      <w:r>
        <w:rPr>
          <w:rFonts w:ascii="Arial" w:hAnsi="Arial" w:eastAsia="Arial" w:cs="Arial"/>
          <w:b w:val="false"/>
          <w:bCs w:val="false"/>
          <w:i w:val="false"/>
          <w:iCs w:val="false"/>
          <w:color w:val="1A1A1A"/>
          <w:sz w:val="20"/>
          <w:szCs w:val="20"/>
        </w:rPr>
        <w:t xml:space="preserve"> </w:t>
      </w:r>
      <w:hyperlink w:history="1" r:id="rIdpo2ivbhkdrgsoe6e7dkfz">
        <w:r>
          <w:rPr>
            <w:rStyle w:val="Hyperlink"/>
            <w:rFonts w:ascii="Arial" w:hAnsi="Arial" w:eastAsia="Arial" w:cs="Arial"/>
            <w:b/>
            <w:bCs/>
            <w:sz w:val="16"/>
            <w:szCs w:val="16"/>
          </w:rPr>
          <w:t xml:space="preserve">[25]</w:t>
        </w:r>
      </w:hyperlink>
      <w:r>
        <w:rPr>
          <w:rFonts w:ascii="Arial" w:hAnsi="Arial" w:eastAsia="Arial" w:cs="Arial"/>
          <w:b w:val="false"/>
          <w:bCs w:val="false"/>
          <w:i w:val="false"/>
          <w:iCs w:val="false"/>
          <w:color w:val="1A1A1A"/>
          <w:sz w:val="20"/>
          <w:szCs w:val="20"/>
        </w:rPr>
        <w:t xml:space="preserve"> </w:t>
      </w:r>
      <w:hyperlink w:history="1" r:id="rIdbks66aasne70agqvmxqod">
        <w:r>
          <w:rPr>
            <w:rStyle w:val="Hyperlink"/>
            <w:rFonts w:ascii="Arial" w:hAnsi="Arial" w:eastAsia="Arial" w:cs="Arial"/>
            <w:b/>
            <w:bCs/>
            <w:sz w:val="16"/>
            <w:szCs w:val="16"/>
          </w:rPr>
          <w:t xml:space="preserve">[27]</w:t>
        </w:r>
      </w:hyperlink>
      <w:r>
        <w:rPr>
          <w:rFonts w:ascii="Arial" w:hAnsi="Arial" w:eastAsia="Arial" w:cs="Arial"/>
          <w:b w:val="false"/>
          <w:bCs w:val="false"/>
          <w:i w:val="false"/>
          <w:iCs w:val="false"/>
          <w:color w:val="1A1A1A"/>
          <w:sz w:val="20"/>
          <w:szCs w:val="20"/>
        </w:rPr>
        <w:t xml:space="preserve"> </w:t>
      </w:r>
      <w:hyperlink w:history="1" r:id="rIdzd6wlm2-9fhkbidtf3zfz">
        <w:r>
          <w:rPr>
            <w:rStyle w:val="Hyperlink"/>
            <w:rFonts w:ascii="Arial" w:hAnsi="Arial" w:eastAsia="Arial" w:cs="Arial"/>
            <w:b/>
            <w:bCs/>
            <w:sz w:val="16"/>
            <w:szCs w:val="16"/>
          </w:rPr>
          <w:t xml:space="preserve">[28]</w:t>
        </w:r>
      </w:hyperlink>
    </w:p>
    <w:p xmlns:wp14="http://schemas.microsoft.com/office/word/2010/wordml" w14:paraId="5653BC43" wp14:textId="77777777">
      <w:pPr>
        <w:pStyle w:val="Heading3"/>
      </w:pPr>
      <w:r>
        <w:rPr>
          <w:rFonts w:ascii="Arial" w:hAnsi="Arial" w:eastAsia="Arial" w:cs="Arial"/>
          <w:b/>
          <w:bCs/>
          <w:color w:val="526578"/>
          <w:sz w:val="21"/>
          <w:szCs w:val="21"/>
        </w:rPr>
        <w:t xml:space="preserve">AI productivity becomes a price benchmark</w:t>
      </w:r>
    </w:p>
    <w:p xmlns:wp14="http://schemas.microsoft.com/office/word/2010/wordml" w14:paraId="2A53278D" wp14:textId="77777777">
      <w:pPr>
        <w:keepLines/>
        <w:spacing w:after="130" w:line="290"/>
        <w:jc w:val="left"/>
      </w:pPr>
      <w:r>
        <w:rPr>
          <w:rFonts w:ascii="Arial" w:hAnsi="Arial" w:eastAsia="Arial" w:cs="Arial"/>
          <w:b w:val="false"/>
          <w:bCs w:val="false"/>
          <w:i w:val="false"/>
          <w:iCs w:val="false"/>
          <w:color w:val="1A1A1A"/>
          <w:sz w:val="20"/>
          <w:szCs w:val="20"/>
        </w:rPr>
        <w:t xml:space="preserve">Bain's technology-services analysis describes an AI-driven repricing of services. Even providers that do not adopt AI can face customers who expect AI-level efficiency. </w:t>
      </w:r>
      <w:hyperlink w:history="1" r:id="rIdwesgq7g7fiod-i751ujat">
        <w:r>
          <w:rPr>
            <w:rStyle w:val="Hyperlink"/>
            <w:rFonts w:ascii="Arial" w:hAnsi="Arial" w:eastAsia="Arial" w:cs="Arial"/>
            <w:b/>
            <w:bCs/>
            <w:sz w:val="16"/>
            <w:szCs w:val="16"/>
          </w:rPr>
          <w:t xml:space="preserve">[15]</w:t>
        </w:r>
      </w:hyperlink>
    </w:p>
    <w:p xmlns:wp14="http://schemas.microsoft.com/office/word/2010/wordml" w14:paraId="7F04A10E" wp14:textId="77777777">
      <w:pPr>
        <w:pStyle w:val="Heading3"/>
      </w:pPr>
      <w:r>
        <w:rPr>
          <w:rFonts w:ascii="Arial" w:hAnsi="Arial" w:eastAsia="Arial" w:cs="Arial"/>
          <w:b/>
          <w:bCs/>
          <w:color w:val="526578"/>
          <w:sz w:val="21"/>
          <w:szCs w:val="21"/>
        </w:rPr>
        <w:t xml:space="preserve">Labor economics are asymmetric</w:t>
      </w:r>
    </w:p>
    <w:p xmlns:wp14="http://schemas.microsoft.com/office/word/2010/wordml" w14:paraId="0FB2B84A" wp14:textId="77777777">
      <w:pPr>
        <w:keepLines/>
        <w:spacing w:after="130" w:line="290"/>
        <w:jc w:val="left"/>
      </w:pPr>
      <w:r>
        <w:rPr>
          <w:rFonts w:ascii="Arial" w:hAnsi="Arial" w:eastAsia="Arial" w:cs="Arial"/>
          <w:b w:val="false"/>
          <w:bCs w:val="false"/>
          <w:i w:val="false"/>
          <w:iCs w:val="false"/>
          <w:color w:val="1A1A1A"/>
          <w:sz w:val="20"/>
          <w:szCs w:val="20"/>
        </w:rPr>
        <w:t xml:space="preserve">Wages, security obligations and tool costs rise before providers can always reprice fixed-fee contracts. AI savings remain theoretical unless headcount growth is avoided, capacity is redeployed or new revenue is won.</w:t>
      </w:r>
    </w:p>
    <w:p xmlns:wp14="http://schemas.microsoft.com/office/word/2010/wordml" w14:paraId="61F1562F" wp14:textId="77777777">
      <w:pPr>
        <w:pStyle w:val="Heading3"/>
      </w:pPr>
      <w:r>
        <w:rPr>
          <w:rFonts w:ascii="Arial" w:hAnsi="Arial" w:eastAsia="Arial" w:cs="Arial"/>
          <w:b/>
          <w:bCs/>
          <w:color w:val="526578"/>
          <w:sz w:val="21"/>
          <w:szCs w:val="21"/>
        </w:rPr>
        <w:t xml:space="preserve">Security can disintermediate generalists</w:t>
      </w:r>
    </w:p>
    <w:p xmlns:wp14="http://schemas.microsoft.com/office/word/2010/wordml" w14:paraId="2530F26B" wp14:textId="77777777">
      <w:pPr>
        <w:keepLines/>
        <w:spacing w:after="130" w:line="290"/>
        <w:jc w:val="left"/>
      </w:pPr>
      <w:r>
        <w:rPr>
          <w:rFonts w:ascii="Arial" w:hAnsi="Arial" w:eastAsia="Arial" w:cs="Arial"/>
          <w:b w:val="false"/>
          <w:bCs w:val="false"/>
          <w:i w:val="false"/>
          <w:iCs w:val="false"/>
          <w:color w:val="1A1A1A"/>
          <w:sz w:val="20"/>
          <w:szCs w:val="20"/>
        </w:rPr>
        <w:t xml:space="preserve">Vendor MDR, embedded XDR and AI triage can replace low-value alert handling. A generalist MSP that resells security without response authority may be squeezed between vendor platforms and scaled specialists. </w:t>
      </w:r>
      <w:hyperlink w:history="1" r:id="rId7xdzncko9nrkq9ro4weno">
        <w:r>
          <w:rPr>
            <w:rStyle w:val="Hyperlink"/>
            <w:rFonts w:ascii="Arial" w:hAnsi="Arial" w:eastAsia="Arial" w:cs="Arial"/>
            <w:b/>
            <w:bCs/>
            <w:sz w:val="16"/>
            <w:szCs w:val="16"/>
          </w:rPr>
          <w:t xml:space="preserve">[22]</w:t>
        </w:r>
      </w:hyperlink>
      <w:r>
        <w:rPr>
          <w:rFonts w:ascii="Arial" w:hAnsi="Arial" w:eastAsia="Arial" w:cs="Arial"/>
          <w:b w:val="false"/>
          <w:bCs w:val="false"/>
          <w:i w:val="false"/>
          <w:iCs w:val="false"/>
          <w:color w:val="1A1A1A"/>
          <w:sz w:val="20"/>
          <w:szCs w:val="20"/>
        </w:rPr>
        <w:t xml:space="preserve"> </w:t>
      </w:r>
      <w:hyperlink w:history="1" r:id="rIdeozczx-d7oq711rdhgi9t">
        <w:r>
          <w:rPr>
            <w:rStyle w:val="Hyperlink"/>
            <w:rFonts w:ascii="Arial" w:hAnsi="Arial" w:eastAsia="Arial" w:cs="Arial"/>
            <w:b/>
            <w:bCs/>
            <w:sz w:val="16"/>
            <w:szCs w:val="16"/>
          </w:rPr>
          <w:t xml:space="preserve">[29]</w:t>
        </w:r>
      </w:hyperlink>
    </w:p>
    <w:p xmlns:wp14="http://schemas.microsoft.com/office/word/2010/wordml" w14:paraId="257E3D25" wp14:textId="77777777">
      <w:pPr>
        <w:pStyle w:val="Heading3"/>
      </w:pPr>
      <w:r>
        <w:rPr>
          <w:rFonts w:ascii="Arial" w:hAnsi="Arial" w:eastAsia="Arial" w:cs="Arial"/>
          <w:b/>
          <w:bCs/>
          <w:color w:val="526578"/>
          <w:sz w:val="21"/>
          <w:szCs w:val="21"/>
        </w:rPr>
        <w:t xml:space="preserve">Transition can fail financially</w:t>
      </w:r>
    </w:p>
    <w:p xmlns:wp14="http://schemas.microsoft.com/office/word/2010/wordml" w14:paraId="2AF03EBE" wp14:textId="77777777">
      <w:pPr>
        <w:keepLines/>
        <w:spacing w:after="130" w:line="290"/>
        <w:jc w:val="left"/>
      </w:pPr>
      <w:r>
        <w:rPr>
          <w:rFonts w:ascii="Arial" w:hAnsi="Arial" w:eastAsia="Arial" w:cs="Arial"/>
          <w:b w:val="false"/>
          <w:bCs w:val="false"/>
          <w:i w:val="false"/>
          <w:iCs w:val="false"/>
          <w:color w:val="1A1A1A"/>
          <w:sz w:val="20"/>
          <w:szCs w:val="20"/>
        </w:rPr>
        <w:t xml:space="preserve">The company must fund old and new operating models simultaneously. Weak cash conversion, debt or customer concentration can force a sale before the new portfolio scales.</w:t>
      </w:r>
    </w:p>
    <w:p xmlns:wp14="http://schemas.microsoft.com/office/word/2010/wordml" w14:paraId="62550709" wp14:textId="77777777">
      <w:pPr>
        <w:pStyle w:val="Heading2"/>
      </w:pPr>
      <w:r>
        <w:rPr>
          <w:rFonts w:ascii="Arial" w:hAnsi="Arial" w:eastAsia="Arial" w:cs="Arial"/>
          <w:b/>
          <w:bCs/>
          <w:color w:val="1F8A8A"/>
          <w:sz w:val="25"/>
          <w:szCs w:val="25"/>
        </w:rPr>
        <w:t xml:space="preserve">12.3 Principal transformation risks</w:t>
      </w:r>
    </w:p>
    <w:tbl>
      <w:tblPr>
        <w:tblW w:w="10656" w:type="dxa"/>
        <w:tblBorders>
          <w:top w:val="single" w:color="auto" w:sz="4"/>
          <w:left w:val="single" w:color="auto" w:sz="4"/>
          <w:bottom w:val="single" w:color="auto" w:sz="4"/>
          <w:right w:val="single" w:color="auto" w:sz="4"/>
          <w:insideH w:val="single" w:color="auto" w:sz="4"/>
          <w:insideV w:val="single" w:color="auto" w:sz="4"/>
        </w:tblBorders>
      </w:tblPr>
      <w:tblGrid>
        <w:gridCol w:w="3552"/>
        <w:gridCol w:w="3552"/>
        <w:gridCol w:w="3552"/>
      </w:tblGrid>
      <w:tr xmlns:wp14="http://schemas.microsoft.com/office/word/2010/wordml" w14:paraId="63C8E60E" wp14:textId="77777777">
        <w:trPr>
          <w:cantSplit/>
          <w:tblHeader/>
        </w:trPr>
        <w:tc>
          <w:tcPr>
            <w:tcW w:w="3552"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0B436CD8" wp14:textId="77777777">
            <w:pPr>
              <w:spacing w:after="0" w:line="220"/>
            </w:pPr>
            <w:r>
              <w:rPr>
                <w:rFonts w:ascii="Arial" w:hAnsi="Arial" w:eastAsia="Arial" w:cs="Arial"/>
                <w:b/>
                <w:bCs/>
                <w:i w:val="false"/>
                <w:iCs w:val="false"/>
                <w:color w:val="FFFFFF"/>
                <w:sz w:val="17"/>
                <w:szCs w:val="17"/>
              </w:rPr>
              <w:t xml:space="preserve">Risk</w:t>
            </w:r>
          </w:p>
        </w:tc>
        <w:tc>
          <w:tcPr>
            <w:tcW w:w="3552"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5A469008" wp14:textId="77777777">
            <w:pPr>
              <w:spacing w:after="0" w:line="220"/>
            </w:pPr>
            <w:r>
              <w:rPr>
                <w:rFonts w:ascii="Arial" w:hAnsi="Arial" w:eastAsia="Arial" w:cs="Arial"/>
                <w:b/>
                <w:bCs/>
                <w:i w:val="false"/>
                <w:iCs w:val="false"/>
                <w:color w:val="FFFFFF"/>
                <w:sz w:val="17"/>
                <w:szCs w:val="17"/>
              </w:rPr>
              <w:t xml:space="preserve">Failure mode</w:t>
            </w:r>
          </w:p>
        </w:tc>
        <w:tc>
          <w:tcPr>
            <w:tcW w:w="3552" w:type="dxa"/>
            <w:tcBorders>
              <w:top w:val="single" w:color="D8E0E8" w:sz="4"/>
              <w:left w:val="single" w:color="D8E0E8" w:sz="4"/>
              <w:bottom w:val="single" w:color="D8E0E8" w:sz="4"/>
              <w:right w:val="single" w:color="D8E0E8" w:sz="4"/>
            </w:tcBorders>
            <w:shd w:val="clear" w:fill="173F5F"/>
            <w:tcMar>
              <w:top w:w="90" w:type="dxa"/>
              <w:left w:w="110" w:type="dxa"/>
              <w:bottom w:w="90" w:type="dxa"/>
              <w:right w:w="110" w:type="dxa"/>
            </w:tcMar>
            <w:vAlign w:val="center"/>
          </w:tcPr>
          <w:p w14:paraId="62786163" wp14:textId="77777777">
            <w:pPr>
              <w:spacing w:after="0" w:line="220"/>
            </w:pPr>
            <w:r>
              <w:rPr>
                <w:rFonts w:ascii="Arial" w:hAnsi="Arial" w:eastAsia="Arial" w:cs="Arial"/>
                <w:b/>
                <w:bCs/>
                <w:i w:val="false"/>
                <w:iCs w:val="false"/>
                <w:color w:val="FFFFFF"/>
                <w:sz w:val="17"/>
                <w:szCs w:val="17"/>
              </w:rPr>
              <w:t xml:space="preserve">Mitigation</w:t>
            </w:r>
          </w:p>
        </w:tc>
      </w:tr>
      <w:tr xmlns:wp14="http://schemas.microsoft.com/office/word/2010/wordml" w14:paraId="39C69668"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6067D79B" wp14:textId="77777777">
            <w:pPr>
              <w:spacing w:after="0" w:line="220"/>
            </w:pPr>
            <w:r>
              <w:rPr>
                <w:rFonts w:ascii="Arial" w:hAnsi="Arial" w:eastAsia="Arial" w:cs="Arial"/>
                <w:b w:val="false"/>
                <w:bCs w:val="false"/>
                <w:i w:val="false"/>
                <w:iCs w:val="false"/>
                <w:color w:val="1A1A1A"/>
                <w:sz w:val="17"/>
                <w:szCs w:val="17"/>
              </w:rPr>
              <w:t xml:space="preserve">AI quality and autonomy</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522DB815" wp14:textId="77777777">
            <w:pPr>
              <w:spacing w:after="0" w:line="220"/>
            </w:pPr>
            <w:r>
              <w:rPr>
                <w:rFonts w:ascii="Arial" w:hAnsi="Arial" w:eastAsia="Arial" w:cs="Arial"/>
                <w:b w:val="false"/>
                <w:bCs w:val="false"/>
                <w:i w:val="false"/>
                <w:iCs w:val="false"/>
                <w:color w:val="1A1A1A"/>
                <w:sz w:val="17"/>
                <w:szCs w:val="17"/>
              </w:rPr>
              <w:t xml:space="preserve">Wrong actions, reopened tickets, customer harm</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C3EA3EC" wp14:textId="77777777">
            <w:pPr>
              <w:spacing w:after="0" w:line="220"/>
            </w:pPr>
            <w:r>
              <w:rPr>
                <w:rFonts w:ascii="Arial" w:hAnsi="Arial" w:eastAsia="Arial" w:cs="Arial"/>
                <w:b w:val="false"/>
                <w:bCs w:val="false"/>
                <w:i w:val="false"/>
                <w:iCs w:val="false"/>
                <w:color w:val="1A1A1A"/>
                <w:sz w:val="17"/>
                <w:szCs w:val="17"/>
              </w:rPr>
              <w:t xml:space="preserve">Bounded permissions, evaluation, human approval, rollback and insurance review.</w:t>
            </w:r>
          </w:p>
        </w:tc>
      </w:tr>
      <w:tr xmlns:wp14="http://schemas.microsoft.com/office/word/2010/wordml" w14:paraId="625A077D"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5F548B33" wp14:textId="77777777">
            <w:pPr>
              <w:spacing w:after="0" w:line="220"/>
            </w:pPr>
            <w:r>
              <w:rPr>
                <w:rFonts w:ascii="Arial" w:hAnsi="Arial" w:eastAsia="Arial" w:cs="Arial"/>
                <w:b w:val="false"/>
                <w:bCs w:val="false"/>
                <w:i w:val="false"/>
                <w:iCs w:val="false"/>
                <w:color w:val="1A1A1A"/>
                <w:sz w:val="17"/>
                <w:szCs w:val="17"/>
              </w:rPr>
              <w:t xml:space="preserve">Consumption economics</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1781630B" wp14:textId="77777777">
            <w:pPr>
              <w:spacing w:after="0" w:line="220"/>
            </w:pPr>
            <w:r>
              <w:rPr>
                <w:rFonts w:ascii="Arial" w:hAnsi="Arial" w:eastAsia="Arial" w:cs="Arial"/>
                <w:b w:val="false"/>
                <w:bCs w:val="false"/>
                <w:i w:val="false"/>
                <w:iCs w:val="false"/>
                <w:color w:val="1A1A1A"/>
                <w:sz w:val="17"/>
                <w:szCs w:val="17"/>
              </w:rPr>
              <w:t xml:space="preserve">Tool and model costs erase labor savings</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501B2102" wp14:textId="77777777">
            <w:pPr>
              <w:spacing w:after="0" w:line="220"/>
            </w:pPr>
            <w:r>
              <w:rPr>
                <w:rFonts w:ascii="Arial" w:hAnsi="Arial" w:eastAsia="Arial" w:cs="Arial"/>
                <w:b w:val="false"/>
                <w:bCs w:val="false"/>
                <w:i w:val="false"/>
                <w:iCs w:val="false"/>
                <w:color w:val="1A1A1A"/>
                <w:sz w:val="17"/>
                <w:szCs w:val="17"/>
              </w:rPr>
              <w:t xml:space="preserve">Metering, budgets, routing, caps and FinOps by workflow.</w:t>
            </w:r>
          </w:p>
        </w:tc>
      </w:tr>
      <w:tr xmlns:wp14="http://schemas.microsoft.com/office/word/2010/wordml" w14:paraId="69DF4AB2"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3E99784C" wp14:textId="77777777">
            <w:pPr>
              <w:spacing w:after="0" w:line="220"/>
            </w:pPr>
            <w:r>
              <w:rPr>
                <w:rFonts w:ascii="Arial" w:hAnsi="Arial" w:eastAsia="Arial" w:cs="Arial"/>
                <w:b w:val="false"/>
                <w:bCs w:val="false"/>
                <w:i w:val="false"/>
                <w:iCs w:val="false"/>
                <w:color w:val="1A1A1A"/>
                <w:sz w:val="17"/>
                <w:szCs w:val="17"/>
              </w:rPr>
              <w:t xml:space="preserve">Customer repricing</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0A1DE9E8" wp14:textId="77777777">
            <w:pPr>
              <w:spacing w:after="0" w:line="220"/>
            </w:pPr>
            <w:r>
              <w:rPr>
                <w:rFonts w:ascii="Arial" w:hAnsi="Arial" w:eastAsia="Arial" w:cs="Arial"/>
                <w:b w:val="false"/>
                <w:bCs w:val="false"/>
                <w:i w:val="false"/>
                <w:iCs w:val="false"/>
                <w:color w:val="1A1A1A"/>
                <w:sz w:val="17"/>
                <w:szCs w:val="17"/>
              </w:rPr>
              <w:t xml:space="preserve">Savings passed through faster than costs decline</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8C57D3D" wp14:textId="77777777">
            <w:pPr>
              <w:spacing w:after="0" w:line="220"/>
            </w:pPr>
            <w:r>
              <w:rPr>
                <w:rFonts w:ascii="Arial" w:hAnsi="Arial" w:eastAsia="Arial" w:cs="Arial"/>
                <w:b w:val="false"/>
                <w:bCs w:val="false"/>
                <w:i w:val="false"/>
                <w:iCs w:val="false"/>
                <w:color w:val="1A1A1A"/>
                <w:sz w:val="17"/>
                <w:szCs w:val="17"/>
              </w:rPr>
              <w:t xml:space="preserve">Hybrid pricing, differentiated outcomes, contract sequencing.</w:t>
            </w:r>
          </w:p>
        </w:tc>
      </w:tr>
      <w:tr xmlns:wp14="http://schemas.microsoft.com/office/word/2010/wordml" w14:paraId="6094648C"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01A62F8D" wp14:textId="77777777">
            <w:pPr>
              <w:spacing w:after="0" w:line="220"/>
            </w:pPr>
            <w:r>
              <w:rPr>
                <w:rFonts w:ascii="Arial" w:hAnsi="Arial" w:eastAsia="Arial" w:cs="Arial"/>
                <w:b w:val="false"/>
                <w:bCs w:val="false"/>
                <w:i w:val="false"/>
                <w:iCs w:val="false"/>
                <w:color w:val="1A1A1A"/>
                <w:sz w:val="17"/>
                <w:szCs w:val="17"/>
              </w:rPr>
              <w:t xml:space="preserve">Talent gap</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2291FAED" wp14:textId="77777777">
            <w:pPr>
              <w:spacing w:after="0" w:line="220"/>
            </w:pPr>
            <w:r>
              <w:rPr>
                <w:rFonts w:ascii="Arial" w:hAnsi="Arial" w:eastAsia="Arial" w:cs="Arial"/>
                <w:b w:val="false"/>
                <w:bCs w:val="false"/>
                <w:i w:val="false"/>
                <w:iCs w:val="false"/>
                <w:color w:val="1A1A1A"/>
                <w:sz w:val="17"/>
                <w:szCs w:val="17"/>
              </w:rPr>
              <w:t xml:space="preserve">Technicians do not become consultants or product engineers</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4C54B8B3" wp14:textId="77777777">
            <w:pPr>
              <w:spacing w:after="0" w:line="220"/>
            </w:pPr>
            <w:r>
              <w:rPr>
                <w:rFonts w:ascii="Arial" w:hAnsi="Arial" w:eastAsia="Arial" w:cs="Arial"/>
                <w:b w:val="false"/>
                <w:bCs w:val="false"/>
                <w:i w:val="false"/>
                <w:iCs w:val="false"/>
                <w:color w:val="1A1A1A"/>
                <w:sz w:val="17"/>
                <w:szCs w:val="17"/>
              </w:rPr>
              <w:t xml:space="preserve">Role redesign, selective hiring, partnerships and protected learning time.</w:t>
            </w:r>
          </w:p>
        </w:tc>
      </w:tr>
      <w:tr xmlns:wp14="http://schemas.microsoft.com/office/word/2010/wordml" w14:paraId="5CC44C7B"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52CF5EB9" wp14:textId="77777777">
            <w:pPr>
              <w:spacing w:after="0" w:line="220"/>
            </w:pPr>
            <w:r>
              <w:rPr>
                <w:rFonts w:ascii="Arial" w:hAnsi="Arial" w:eastAsia="Arial" w:cs="Arial"/>
                <w:b w:val="false"/>
                <w:bCs w:val="false"/>
                <w:i w:val="false"/>
                <w:iCs w:val="false"/>
                <w:color w:val="1A1A1A"/>
                <w:sz w:val="17"/>
                <w:szCs w:val="17"/>
              </w:rPr>
              <w:t xml:space="preserve">Sales-model mismatch</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2E27FE00" wp14:textId="77777777">
            <w:pPr>
              <w:spacing w:after="0" w:line="220"/>
            </w:pPr>
            <w:r>
              <w:rPr>
                <w:rFonts w:ascii="Arial" w:hAnsi="Arial" w:eastAsia="Arial" w:cs="Arial"/>
                <w:b w:val="false"/>
                <w:bCs w:val="false"/>
                <w:i w:val="false"/>
                <w:iCs w:val="false"/>
                <w:color w:val="1A1A1A"/>
                <w:sz w:val="17"/>
                <w:szCs w:val="17"/>
              </w:rPr>
              <w:t xml:space="preserve">Project pipeline grows but recurring revenue does not</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60DF897B" wp14:textId="77777777">
            <w:pPr>
              <w:spacing w:after="0" w:line="220"/>
            </w:pPr>
            <w:r>
              <w:rPr>
                <w:rFonts w:ascii="Arial" w:hAnsi="Arial" w:eastAsia="Arial" w:cs="Arial"/>
                <w:b w:val="false"/>
                <w:bCs w:val="false"/>
                <w:i w:val="false"/>
                <w:iCs w:val="false"/>
                <w:color w:val="1A1A1A"/>
                <w:sz w:val="17"/>
                <w:szCs w:val="17"/>
              </w:rPr>
              <w:t xml:space="preserve">Attach managed operations and renewal at design stage.</w:t>
            </w:r>
          </w:p>
        </w:tc>
      </w:tr>
      <w:tr xmlns:wp14="http://schemas.microsoft.com/office/word/2010/wordml" w14:paraId="28F5E80B"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3965EAD1" wp14:textId="77777777">
            <w:pPr>
              <w:spacing w:after="0" w:line="220"/>
            </w:pPr>
            <w:r>
              <w:rPr>
                <w:rFonts w:ascii="Arial" w:hAnsi="Arial" w:eastAsia="Arial" w:cs="Arial"/>
                <w:b w:val="false"/>
                <w:bCs w:val="false"/>
                <w:i w:val="false"/>
                <w:iCs w:val="false"/>
                <w:color w:val="1A1A1A"/>
                <w:sz w:val="17"/>
                <w:szCs w:val="17"/>
              </w:rPr>
              <w:t xml:space="preserve">Security concentration</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7F5A81B3" wp14:textId="77777777">
            <w:pPr>
              <w:spacing w:after="0" w:line="220"/>
            </w:pPr>
            <w:r>
              <w:rPr>
                <w:rFonts w:ascii="Arial" w:hAnsi="Arial" w:eastAsia="Arial" w:cs="Arial"/>
                <w:b w:val="false"/>
                <w:bCs w:val="false"/>
                <w:i w:val="false"/>
                <w:iCs w:val="false"/>
                <w:color w:val="1A1A1A"/>
                <w:sz w:val="17"/>
                <w:szCs w:val="17"/>
              </w:rPr>
              <w:t xml:space="preserve">MSP access becomes a systemic attack path</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66344D02" wp14:textId="77777777">
            <w:pPr>
              <w:spacing w:after="0" w:line="220"/>
            </w:pPr>
            <w:r>
              <w:rPr>
                <w:rFonts w:ascii="Arial" w:hAnsi="Arial" w:eastAsia="Arial" w:cs="Arial"/>
                <w:b w:val="false"/>
                <w:bCs w:val="false"/>
                <w:i w:val="false"/>
                <w:iCs w:val="false"/>
                <w:color w:val="1A1A1A"/>
                <w:sz w:val="17"/>
                <w:szCs w:val="17"/>
              </w:rPr>
              <w:t xml:space="preserve">Zero standing privilege, segmentation, logging, incident drills. </w:t>
            </w:r>
            <w:hyperlink w:history="1" r:id="rIdieuwxtraa9wnikxtk0mly">
              <w:r>
                <w:rPr>
                  <w:rStyle w:val="Hyperlink"/>
                  <w:rFonts w:ascii="Arial" w:hAnsi="Arial" w:eastAsia="Arial" w:cs="Arial"/>
                  <w:b/>
                  <w:bCs/>
                  <w:sz w:val="14"/>
                  <w:szCs w:val="14"/>
                </w:rPr>
                <w:t xml:space="preserve">[30]</w:t>
              </w:r>
            </w:hyperlink>
          </w:p>
        </w:tc>
      </w:tr>
      <w:tr xmlns:wp14="http://schemas.microsoft.com/office/word/2010/wordml" w14:paraId="6E2D6029"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0455B5B9" wp14:textId="77777777">
            <w:pPr>
              <w:spacing w:after="0" w:line="220"/>
            </w:pPr>
            <w:r>
              <w:rPr>
                <w:rFonts w:ascii="Arial" w:hAnsi="Arial" w:eastAsia="Arial" w:cs="Arial"/>
                <w:b w:val="false"/>
                <w:bCs w:val="false"/>
                <w:i w:val="false"/>
                <w:iCs w:val="false"/>
                <w:color w:val="1A1A1A"/>
                <w:sz w:val="17"/>
                <w:szCs w:val="17"/>
              </w:rPr>
              <w:t xml:space="preserve">Platform dependency</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45DF6A4A" wp14:textId="77777777">
            <w:pPr>
              <w:spacing w:after="0" w:line="220"/>
            </w:pPr>
            <w:r>
              <w:rPr>
                <w:rFonts w:ascii="Arial" w:hAnsi="Arial" w:eastAsia="Arial" w:cs="Arial"/>
                <w:b w:val="false"/>
                <w:bCs w:val="false"/>
                <w:i w:val="false"/>
                <w:iCs w:val="false"/>
                <w:color w:val="1A1A1A"/>
                <w:sz w:val="17"/>
                <w:szCs w:val="17"/>
              </w:rPr>
              <w:t xml:space="preserve">Vendor bundling removes service scope or margin</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13BF2763" wp14:textId="77777777">
            <w:pPr>
              <w:spacing w:after="0" w:line="220"/>
            </w:pPr>
            <w:r>
              <w:rPr>
                <w:rFonts w:ascii="Arial" w:hAnsi="Arial" w:eastAsia="Arial" w:cs="Arial"/>
                <w:b w:val="false"/>
                <w:bCs w:val="false"/>
                <w:i w:val="false"/>
                <w:iCs w:val="false"/>
                <w:color w:val="1A1A1A"/>
                <w:sz w:val="17"/>
                <w:szCs w:val="17"/>
              </w:rPr>
              <w:t xml:space="preserve">Multi-layer value, customer context, portable IP, multi-vendor capability.</w:t>
            </w:r>
          </w:p>
        </w:tc>
      </w:tr>
      <w:tr xmlns:wp14="http://schemas.microsoft.com/office/word/2010/wordml" w14:paraId="4C9EFF4A"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126B5FBF" wp14:textId="77777777">
            <w:pPr>
              <w:spacing w:after="0" w:line="220"/>
            </w:pPr>
            <w:r>
              <w:rPr>
                <w:rFonts w:ascii="Arial" w:hAnsi="Arial" w:eastAsia="Arial" w:cs="Arial"/>
                <w:b w:val="false"/>
                <w:bCs w:val="false"/>
                <w:i w:val="false"/>
                <w:iCs w:val="false"/>
                <w:color w:val="1A1A1A"/>
                <w:sz w:val="17"/>
                <w:szCs w:val="17"/>
              </w:rPr>
              <w:t xml:space="preserve">Liability creep</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6C147227" wp14:textId="77777777">
            <w:pPr>
              <w:spacing w:after="0" w:line="220"/>
            </w:pPr>
            <w:r>
              <w:rPr>
                <w:rFonts w:ascii="Arial" w:hAnsi="Arial" w:eastAsia="Arial" w:cs="Arial"/>
                <w:b w:val="false"/>
                <w:bCs w:val="false"/>
                <w:i w:val="false"/>
                <w:iCs w:val="false"/>
                <w:color w:val="1A1A1A"/>
                <w:sz w:val="17"/>
                <w:szCs w:val="17"/>
              </w:rPr>
              <w:t xml:space="preserve">Outcome promises exceed control</w:t>
            </w:r>
          </w:p>
        </w:tc>
        <w:tc>
          <w:tcPr>
            <w:tcW w:w="3552" w:type="dxa"/>
            <w:tcBorders>
              <w:top w:val="single" w:color="D8E0E8" w:sz="4"/>
              <w:left w:val="single" w:color="D8E0E8" w:sz="4"/>
              <w:bottom w:val="single" w:color="D8E0E8" w:sz="4"/>
              <w:right w:val="single" w:color="D8E0E8" w:sz="4"/>
            </w:tcBorders>
            <w:shd w:val="clear" w:fill="F7F9FB"/>
            <w:tcMar>
              <w:top w:w="90" w:type="dxa"/>
              <w:left w:w="110" w:type="dxa"/>
              <w:bottom w:w="90" w:type="dxa"/>
              <w:right w:w="110" w:type="dxa"/>
            </w:tcMar>
            <w:vAlign w:val="center"/>
          </w:tcPr>
          <w:p w14:paraId="185D2094" wp14:textId="77777777">
            <w:pPr>
              <w:spacing w:after="0" w:line="220"/>
            </w:pPr>
            <w:r>
              <w:rPr>
                <w:rFonts w:ascii="Arial" w:hAnsi="Arial" w:eastAsia="Arial" w:cs="Arial"/>
                <w:b w:val="false"/>
                <w:bCs w:val="false"/>
                <w:i w:val="false"/>
                <w:iCs w:val="false"/>
                <w:color w:val="1A1A1A"/>
                <w:sz w:val="17"/>
                <w:szCs w:val="17"/>
              </w:rPr>
              <w:t xml:space="preserve">Shared responsibility, baselines, exclusions and approval thresholds.</w:t>
            </w:r>
          </w:p>
        </w:tc>
      </w:tr>
      <w:tr xmlns:wp14="http://schemas.microsoft.com/office/word/2010/wordml" w14:paraId="3C6B291D" wp14:textId="77777777">
        <w:trPr>
          <w:cantSplit/>
          <w:tblHeader w:val="false"/>
        </w:trPr>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009DCD96" wp14:textId="77777777">
            <w:pPr>
              <w:spacing w:after="0" w:line="220"/>
            </w:pPr>
            <w:r>
              <w:rPr>
                <w:rFonts w:ascii="Arial" w:hAnsi="Arial" w:eastAsia="Arial" w:cs="Arial"/>
                <w:b w:val="false"/>
                <w:bCs w:val="false"/>
                <w:i w:val="false"/>
                <w:iCs w:val="false"/>
                <w:color w:val="1A1A1A"/>
                <w:sz w:val="17"/>
                <w:szCs w:val="17"/>
              </w:rPr>
              <w:t xml:space="preserve">M&amp;A overreach</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6933F9DE" wp14:textId="77777777">
            <w:pPr>
              <w:spacing w:after="0" w:line="220"/>
            </w:pPr>
            <w:r>
              <w:rPr>
                <w:rFonts w:ascii="Arial" w:hAnsi="Arial" w:eastAsia="Arial" w:cs="Arial"/>
                <w:b w:val="false"/>
                <w:bCs w:val="false"/>
                <w:i w:val="false"/>
                <w:iCs w:val="false"/>
                <w:color w:val="1A1A1A"/>
                <w:sz w:val="17"/>
                <w:szCs w:val="17"/>
              </w:rPr>
              <w:t xml:space="preserve">Acquisitions add revenue but not standardized economics</w:t>
            </w:r>
          </w:p>
        </w:tc>
        <w:tc>
          <w:tcPr>
            <w:tcW w:w="3552" w:type="dxa"/>
            <w:tcBorders>
              <w:top w:val="single" w:color="D8E0E8" w:sz="4"/>
              <w:left w:val="single" w:color="D8E0E8" w:sz="4"/>
              <w:bottom w:val="single" w:color="D8E0E8" w:sz="4"/>
              <w:right w:val="single" w:color="D8E0E8" w:sz="4"/>
            </w:tcBorders>
            <w:shd w:val="clear" w:fill="FFFFFF"/>
            <w:tcMar>
              <w:top w:w="90" w:type="dxa"/>
              <w:left w:w="110" w:type="dxa"/>
              <w:bottom w:w="90" w:type="dxa"/>
              <w:right w:w="110" w:type="dxa"/>
            </w:tcMar>
            <w:vAlign w:val="center"/>
          </w:tcPr>
          <w:p w14:paraId="6E544AC7" wp14:textId="77777777">
            <w:pPr>
              <w:spacing w:after="0" w:line="220"/>
            </w:pPr>
            <w:r>
              <w:rPr>
                <w:rFonts w:ascii="Arial" w:hAnsi="Arial" w:eastAsia="Arial" w:cs="Arial"/>
                <w:b w:val="false"/>
                <w:bCs w:val="false"/>
                <w:i w:val="false"/>
                <w:iCs w:val="false"/>
                <w:color w:val="1A1A1A"/>
                <w:sz w:val="17"/>
                <w:szCs w:val="17"/>
              </w:rPr>
              <w:t xml:space="preserve">Integration thesis, service-line P&amp;L and organic-growth disclosure.</w:t>
            </w:r>
          </w:p>
        </w:tc>
      </w:tr>
    </w:tbl>
    <w:p xmlns:wp14="http://schemas.microsoft.com/office/word/2010/wordml" w14:paraId="45FB0818" wp14:textId="77777777">
      <w:pPr>
        <w:spacing w:after="120"/>
      </w:pPr>
    </w:p>
    <w:p xmlns:wp14="http://schemas.microsoft.com/office/word/2010/wordml" w14:paraId="3FF57139" wp14:textId="77777777">
      <w:pPr>
        <w:pStyle w:val="Heading2"/>
      </w:pPr>
      <w:r>
        <w:rPr>
          <w:rFonts w:ascii="Arial" w:hAnsi="Arial" w:eastAsia="Arial" w:cs="Arial"/>
          <w:b/>
          <w:bCs/>
          <w:color w:val="1F8A8A"/>
          <w:sz w:val="25"/>
          <w:szCs w:val="25"/>
        </w:rPr>
        <w:t xml:space="preserve">12.4 Most likely outcome</w:t>
      </w:r>
    </w:p>
    <w:p xmlns:wp14="http://schemas.microsoft.com/office/word/2010/wordml" w14:paraId="692E56A0" wp14:textId="77777777">
      <w:pPr>
        <w:keepLines/>
        <w:spacing w:after="130" w:line="290"/>
        <w:jc w:val="left"/>
      </w:pPr>
      <w:r>
        <w:rPr>
          <w:rFonts w:ascii="Arial" w:hAnsi="Arial" w:eastAsia="Arial" w:cs="Arial"/>
          <w:b w:val="false"/>
          <w:bCs w:val="false"/>
          <w:i w:val="false"/>
          <w:iCs w:val="false"/>
          <w:color w:val="1A1A1A"/>
          <w:sz w:val="20"/>
          <w:szCs w:val="20"/>
        </w:rPr>
        <w:t xml:space="preserve">Managed services remains viable by 2030. The unchanged labor-heavy model becomes less viable, especially where scope is broad, delivery is manual and differentiation is weak. The likely industry outcome is a larger market with fewer strategically relevant independent providers, wider margin dispersion, more consolidation and a smaller human share of routine delivery.</w:t>
      </w:r>
    </w:p>
    <w:p xmlns:wp14="http://schemas.microsoft.com/office/word/2010/wordml" w14:paraId="2B7DA771" wp14:textId="77777777">
      <w:pPr>
        <w:keepLines/>
        <w:spacing w:after="130" w:line="290"/>
        <w:jc w:val="left"/>
      </w:pPr>
      <w:r>
        <w:rPr>
          <w:rFonts w:ascii="Arial" w:hAnsi="Arial" w:eastAsia="Arial" w:cs="Arial"/>
          <w:b w:val="false"/>
          <w:bCs w:val="false"/>
          <w:i w:val="false"/>
          <w:iCs w:val="false"/>
          <w:color w:val="1A1A1A"/>
          <w:sz w:val="20"/>
          <w:szCs w:val="20"/>
        </w:rPr>
        <w:t xml:space="preserve">The strongest counterargument is current profitability. The strongest rebuttal is that platform shifts usually compress the value of a layer before they eliminate its revenue. Owners should watch like-for-like price, labor share, gross margin, renewal scope and customer willingness to pay for the retained human work.</w:t>
      </w:r>
    </w:p>
    <w:p xmlns:wp14="http://schemas.microsoft.com/office/word/2010/wordml" w14:paraId="3C742A53" wp14:textId="77777777">
      <w:pPr>
        <w:pStyle w:val="Heading1"/>
        <w:pageBreakBefore/>
      </w:pPr>
      <w:r>
        <w:rPr>
          <w:rFonts w:ascii="Arial" w:hAnsi="Arial" w:eastAsia="Arial" w:cs="Arial"/>
          <w:b/>
          <w:bCs/>
          <w:color w:val="173F5F"/>
          <w:sz w:val="30"/>
          <w:szCs w:val="30"/>
        </w:rPr>
        <w:t xml:space="preserve">13. Final Conclusions</w:t>
      </w:r>
    </w:p>
    <w:p xmlns:wp14="http://schemas.microsoft.com/office/word/2010/wordml" w14:paraId="11A0B15B" wp14:textId="77777777">
      <w:pPr>
        <w:keepLines/>
        <w:spacing w:after="130" w:line="290"/>
        <w:jc w:val="left"/>
      </w:pPr>
      <w:r>
        <w:rPr>
          <w:rFonts w:ascii="Arial" w:hAnsi="Arial" w:eastAsia="Arial" w:cs="Arial"/>
          <w:b w:val="false"/>
          <w:bCs w:val="false"/>
          <w:i w:val="false"/>
          <w:iCs w:val="false"/>
          <w:color w:val="1A1A1A"/>
          <w:sz w:val="20"/>
          <w:szCs w:val="20"/>
        </w:rPr>
        <w:t xml:space="preserve">The evidence rejects the broad claim that MSPs and TSPs are becoming universally obsolete. Demand for managed technology, security and transformation remains substantial, and well-run providers continue to grow.</w:t>
      </w:r>
    </w:p>
    <w:p xmlns:wp14="http://schemas.microsoft.com/office/word/2010/wordml" w14:paraId="3CB39273" wp14:textId="77777777">
      <w:pPr>
        <w:keepLines/>
        <w:spacing w:after="130" w:line="290"/>
        <w:jc w:val="left"/>
      </w:pPr>
      <w:r>
        <w:rPr>
          <w:rFonts w:ascii="Arial" w:hAnsi="Arial" w:eastAsia="Arial" w:cs="Arial"/>
          <w:b w:val="false"/>
          <w:bCs w:val="false"/>
          <w:i w:val="false"/>
          <w:iCs w:val="false"/>
          <w:color w:val="1A1A1A"/>
          <w:sz w:val="20"/>
          <w:szCs w:val="20"/>
        </w:rPr>
        <w:t xml:space="preserve">The evidence supports the narrower thesis that the traditional operating model is becoming obsolete. The exposed model monetizes repetitive human effort, uses tickets as proof of value, relies on product and administration opacity, and treats automation as a tool rather than a redesign of economics and commercial architecture.</w:t>
      </w:r>
    </w:p>
    <w:p xmlns:wp14="http://schemas.microsoft.com/office/word/2010/wordml" w14:paraId="05FA28F3" wp14:textId="77777777">
      <w:pPr>
        <w:keepLines/>
        <w:spacing w:after="130" w:line="290"/>
        <w:jc w:val="left"/>
      </w:pPr>
      <w:r>
        <w:rPr>
          <w:rFonts w:ascii="Arial" w:hAnsi="Arial" w:eastAsia="Arial" w:cs="Arial"/>
          <w:b w:val="false"/>
          <w:bCs w:val="false"/>
          <w:i w:val="false"/>
          <w:iCs w:val="false"/>
          <w:color w:val="1A1A1A"/>
          <w:sz w:val="20"/>
          <w:szCs w:val="20"/>
        </w:rPr>
        <w:t xml:space="preserve">By 2030, a conventional provider can still be profitable. That does not make it strategically safe. In the illustrative model, no change produces 7.7% EBITDA and a sharp valuation impairment; transformation can preserve or expand margin, but only after a cash and execution J-curve. Severe disruption is survivable only with early cost action, differentiated services and balance-sheet capacity.</w:t>
      </w:r>
    </w:p>
    <w:p xmlns:wp14="http://schemas.microsoft.com/office/word/2010/wordml" w14:paraId="11ABA53E" wp14:textId="77777777">
      <w:pPr>
        <w:keepLines/>
        <w:spacing w:after="130" w:line="290"/>
        <w:jc w:val="left"/>
      </w:pPr>
      <w:r>
        <w:rPr>
          <w:rFonts w:ascii="Arial" w:hAnsi="Arial" w:eastAsia="Arial" w:cs="Arial"/>
          <w:b w:val="false"/>
          <w:bCs w:val="false"/>
          <w:i w:val="false"/>
          <w:iCs w:val="false"/>
          <w:color w:val="1A1A1A"/>
          <w:sz w:val="20"/>
          <w:szCs w:val="20"/>
        </w:rPr>
        <w:t xml:space="preserve">Microsoft and other hyperscalers are not abolishing the partner ecosystem. They are redrawing it. They will increasingly own productized execution; customers and vendors will still need partners to own context, integration, identity, governance, assurance, adoption and high-consequence judgment. The partner's strategic choice is therefore to operate the platform on the customer's behalf, not to compete with the platform's commodity functions.</w:t>
      </w:r>
    </w:p>
    <w:p xmlns:wp14="http://schemas.microsoft.com/office/word/2010/wordml" w14:paraId="1F66DDC9" wp14:textId="77777777">
      <w:pPr>
        <w:keepLines/>
        <w:spacing w:after="130" w:line="290"/>
        <w:jc w:val="left"/>
      </w:pPr>
      <w:r>
        <w:rPr>
          <w:rFonts w:ascii="Arial" w:hAnsi="Arial" w:eastAsia="Arial" w:cs="Arial"/>
          <w:b w:val="false"/>
          <w:bCs w:val="false"/>
          <w:i w:val="false"/>
          <w:iCs w:val="false"/>
          <w:color w:val="1A1A1A"/>
          <w:sz w:val="20"/>
          <w:szCs w:val="20"/>
        </w:rPr>
        <w:t xml:space="preserve">The recommended posture is disciplined adaptation, not panic:</w:t>
      </w:r>
    </w:p>
    <w:p xmlns:wp14="http://schemas.microsoft.com/office/word/2010/wordml" w14:paraId="7BCE46F3"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keep the profitable current book while it remains worth serving;</w:t>
      </w:r>
    </w:p>
    <w:p xmlns:wp14="http://schemas.microsoft.com/office/word/2010/wordml" w14:paraId="610CD35D"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prove internal automation with quality and cash metrics;</w:t>
      </w:r>
    </w:p>
    <w:p xmlns:wp14="http://schemas.microsoft.com/office/word/2010/wordml" w14:paraId="71A41687"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build security, identity, compliance, data and agent-governance capabilities;</w:t>
      </w:r>
    </w:p>
    <w:p xmlns:wp14="http://schemas.microsoft.com/office/word/2010/wordml" w14:paraId="4437EFBD"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productize vertical workflows and intellectual property;</w:t>
      </w:r>
    </w:p>
    <w:p xmlns:wp14="http://schemas.microsoft.com/office/word/2010/wordml" w14:paraId="6712B8AA"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move pricing toward platform, risk, complexity and outcomes;</w:t>
      </w:r>
    </w:p>
    <w:p xmlns:wp14="http://schemas.microsoft.com/office/word/2010/wordml" w14:paraId="6BB3DD88" wp14:textId="77777777">
      <w:pPr>
        <w:pStyle w:val="ListParagraph"/>
        <w:numPr>
          <w:ilvl w:val="0"/>
          <w:numId w:val="2"/>
        </w:numPr>
        <w:spacing w:after="70" w:line="260"/>
      </w:pPr>
      <w:r>
        <w:rPr>
          <w:rFonts w:ascii="Arial" w:hAnsi="Arial" w:eastAsia="Arial" w:cs="Arial"/>
          <w:b w:val="false"/>
          <w:bCs w:val="false"/>
          <w:i w:val="false"/>
          <w:iCs w:val="false"/>
          <w:color w:val="1A1A1A"/>
          <w:sz w:val="19"/>
          <w:szCs w:val="19"/>
        </w:rPr>
        <w:t xml:space="preserve">preserve liquidity and use gates before scaling.</w:t>
      </w:r>
    </w:p>
    <w:p xmlns:wp14="http://schemas.microsoft.com/office/word/2010/wordml" w14:paraId="2EF65F8E" wp14:textId="77777777">
      <w:pPr>
        <w:keepLines/>
        <w:spacing w:after="130" w:line="290"/>
        <w:jc w:val="left"/>
      </w:pPr>
      <w:r>
        <w:rPr>
          <w:rFonts w:ascii="Arial" w:hAnsi="Arial" w:eastAsia="Arial" w:cs="Arial"/>
          <w:b w:val="false"/>
          <w:bCs w:val="false"/>
          <w:i w:val="false"/>
          <w:iCs w:val="false"/>
          <w:color w:val="1A1A1A"/>
          <w:sz w:val="20"/>
          <w:szCs w:val="20"/>
        </w:rPr>
        <w:t xml:space="preserve">The MSP/TSP business model is likely to remain viable through 2030 and beyond. The traditional labor-dependent version is not. The next decade will reward providers that convert automation into customer outcomes and retained cash while accepting explicit accountability for risk.</w:t>
      </w:r>
    </w:p>
    <w:p xmlns:wp14="http://schemas.microsoft.com/office/word/2010/wordml" w14:paraId="5C845C01" wp14:textId="77777777">
      <w:pPr>
        <w:pStyle w:val="Heading1"/>
        <w:pageBreakBefore/>
      </w:pPr>
      <w:r>
        <w:rPr>
          <w:rFonts w:ascii="Arial" w:hAnsi="Arial" w:eastAsia="Arial" w:cs="Arial"/>
          <w:b/>
          <w:bCs/>
          <w:color w:val="173F5F"/>
          <w:sz w:val="30"/>
          <w:szCs w:val="30"/>
        </w:rPr>
        <w:t xml:space="preserve">14. Complete Reference List</w:t>
      </w:r>
    </w:p>
    <w:p xmlns:wp14="http://schemas.microsoft.com/office/word/2010/wordml" w14:paraId="117BF100" wp14:textId="77777777">
      <w:pPr>
        <w:keepLines/>
        <w:spacing w:after="130" w:line="290"/>
        <w:jc w:val="left"/>
      </w:pPr>
      <w:r>
        <w:rPr>
          <w:rFonts w:ascii="Arial" w:hAnsi="Arial" w:eastAsia="Arial" w:cs="Arial"/>
          <w:b w:val="false"/>
          <w:bCs w:val="false"/>
          <w:i w:val="false"/>
          <w:iCs w:val="false"/>
          <w:color w:val="1A1A1A"/>
          <w:sz w:val="20"/>
          <w:szCs w:val="20"/>
        </w:rPr>
        <w:t xml:space="preserve">Accessed 30 September 2026 unless otherwise stated. Publication dates, data periods and forecast horizons are distinct.</w:t>
      </w:r>
    </w:p>
    <w:p xmlns:wp14="http://schemas.microsoft.com/office/word/2010/wordml" w14:paraId="10ED32BD" wp14:textId="77777777">
      <w:pPr>
        <w:keepLines/>
        <w:spacing w:after="80" w:line="290"/>
        <w:jc w:val="left"/>
      </w:pPr>
      <w:hyperlink w:history="1" r:id="rId3oa1ksojcba-od3xgzwq6">
        <w:r>
          <w:rPr>
            <w:rStyle w:val="Hyperlink"/>
            <w:rFonts w:ascii="Arial" w:hAnsi="Arial" w:eastAsia="Arial" w:cs="Arial"/>
            <w:b/>
            <w:bCs/>
            <w:sz w:val="16"/>
            <w:szCs w:val="16"/>
          </w:rPr>
          <w:t xml:space="preserve">[1]</w:t>
        </w:r>
      </w:hyperlink>
      <w:r>
        <w:rPr>
          <w:rFonts w:ascii="Arial" w:hAnsi="Arial" w:eastAsia="Arial" w:cs="Arial"/>
          <w:b w:val="false"/>
          <w:bCs w:val="false"/>
          <w:i w:val="false"/>
          <w:iCs w:val="false"/>
          <w:color w:val="1A1A1A"/>
          <w:sz w:val="16"/>
          <w:szCs w:val="16"/>
        </w:rPr>
        <w:t xml:space="preserve"> Service Leadership / ConnectWise. “Service Leadership Report Reveals Historic Growth for IT Solution Providers and the Operational Factors Defining This Economic Shift.” 23 June 2026. Participating-provider benchmark; detailed report is gated. </w:t>
      </w:r>
      <w:hyperlink w:history="1" r:id="rId_v3wxogwvt5ru09po1hxw">
        <w:r>
          <w:rPr>
            <w:rStyle w:val="Hyperlink"/>
            <w:rFonts w:ascii="Arial" w:hAnsi="Arial" w:eastAsia="Arial" w:cs="Arial"/>
            <w:sz w:val="16"/>
            <w:szCs w:val="16"/>
          </w:rPr>
          <w:t xml:space="preserve">https://www.connectwise.com/company/press/releases/service-leadership-report-reveals-historic-growth-for-it-solution-providers-and-the-operational-factors-defining-this-economic-shift</w:t>
        </w:r>
      </w:hyperlink>
    </w:p>
    <w:p xmlns:wp14="http://schemas.microsoft.com/office/word/2010/wordml" w14:paraId="4D382883" wp14:textId="77777777">
      <w:pPr>
        <w:keepLines/>
        <w:spacing w:after="80" w:line="290"/>
        <w:jc w:val="left"/>
      </w:pPr>
      <w:hyperlink w:history="1" r:id="rIdbxq03xvowt1oypugtm6li">
        <w:r>
          <w:rPr>
            <w:rStyle w:val="Hyperlink"/>
            <w:rFonts w:ascii="Arial" w:hAnsi="Arial" w:eastAsia="Arial" w:cs="Arial"/>
            <w:b/>
            <w:bCs/>
            <w:sz w:val="16"/>
            <w:szCs w:val="16"/>
          </w:rPr>
          <w:t xml:space="preserve">[2]</w:t>
        </w:r>
      </w:hyperlink>
      <w:r>
        <w:rPr>
          <w:rFonts w:ascii="Arial" w:hAnsi="Arial" w:eastAsia="Arial" w:cs="Arial"/>
          <w:b w:val="false"/>
          <w:bCs w:val="false"/>
          <w:i w:val="false"/>
          <w:iCs w:val="false"/>
          <w:color w:val="1A1A1A"/>
          <w:sz w:val="16"/>
          <w:szCs w:val="16"/>
        </w:rPr>
        <w:t xml:space="preserve"> Service Leadership / ConnectWise. “Service Leadership Announces Findings of its Annual IT Solution Provider Industry Profitability Report.” 8 May 2025. </w:t>
      </w:r>
      <w:hyperlink w:history="1" r:id="rIdoee-blahc8d9o0ku5svsx">
        <w:r>
          <w:rPr>
            <w:rStyle w:val="Hyperlink"/>
            <w:rFonts w:ascii="Arial" w:hAnsi="Arial" w:eastAsia="Arial" w:cs="Arial"/>
            <w:sz w:val="16"/>
            <w:szCs w:val="16"/>
          </w:rPr>
          <w:t xml:space="preserve">https://www.connectwise.com/company/press/releases/service-leadership-announces-findings-of-its-annual-it-solution-provider-industry-profitability-report</w:t>
        </w:r>
      </w:hyperlink>
    </w:p>
    <w:p xmlns:wp14="http://schemas.microsoft.com/office/word/2010/wordml" w14:paraId="02C4C948" wp14:textId="77777777">
      <w:pPr>
        <w:keepLines/>
        <w:spacing w:after="80" w:line="290"/>
        <w:jc w:val="left"/>
      </w:pPr>
      <w:hyperlink w:history="1" r:id="rIdexa0721ly6-_5--1h4-xz">
        <w:r>
          <w:rPr>
            <w:rStyle w:val="Hyperlink"/>
            <w:rFonts w:ascii="Arial" w:hAnsi="Arial" w:eastAsia="Arial" w:cs="Arial"/>
            <w:b/>
            <w:bCs/>
            <w:sz w:val="16"/>
            <w:szCs w:val="16"/>
          </w:rPr>
          <w:t xml:space="preserve">[3]</w:t>
        </w:r>
      </w:hyperlink>
      <w:r>
        <w:rPr>
          <w:rFonts w:ascii="Arial" w:hAnsi="Arial" w:eastAsia="Arial" w:cs="Arial"/>
          <w:b w:val="false"/>
          <w:bCs w:val="false"/>
          <w:i w:val="false"/>
          <w:iCs w:val="false"/>
          <w:color w:val="1A1A1A"/>
          <w:sz w:val="16"/>
          <w:szCs w:val="16"/>
        </w:rPr>
        <w:t xml:space="preserve"> Canalys / Omdia. “MSP Trends and Predictions 2025.” 2025. Public landing page; full report registration-gated. </w:t>
      </w:r>
      <w:hyperlink w:history="1" r:id="rIdftul1h7ijhpzpp6ppzm8u">
        <w:r>
          <w:rPr>
            <w:rStyle w:val="Hyperlink"/>
            <w:rFonts w:ascii="Arial" w:hAnsi="Arial" w:eastAsia="Arial" w:cs="Arial"/>
            <w:sz w:val="16"/>
            <w:szCs w:val="16"/>
          </w:rPr>
          <w:t xml:space="preserve">https://omdia.tech.informa.com/insights/2025/canalys-msp-trends-and-predictions-2025</w:t>
        </w:r>
      </w:hyperlink>
    </w:p>
    <w:p xmlns:wp14="http://schemas.microsoft.com/office/word/2010/wordml" w14:paraId="2812EA6D" wp14:textId="77777777">
      <w:pPr>
        <w:keepLines/>
        <w:spacing w:after="80" w:line="290"/>
        <w:jc w:val="left"/>
      </w:pPr>
      <w:hyperlink w:history="1" r:id="rIdrrxfdglh-y35qivjxtari">
        <w:r>
          <w:rPr>
            <w:rStyle w:val="Hyperlink"/>
            <w:rFonts w:ascii="Arial" w:hAnsi="Arial" w:eastAsia="Arial" w:cs="Arial"/>
            <w:b/>
            <w:bCs/>
            <w:sz w:val="16"/>
            <w:szCs w:val="16"/>
          </w:rPr>
          <w:t xml:space="preserve">[4]</w:t>
        </w:r>
      </w:hyperlink>
      <w:r>
        <w:rPr>
          <w:rFonts w:ascii="Arial" w:hAnsi="Arial" w:eastAsia="Arial" w:cs="Arial"/>
          <w:b w:val="false"/>
          <w:bCs w:val="false"/>
          <w:i w:val="false"/>
          <w:iCs w:val="false"/>
          <w:color w:val="1A1A1A"/>
          <w:sz w:val="16"/>
          <w:szCs w:val="16"/>
        </w:rPr>
        <w:t xml:space="preserve"> Information Services Group. “Global Tech Services Market Grows at Fastest Pace Ever in Q2, Propelled by Soaring AI Demand: ISG Index.” 9 July 2026. Scope: contracts with ACV of at least $5 million. </w:t>
      </w:r>
      <w:hyperlink w:history="1" r:id="rIdgbmxzqvlaggcsrnp0-am7">
        <w:r>
          <w:rPr>
            <w:rStyle w:val="Hyperlink"/>
            <w:rFonts w:ascii="Arial" w:hAnsi="Arial" w:eastAsia="Arial" w:cs="Arial"/>
            <w:sz w:val="16"/>
            <w:szCs w:val="16"/>
          </w:rPr>
          <w:t xml:space="preserve">https://ir.isg-one.com/news-market-information/press-releases/news-details/2026/Global-Tech-Services-Market-Grows-at-Fastest-Pace-Ever-in-Q2-Propelled-by-Soaring-AI-Demand-ISG-Index/default.aspx</w:t>
        </w:r>
      </w:hyperlink>
    </w:p>
    <w:p xmlns:wp14="http://schemas.microsoft.com/office/word/2010/wordml" w14:paraId="7988932E" wp14:textId="77777777">
      <w:pPr>
        <w:keepLines/>
        <w:spacing w:after="80" w:line="290"/>
        <w:jc w:val="left"/>
      </w:pPr>
      <w:hyperlink w:history="1" r:id="rIdi0kwaziys7s5m6_dprcch">
        <w:r>
          <w:rPr>
            <w:rStyle w:val="Hyperlink"/>
            <w:rFonts w:ascii="Arial" w:hAnsi="Arial" w:eastAsia="Arial" w:cs="Arial"/>
            <w:b/>
            <w:bCs/>
            <w:sz w:val="16"/>
            <w:szCs w:val="16"/>
          </w:rPr>
          <w:t xml:space="preserve">[5]</w:t>
        </w:r>
      </w:hyperlink>
      <w:r>
        <w:rPr>
          <w:rFonts w:ascii="Arial" w:hAnsi="Arial" w:eastAsia="Arial" w:cs="Arial"/>
          <w:b w:val="false"/>
          <w:bCs w:val="false"/>
          <w:i w:val="false"/>
          <w:iCs w:val="false"/>
          <w:color w:val="1A1A1A"/>
          <w:sz w:val="16"/>
          <w:szCs w:val="16"/>
        </w:rPr>
        <w:t xml:space="preserve"> Gartner. “Worldwide IT Spending to Grow 14.2% in 2026, Totaling $6.37 Trillion.” 27 July 2026. Forecast. </w:t>
      </w:r>
      <w:hyperlink w:history="1" r:id="rIdoh4_tyq6k4lokeedvml88">
        <w:r>
          <w:rPr>
            <w:rStyle w:val="Hyperlink"/>
            <w:rFonts w:ascii="Arial" w:hAnsi="Arial" w:eastAsia="Arial" w:cs="Arial"/>
            <w:sz w:val="16"/>
            <w:szCs w:val="16"/>
          </w:rPr>
          <w:t xml:space="preserve">https://www.gartner.com/en/newsroom/press-releases/2026-07-27-gartner-forecasts-worldwide-it-spending-to-grow-14-point-2-percent-in-2026-totaling-6-point-37-trillion</w:t>
        </w:r>
      </w:hyperlink>
    </w:p>
    <w:p xmlns:wp14="http://schemas.microsoft.com/office/word/2010/wordml" w14:paraId="07193D40" wp14:textId="77777777">
      <w:pPr>
        <w:keepLines/>
        <w:spacing w:after="80" w:line="290"/>
        <w:jc w:val="left"/>
      </w:pPr>
      <w:hyperlink w:history="1" r:id="rIdoos9_dtaftd6d2eeadz36">
        <w:r>
          <w:rPr>
            <w:rStyle w:val="Hyperlink"/>
            <w:rFonts w:ascii="Arial" w:hAnsi="Arial" w:eastAsia="Arial" w:cs="Arial"/>
            <w:b/>
            <w:bCs/>
            <w:sz w:val="16"/>
            <w:szCs w:val="16"/>
          </w:rPr>
          <w:t xml:space="preserve">[6]</w:t>
        </w:r>
      </w:hyperlink>
      <w:r>
        <w:rPr>
          <w:rFonts w:ascii="Arial" w:hAnsi="Arial" w:eastAsia="Arial" w:cs="Arial"/>
          <w:b w:val="false"/>
          <w:bCs w:val="false"/>
          <w:i w:val="false"/>
          <w:iCs w:val="false"/>
          <w:color w:val="1A1A1A"/>
          <w:sz w:val="16"/>
          <w:szCs w:val="16"/>
        </w:rPr>
        <w:t xml:space="preserve"> Gartner. “Agentic AI Will Autonomously Resolve 80% of Common Customer Service Issues Without Human Intervention by 2029.” 5 March 2025. Forecast. </w:t>
      </w:r>
      <w:hyperlink w:history="1" r:id="rIdvdnwlthdgmrc6tokx8gkk">
        <w:r>
          <w:rPr>
            <w:rStyle w:val="Hyperlink"/>
            <w:rFonts w:ascii="Arial" w:hAnsi="Arial" w:eastAsia="Arial" w:cs="Arial"/>
            <w:sz w:val="16"/>
            <w:szCs w:val="16"/>
          </w:rPr>
          <w:t xml:space="preserve">https://www.gartner.com/en/newsroom/press-releases/2025-03-05-gartner-predicts-agentic-ai-will-autonomously-resolve-80-percent-of-common-customer-service-issues-without-human-intervention-by-20290</w:t>
        </w:r>
      </w:hyperlink>
    </w:p>
    <w:p xmlns:wp14="http://schemas.microsoft.com/office/word/2010/wordml" w14:paraId="221E0C18" wp14:textId="77777777">
      <w:pPr>
        <w:keepLines/>
        <w:spacing w:after="80" w:line="290"/>
        <w:jc w:val="left"/>
      </w:pPr>
      <w:hyperlink w:history="1" r:id="rIdr1rgvyutdso-sd5pfbb3h">
        <w:r>
          <w:rPr>
            <w:rStyle w:val="Hyperlink"/>
            <w:rFonts w:ascii="Arial" w:hAnsi="Arial" w:eastAsia="Arial" w:cs="Arial"/>
            <w:b/>
            <w:bCs/>
            <w:sz w:val="16"/>
            <w:szCs w:val="16"/>
          </w:rPr>
          <w:t xml:space="preserve">[7]</w:t>
        </w:r>
      </w:hyperlink>
      <w:r>
        <w:rPr>
          <w:rFonts w:ascii="Arial" w:hAnsi="Arial" w:eastAsia="Arial" w:cs="Arial"/>
          <w:b w:val="false"/>
          <w:bCs w:val="false"/>
          <w:i w:val="false"/>
          <w:iCs w:val="false"/>
          <w:color w:val="1A1A1A"/>
          <w:sz w:val="16"/>
          <w:szCs w:val="16"/>
        </w:rPr>
        <w:t xml:space="preserve"> Gartner. “Over 40% of Agentic AI Projects Will Be Canceled by End of 2027.” 25 June 2025. Forecast. </w:t>
      </w:r>
      <w:hyperlink w:history="1" r:id="rIdjaebuf4y-n-qzvqdlrsec">
        <w:r>
          <w:rPr>
            <w:rStyle w:val="Hyperlink"/>
            <w:rFonts w:ascii="Arial" w:hAnsi="Arial" w:eastAsia="Arial" w:cs="Arial"/>
            <w:sz w:val="16"/>
            <w:szCs w:val="16"/>
          </w:rPr>
          <w:t xml:space="preserve">https://www.gartner.com/en/newsroom/press-releases/2025-06-25-gartner-predicts-over-40-percent-of-agentic-ai-projects-will-be-canceled-by-end-of-2027</w:t>
        </w:r>
      </w:hyperlink>
    </w:p>
    <w:p xmlns:wp14="http://schemas.microsoft.com/office/word/2010/wordml" w14:paraId="469E78F5" wp14:textId="77777777">
      <w:pPr>
        <w:keepLines/>
        <w:spacing w:after="80" w:line="290"/>
        <w:jc w:val="left"/>
      </w:pPr>
      <w:hyperlink w:history="1" r:id="rIdtai-6jchelrlnyrpfiswl">
        <w:r>
          <w:rPr>
            <w:rStyle w:val="Hyperlink"/>
            <w:rFonts w:ascii="Arial" w:hAnsi="Arial" w:eastAsia="Arial" w:cs="Arial"/>
            <w:b/>
            <w:bCs/>
            <w:sz w:val="16"/>
            <w:szCs w:val="16"/>
          </w:rPr>
          <w:t xml:space="preserve">[8]</w:t>
        </w:r>
      </w:hyperlink>
      <w:r>
        <w:rPr>
          <w:rFonts w:ascii="Arial" w:hAnsi="Arial" w:eastAsia="Arial" w:cs="Arial"/>
          <w:b w:val="false"/>
          <w:bCs w:val="false"/>
          <w:i w:val="false"/>
          <w:iCs w:val="false"/>
          <w:color w:val="1A1A1A"/>
          <w:sz w:val="16"/>
          <w:szCs w:val="16"/>
        </w:rPr>
        <w:t xml:space="preserve"> Brynjolfsson, Erik; Li, Danielle; Raymond, Lindsey. “Generative AI at Work.” NBER Working Paper 31161, revised November 2023; later published in the Quarterly Journal of Economics in 2025. </w:t>
      </w:r>
      <w:hyperlink w:history="1" r:id="rId1pzux0rmcbmqv0upxdcrb">
        <w:r>
          <w:rPr>
            <w:rStyle w:val="Hyperlink"/>
            <w:rFonts w:ascii="Arial" w:hAnsi="Arial" w:eastAsia="Arial" w:cs="Arial"/>
            <w:sz w:val="16"/>
            <w:szCs w:val="16"/>
          </w:rPr>
          <w:t xml:space="preserve">https://www.nber.org/papers/w31161</w:t>
        </w:r>
      </w:hyperlink>
    </w:p>
    <w:p xmlns:wp14="http://schemas.microsoft.com/office/word/2010/wordml" w14:paraId="12F5F286" wp14:textId="77777777">
      <w:pPr>
        <w:keepLines/>
        <w:spacing w:after="80" w:line="290"/>
        <w:jc w:val="left"/>
      </w:pPr>
      <w:hyperlink w:history="1" r:id="rIdgdw_u8ugzjtu4ljj-6zuc">
        <w:r>
          <w:rPr>
            <w:rStyle w:val="Hyperlink"/>
            <w:rFonts w:ascii="Arial" w:hAnsi="Arial" w:eastAsia="Arial" w:cs="Arial"/>
            <w:b/>
            <w:bCs/>
            <w:sz w:val="16"/>
            <w:szCs w:val="16"/>
          </w:rPr>
          <w:t xml:space="preserve">[9]</w:t>
        </w:r>
      </w:hyperlink>
      <w:r>
        <w:rPr>
          <w:rFonts w:ascii="Arial" w:hAnsi="Arial" w:eastAsia="Arial" w:cs="Arial"/>
          <w:b w:val="false"/>
          <w:bCs w:val="false"/>
          <w:i w:val="false"/>
          <w:iCs w:val="false"/>
          <w:color w:val="1A1A1A"/>
          <w:sz w:val="16"/>
          <w:szCs w:val="16"/>
        </w:rPr>
        <w:t xml:space="preserve"> US Bureau of Labor Statistics. “Computer Support Specialists.” Occupational Outlook Handbook, updated 27 August 2026; projection 2025–2035. </w:t>
      </w:r>
      <w:hyperlink w:history="1" r:id="rIdtvsknaurgxrwmdf2gub7o">
        <w:r>
          <w:rPr>
            <w:rStyle w:val="Hyperlink"/>
            <w:rFonts w:ascii="Arial" w:hAnsi="Arial" w:eastAsia="Arial" w:cs="Arial"/>
            <w:sz w:val="16"/>
            <w:szCs w:val="16"/>
          </w:rPr>
          <w:t xml:space="preserve">https://www.bls.gov/ooh/computer-and-information-technology/computer-support-specialists.htm</w:t>
        </w:r>
      </w:hyperlink>
    </w:p>
    <w:p xmlns:wp14="http://schemas.microsoft.com/office/word/2010/wordml" w14:paraId="1C21EB41" wp14:textId="77777777">
      <w:pPr>
        <w:keepLines/>
        <w:spacing w:after="80" w:line="290"/>
        <w:jc w:val="left"/>
      </w:pPr>
      <w:hyperlink w:history="1" r:id="rIdczl9zqkwwe_zyhnc-zmdd">
        <w:r>
          <w:rPr>
            <w:rStyle w:val="Hyperlink"/>
            <w:rFonts w:ascii="Arial" w:hAnsi="Arial" w:eastAsia="Arial" w:cs="Arial"/>
            <w:b/>
            <w:bCs/>
            <w:sz w:val="16"/>
            <w:szCs w:val="16"/>
          </w:rPr>
          <w:t xml:space="preserve">[10]</w:t>
        </w:r>
      </w:hyperlink>
      <w:r>
        <w:rPr>
          <w:rFonts w:ascii="Arial" w:hAnsi="Arial" w:eastAsia="Arial" w:cs="Arial"/>
          <w:b w:val="false"/>
          <w:bCs w:val="false"/>
          <w:i w:val="false"/>
          <w:iCs w:val="false"/>
          <w:color w:val="1A1A1A"/>
          <w:sz w:val="16"/>
          <w:szCs w:val="16"/>
        </w:rPr>
        <w:t xml:space="preserve"> US Bureau of Labor Statistics. “Information Security Analysts.” Occupational Outlook Handbook, updated 27 August 2026; projection 2025–2035. </w:t>
      </w:r>
      <w:hyperlink w:history="1" r:id="rIdpvibjbkhqmmy5eqpojbsb">
        <w:r>
          <w:rPr>
            <w:rStyle w:val="Hyperlink"/>
            <w:rFonts w:ascii="Arial" w:hAnsi="Arial" w:eastAsia="Arial" w:cs="Arial"/>
            <w:sz w:val="16"/>
            <w:szCs w:val="16"/>
          </w:rPr>
          <w:t xml:space="preserve">https://www.bls.gov/ooh/computer-and-information-technology/information-security-analysts.htm</w:t>
        </w:r>
      </w:hyperlink>
    </w:p>
    <w:p xmlns:wp14="http://schemas.microsoft.com/office/word/2010/wordml" w14:paraId="5F3AEDBC" wp14:textId="77777777">
      <w:pPr>
        <w:keepLines/>
        <w:spacing w:after="80" w:line="290"/>
        <w:jc w:val="left"/>
      </w:pPr>
      <w:hyperlink w:history="1" r:id="rIdrkrael_xdn6ovhrkjev2k">
        <w:r>
          <w:rPr>
            <w:rStyle w:val="Hyperlink"/>
            <w:rFonts w:ascii="Arial" w:hAnsi="Arial" w:eastAsia="Arial" w:cs="Arial"/>
            <w:b/>
            <w:bCs/>
            <w:sz w:val="16"/>
            <w:szCs w:val="16"/>
          </w:rPr>
          <w:t xml:space="preserve">[11]</w:t>
        </w:r>
      </w:hyperlink>
      <w:r>
        <w:rPr>
          <w:rFonts w:ascii="Arial" w:hAnsi="Arial" w:eastAsia="Arial" w:cs="Arial"/>
          <w:b w:val="false"/>
          <w:bCs w:val="false"/>
          <w:i w:val="false"/>
          <w:iCs w:val="false"/>
          <w:color w:val="1A1A1A"/>
          <w:sz w:val="16"/>
          <w:szCs w:val="16"/>
        </w:rPr>
        <w:t xml:space="preserve"> World Economic Forum. “The Future of Jobs Report 2025.” 7 January 2025. </w:t>
      </w:r>
      <w:hyperlink w:history="1" r:id="rIdfahc7kwyx6njkauwr3sjk">
        <w:r>
          <w:rPr>
            <w:rStyle w:val="Hyperlink"/>
            <w:rFonts w:ascii="Arial" w:hAnsi="Arial" w:eastAsia="Arial" w:cs="Arial"/>
            <w:sz w:val="16"/>
            <w:szCs w:val="16"/>
          </w:rPr>
          <w:t xml:space="preserve">https://www.weforum.org/publications/the-future-of-jobs-report-2025/digest/</w:t>
        </w:r>
      </w:hyperlink>
    </w:p>
    <w:p xmlns:wp14="http://schemas.microsoft.com/office/word/2010/wordml" w14:paraId="1FFCDB8D" wp14:textId="77777777">
      <w:pPr>
        <w:keepLines/>
        <w:spacing w:after="80" w:line="290"/>
        <w:jc w:val="left"/>
      </w:pPr>
      <w:hyperlink w:history="1" r:id="rIdwmlakkn3wiifceuafrepx">
        <w:r>
          <w:rPr>
            <w:rStyle w:val="Hyperlink"/>
            <w:rFonts w:ascii="Arial" w:hAnsi="Arial" w:eastAsia="Arial" w:cs="Arial"/>
            <w:b/>
            <w:bCs/>
            <w:sz w:val="16"/>
            <w:szCs w:val="16"/>
          </w:rPr>
          <w:t xml:space="preserve">[12]</w:t>
        </w:r>
      </w:hyperlink>
      <w:r>
        <w:rPr>
          <w:rFonts w:ascii="Arial" w:hAnsi="Arial" w:eastAsia="Arial" w:cs="Arial"/>
          <w:b w:val="false"/>
          <w:bCs w:val="false"/>
          <w:i w:val="false"/>
          <w:iCs w:val="false"/>
          <w:color w:val="1A1A1A"/>
          <w:sz w:val="16"/>
          <w:szCs w:val="16"/>
        </w:rPr>
        <w:t xml:space="preserve"> OECD. “Generative AI and the SME Workforce: New Survey Evidence.” 2025. Representative 2024 survey of more than 5,000 SMEs in seven countries. </w:t>
      </w:r>
      <w:hyperlink w:history="1" r:id="rIdodixrxybibzrojhlihth4">
        <w:r>
          <w:rPr>
            <w:rStyle w:val="Hyperlink"/>
            <w:rFonts w:ascii="Arial" w:hAnsi="Arial" w:eastAsia="Arial" w:cs="Arial"/>
            <w:sz w:val="16"/>
            <w:szCs w:val="16"/>
          </w:rPr>
          <w:t xml:space="preserve">https://www.oecd.org/en/publications/generative-ai-and-the-sme-workforce_2d08b99d-en/full-report.html</w:t>
        </w:r>
      </w:hyperlink>
    </w:p>
    <w:p xmlns:wp14="http://schemas.microsoft.com/office/word/2010/wordml" w14:paraId="2AB2D4DE" wp14:textId="77777777">
      <w:pPr>
        <w:keepLines/>
        <w:spacing w:after="80" w:line="290"/>
        <w:jc w:val="left"/>
      </w:pPr>
      <w:hyperlink w:history="1" r:id="rIdyyfeowm_i2r41upkavs_y">
        <w:r>
          <w:rPr>
            <w:rStyle w:val="Hyperlink"/>
            <w:rFonts w:ascii="Arial" w:hAnsi="Arial" w:eastAsia="Arial" w:cs="Arial"/>
            <w:b/>
            <w:bCs/>
            <w:sz w:val="16"/>
            <w:szCs w:val="16"/>
          </w:rPr>
          <w:t xml:space="preserve">[13]</w:t>
        </w:r>
      </w:hyperlink>
      <w:r>
        <w:rPr>
          <w:rFonts w:ascii="Arial" w:hAnsi="Arial" w:eastAsia="Arial" w:cs="Arial"/>
          <w:b w:val="false"/>
          <w:bCs w:val="false"/>
          <w:i w:val="false"/>
          <w:iCs w:val="false"/>
          <w:color w:val="1A1A1A"/>
          <w:sz w:val="16"/>
          <w:szCs w:val="16"/>
        </w:rPr>
        <w:t xml:space="preserve"> McKinsey &amp; Company. “The State of AI in 2026: On the Road to ROI.” 25 August 2026. Global survey; self-reported outcomes. </w:t>
      </w:r>
      <w:hyperlink w:history="1" r:id="rIdamd4uz5mss2qm0vx-xkxo">
        <w:r>
          <w:rPr>
            <w:rStyle w:val="Hyperlink"/>
            <w:rFonts w:ascii="Arial" w:hAnsi="Arial" w:eastAsia="Arial" w:cs="Arial"/>
            <w:sz w:val="16"/>
            <w:szCs w:val="16"/>
          </w:rPr>
          <w:t xml:space="preserve">https://www.mckinsey.com/capabilities/quantumblack/our-insights/the-state-of-ai</w:t>
        </w:r>
      </w:hyperlink>
    </w:p>
    <w:p xmlns:wp14="http://schemas.microsoft.com/office/word/2010/wordml" w14:paraId="0CEAECB6" wp14:textId="77777777">
      <w:pPr>
        <w:keepLines/>
        <w:spacing w:after="80" w:line="290"/>
        <w:jc w:val="left"/>
      </w:pPr>
      <w:hyperlink w:history="1" r:id="rIdpbxh7i6vkimmiz3rl6qdj">
        <w:r>
          <w:rPr>
            <w:rStyle w:val="Hyperlink"/>
            <w:rFonts w:ascii="Arial" w:hAnsi="Arial" w:eastAsia="Arial" w:cs="Arial"/>
            <w:b/>
            <w:bCs/>
            <w:sz w:val="16"/>
            <w:szCs w:val="16"/>
          </w:rPr>
          <w:t xml:space="preserve">[14]</w:t>
        </w:r>
      </w:hyperlink>
      <w:r>
        <w:rPr>
          <w:rFonts w:ascii="Arial" w:hAnsi="Arial" w:eastAsia="Arial" w:cs="Arial"/>
          <w:b w:val="false"/>
          <w:bCs w:val="false"/>
          <w:i w:val="false"/>
          <w:iCs w:val="false"/>
          <w:color w:val="1A1A1A"/>
          <w:sz w:val="16"/>
          <w:szCs w:val="16"/>
        </w:rPr>
        <w:t xml:space="preserve"> Deloitte. “Agentic AI Is Scaling Faster Than Guardrails.” 24 April 2026. Uses Deloitte's 2025 fieldwork for the 2026 State of AI report. </w:t>
      </w:r>
      <w:hyperlink w:history="1" r:id="rId1vftfywmeajgpd0ty8xfp">
        <w:r>
          <w:rPr>
            <w:rStyle w:val="Hyperlink"/>
            <w:rFonts w:ascii="Arial" w:hAnsi="Arial" w:eastAsia="Arial" w:cs="Arial"/>
            <w:sz w:val="16"/>
            <w:szCs w:val="16"/>
          </w:rPr>
          <w:t xml:space="preserve">https://www.deloitte.com/us/en/insights/topics/emerging-technologies/ai-agents-scaling-faster.html</w:t>
        </w:r>
      </w:hyperlink>
    </w:p>
    <w:p xmlns:wp14="http://schemas.microsoft.com/office/word/2010/wordml" w14:paraId="0BF1F1EB" wp14:textId="77777777">
      <w:pPr>
        <w:keepLines/>
        <w:spacing w:after="80" w:line="290"/>
        <w:jc w:val="left"/>
      </w:pPr>
      <w:hyperlink w:history="1" r:id="rIdnl7pl11bufjbnxmeusvf0">
        <w:r>
          <w:rPr>
            <w:rStyle w:val="Hyperlink"/>
            <w:rFonts w:ascii="Arial" w:hAnsi="Arial" w:eastAsia="Arial" w:cs="Arial"/>
            <w:b/>
            <w:bCs/>
            <w:sz w:val="16"/>
            <w:szCs w:val="16"/>
          </w:rPr>
          <w:t xml:space="preserve">[15]</w:t>
        </w:r>
      </w:hyperlink>
      <w:r>
        <w:rPr>
          <w:rFonts w:ascii="Arial" w:hAnsi="Arial" w:eastAsia="Arial" w:cs="Arial"/>
          <w:b w:val="false"/>
          <w:bCs w:val="false"/>
          <w:i w:val="false"/>
          <w:iCs w:val="false"/>
          <w:color w:val="1A1A1A"/>
          <w:sz w:val="16"/>
          <w:szCs w:val="16"/>
        </w:rPr>
        <w:t xml:space="preserve"> Bain &amp; Company. “Tech Services: Cracking the Code on AI-led Growth.” 29 September 2026. Buyer expectations and analytical potential, not audited MSP savings. </w:t>
      </w:r>
      <w:hyperlink w:history="1" r:id="rIdhnpqikqcrpztyz2plr1yq">
        <w:r>
          <w:rPr>
            <w:rStyle w:val="Hyperlink"/>
            <w:rFonts w:ascii="Arial" w:hAnsi="Arial" w:eastAsia="Arial" w:cs="Arial"/>
            <w:sz w:val="16"/>
            <w:szCs w:val="16"/>
          </w:rPr>
          <w:t xml:space="preserve">https://www.bain.com/insights/tech-services-cracking-the-code-on-ai-led-growth-technology-report-2026/</w:t>
        </w:r>
      </w:hyperlink>
    </w:p>
    <w:p xmlns:wp14="http://schemas.microsoft.com/office/word/2010/wordml" w14:paraId="426D8260" wp14:textId="77777777">
      <w:pPr>
        <w:keepLines/>
        <w:spacing w:after="80" w:line="290"/>
        <w:jc w:val="left"/>
      </w:pPr>
      <w:hyperlink w:history="1" r:id="rIdiehxbzc0g5_1ykqdmfvnh">
        <w:r>
          <w:rPr>
            <w:rStyle w:val="Hyperlink"/>
            <w:rFonts w:ascii="Arial" w:hAnsi="Arial" w:eastAsia="Arial" w:cs="Arial"/>
            <w:b/>
            <w:bCs/>
            <w:sz w:val="16"/>
            <w:szCs w:val="16"/>
          </w:rPr>
          <w:t xml:space="preserve">[16]</w:t>
        </w:r>
      </w:hyperlink>
      <w:r>
        <w:rPr>
          <w:rFonts w:ascii="Arial" w:hAnsi="Arial" w:eastAsia="Arial" w:cs="Arial"/>
          <w:b w:val="false"/>
          <w:bCs w:val="false"/>
          <w:i w:val="false"/>
          <w:iCs w:val="false"/>
          <w:color w:val="1A1A1A"/>
          <w:sz w:val="16"/>
          <w:szCs w:val="16"/>
        </w:rPr>
        <w:t xml:space="preserve"> Microsoft. Annual Report 2025. Fiscal year ended 30 June 2025. </w:t>
      </w:r>
      <w:hyperlink w:history="1" r:id="rIdpyddwf8xae1dh_-v85msv">
        <w:r>
          <w:rPr>
            <w:rStyle w:val="Hyperlink"/>
            <w:rFonts w:ascii="Arial" w:hAnsi="Arial" w:eastAsia="Arial" w:cs="Arial"/>
            <w:sz w:val="16"/>
            <w:szCs w:val="16"/>
          </w:rPr>
          <w:t xml:space="preserve">https://www.microsoft.com/investor/reports/ar25/index.html</w:t>
        </w:r>
      </w:hyperlink>
    </w:p>
    <w:p xmlns:wp14="http://schemas.microsoft.com/office/word/2010/wordml" w14:paraId="058C413B" wp14:textId="77777777">
      <w:pPr>
        <w:keepLines/>
        <w:spacing w:after="80" w:line="290"/>
        <w:jc w:val="left"/>
      </w:pPr>
      <w:hyperlink w:history="1" r:id="rIdx8jm8ne9jmncuejuri5wv">
        <w:r>
          <w:rPr>
            <w:rStyle w:val="Hyperlink"/>
            <w:rFonts w:ascii="Arial" w:hAnsi="Arial" w:eastAsia="Arial" w:cs="Arial"/>
            <w:b/>
            <w:bCs/>
            <w:sz w:val="16"/>
            <w:szCs w:val="16"/>
          </w:rPr>
          <w:t xml:space="preserve">[17]</w:t>
        </w:r>
      </w:hyperlink>
      <w:r>
        <w:rPr>
          <w:rFonts w:ascii="Arial" w:hAnsi="Arial" w:eastAsia="Arial" w:cs="Arial"/>
          <w:b w:val="false"/>
          <w:bCs w:val="false"/>
          <w:i w:val="false"/>
          <w:iCs w:val="false"/>
          <w:color w:val="1A1A1A"/>
          <w:sz w:val="16"/>
          <w:szCs w:val="16"/>
        </w:rPr>
        <w:t xml:space="preserve"> Microsoft. “Microsoft Cloud and AI Strength Fuels Fourth Quarter Results.” FY2026 Q4, 29 July 2026. Earnings release; statements marked unaudited. </w:t>
      </w:r>
      <w:hyperlink w:history="1" r:id="rIdmouri4mvt5cexcphtbtff">
        <w:r>
          <w:rPr>
            <w:rStyle w:val="Hyperlink"/>
            <w:rFonts w:ascii="Arial" w:hAnsi="Arial" w:eastAsia="Arial" w:cs="Arial"/>
            <w:sz w:val="16"/>
            <w:szCs w:val="16"/>
          </w:rPr>
          <w:t xml:space="preserve">https://www.microsoft.com/en-us/Investor/earnings/FY-2026-Q4/press-release-webcast</w:t>
        </w:r>
      </w:hyperlink>
    </w:p>
    <w:p xmlns:wp14="http://schemas.microsoft.com/office/word/2010/wordml" w14:paraId="52116990" wp14:textId="77777777">
      <w:pPr>
        <w:keepLines/>
        <w:spacing w:after="80" w:line="290"/>
        <w:jc w:val="left"/>
      </w:pPr>
      <w:hyperlink w:history="1" r:id="rIdi-bzqd_sctyqz7itidjh3">
        <w:r>
          <w:rPr>
            <w:rStyle w:val="Hyperlink"/>
            <w:rFonts w:ascii="Arial" w:hAnsi="Arial" w:eastAsia="Arial" w:cs="Arial"/>
            <w:b/>
            <w:bCs/>
            <w:sz w:val="16"/>
            <w:szCs w:val="16"/>
          </w:rPr>
          <w:t xml:space="preserve">[18]</w:t>
        </w:r>
      </w:hyperlink>
      <w:r>
        <w:rPr>
          <w:rFonts w:ascii="Arial" w:hAnsi="Arial" w:eastAsia="Arial" w:cs="Arial"/>
          <w:b w:val="false"/>
          <w:bCs w:val="false"/>
          <w:i w:val="false"/>
          <w:iCs w:val="false"/>
          <w:color w:val="1A1A1A"/>
          <w:sz w:val="16"/>
          <w:szCs w:val="16"/>
        </w:rPr>
        <w:t xml:space="preserve"> Microsoft. Fiscal Year 2026 Fourth Quarter Earnings Conference Call. 29 July 2026. </w:t>
      </w:r>
      <w:hyperlink w:history="1" r:id="rIdl5_dhlnexgrsom2ab993r">
        <w:r>
          <w:rPr>
            <w:rStyle w:val="Hyperlink"/>
            <w:rFonts w:ascii="Arial" w:hAnsi="Arial" w:eastAsia="Arial" w:cs="Arial"/>
            <w:sz w:val="16"/>
            <w:szCs w:val="16"/>
          </w:rPr>
          <w:t xml:space="preserve">https://www.microsoft.com/en-us/investor/events/fy-2026/earnings-fy-2026-q4</w:t>
        </w:r>
      </w:hyperlink>
    </w:p>
    <w:p xmlns:wp14="http://schemas.microsoft.com/office/word/2010/wordml" w14:paraId="11993A7E" wp14:textId="77777777">
      <w:pPr>
        <w:keepLines/>
        <w:spacing w:after="80" w:line="290"/>
        <w:jc w:val="left"/>
      </w:pPr>
      <w:hyperlink w:history="1" r:id="rId8pse3idovysvh0tzm0wmj">
        <w:r>
          <w:rPr>
            <w:rStyle w:val="Hyperlink"/>
            <w:rFonts w:ascii="Arial" w:hAnsi="Arial" w:eastAsia="Arial" w:cs="Arial"/>
            <w:b/>
            <w:bCs/>
            <w:sz w:val="16"/>
            <w:szCs w:val="16"/>
          </w:rPr>
          <w:t xml:space="preserve">[19]</w:t>
        </w:r>
      </w:hyperlink>
      <w:r>
        <w:rPr>
          <w:rFonts w:ascii="Arial" w:hAnsi="Arial" w:eastAsia="Arial" w:cs="Arial"/>
          <w:b w:val="false"/>
          <w:bCs w:val="false"/>
          <w:i w:val="false"/>
          <w:iCs w:val="false"/>
          <w:color w:val="1A1A1A"/>
          <w:sz w:val="16"/>
          <w:szCs w:val="16"/>
        </w:rPr>
        <w:t xml:space="preserve"> Microsoft. “Ignite 2025: Copilot and Agents Built to Power the Frontier Firm.” 18 November 2025. </w:t>
      </w:r>
      <w:hyperlink w:history="1" r:id="rIdx76z-jguiyctrn4oyzbur">
        <w:r>
          <w:rPr>
            <w:rStyle w:val="Hyperlink"/>
            <w:rFonts w:ascii="Arial" w:hAnsi="Arial" w:eastAsia="Arial" w:cs="Arial"/>
            <w:sz w:val="16"/>
            <w:szCs w:val="16"/>
          </w:rPr>
          <w:t xml:space="preserve">https://www.microsoft.com/en-us/copilot/blog/2025/11/18/microsoft-ignite-2025-copilot-and-agents-built-to-power-the-frontier-firm/</w:t>
        </w:r>
      </w:hyperlink>
    </w:p>
    <w:p xmlns:wp14="http://schemas.microsoft.com/office/word/2010/wordml" w14:paraId="7A78A766" wp14:textId="77777777">
      <w:pPr>
        <w:keepLines/>
        <w:spacing w:after="80" w:line="290"/>
        <w:jc w:val="left"/>
      </w:pPr>
      <w:hyperlink w:history="1" r:id="rId7_xtvf-5vpnijp9e6ritj">
        <w:r>
          <w:rPr>
            <w:rStyle w:val="Hyperlink"/>
            <w:rFonts w:ascii="Arial" w:hAnsi="Arial" w:eastAsia="Arial" w:cs="Arial"/>
            <w:b/>
            <w:bCs/>
            <w:sz w:val="16"/>
            <w:szCs w:val="16"/>
          </w:rPr>
          <w:t xml:space="preserve">[20]</w:t>
        </w:r>
      </w:hyperlink>
      <w:r>
        <w:rPr>
          <w:rFonts w:ascii="Arial" w:hAnsi="Arial" w:eastAsia="Arial" w:cs="Arial"/>
          <w:b w:val="false"/>
          <w:bCs w:val="false"/>
          <w:i w:val="false"/>
          <w:iCs w:val="false"/>
          <w:color w:val="1A1A1A"/>
          <w:sz w:val="16"/>
          <w:szCs w:val="16"/>
        </w:rPr>
        <w:t xml:space="preserve"> Microsoft Learn. “Build Agents with Copilot Studio and Agent 365.” Updated 1 May 2026. </w:t>
      </w:r>
      <w:hyperlink w:history="1" r:id="rIdbrxhsenomxpegzqvotkqh">
        <w:r>
          <w:rPr>
            <w:rStyle w:val="Hyperlink"/>
            <w:rFonts w:ascii="Arial" w:hAnsi="Arial" w:eastAsia="Arial" w:cs="Arial"/>
            <w:sz w:val="16"/>
            <w:szCs w:val="16"/>
          </w:rPr>
          <w:t xml:space="preserve">https://learn.microsoft.com/en-us/microsoft-agent-365/builder/overview</w:t>
        </w:r>
      </w:hyperlink>
    </w:p>
    <w:p xmlns:wp14="http://schemas.microsoft.com/office/word/2010/wordml" w14:paraId="44D54D43" wp14:textId="77777777">
      <w:pPr>
        <w:keepLines/>
        <w:spacing w:after="80" w:line="290"/>
        <w:jc w:val="left"/>
      </w:pPr>
      <w:hyperlink w:history="1" r:id="rIdbjrjgq2iloqculolquf2y">
        <w:r>
          <w:rPr>
            <w:rStyle w:val="Hyperlink"/>
            <w:rFonts w:ascii="Arial" w:hAnsi="Arial" w:eastAsia="Arial" w:cs="Arial"/>
            <w:b/>
            <w:bCs/>
            <w:sz w:val="16"/>
            <w:szCs w:val="16"/>
          </w:rPr>
          <w:t xml:space="preserve">[21]</w:t>
        </w:r>
      </w:hyperlink>
      <w:r>
        <w:rPr>
          <w:rFonts w:ascii="Arial" w:hAnsi="Arial" w:eastAsia="Arial" w:cs="Arial"/>
          <w:b w:val="false"/>
          <w:bCs w:val="false"/>
          <w:i w:val="false"/>
          <w:iCs w:val="false"/>
          <w:color w:val="1A1A1A"/>
          <w:sz w:val="16"/>
          <w:szCs w:val="16"/>
        </w:rPr>
        <w:t xml:space="preserve"> Microsoft Learn. “Design Autonomous Agent Capabilities.” Copilot Studio guidance. </w:t>
      </w:r>
      <w:hyperlink w:history="1" r:id="rIdwcx4l6mavri3s6fikqy3z">
        <w:r>
          <w:rPr>
            <w:rStyle w:val="Hyperlink"/>
            <w:rFonts w:ascii="Arial" w:hAnsi="Arial" w:eastAsia="Arial" w:cs="Arial"/>
            <w:sz w:val="16"/>
            <w:szCs w:val="16"/>
          </w:rPr>
          <w:t xml:space="preserve">https://learn.microsoft.com/en-us/microsoft-copilot-studio/guidance/autonomous-agents</w:t>
        </w:r>
      </w:hyperlink>
    </w:p>
    <w:p xmlns:wp14="http://schemas.microsoft.com/office/word/2010/wordml" w14:paraId="7F9C18ED" wp14:textId="77777777">
      <w:pPr>
        <w:keepLines/>
        <w:spacing w:after="80" w:line="290"/>
        <w:jc w:val="left"/>
      </w:pPr>
      <w:hyperlink w:history="1" r:id="rIdop1v-jquvj5uj88jdpb7d">
        <w:r>
          <w:rPr>
            <w:rStyle w:val="Hyperlink"/>
            <w:rFonts w:ascii="Arial" w:hAnsi="Arial" w:eastAsia="Arial" w:cs="Arial"/>
            <w:b/>
            <w:bCs/>
            <w:sz w:val="16"/>
            <w:szCs w:val="16"/>
          </w:rPr>
          <w:t xml:space="preserve">[22]</w:t>
        </w:r>
      </w:hyperlink>
      <w:r>
        <w:rPr>
          <w:rFonts w:ascii="Arial" w:hAnsi="Arial" w:eastAsia="Arial" w:cs="Arial"/>
          <w:b w:val="false"/>
          <w:bCs w:val="false"/>
          <w:i w:val="false"/>
          <w:iCs w:val="false"/>
          <w:color w:val="1A1A1A"/>
          <w:sz w:val="16"/>
          <w:szCs w:val="16"/>
        </w:rPr>
        <w:t xml:space="preserve"> Microsoft Security Blog. “Ambient and Autonomous Security for the Agentic Era.” 18 November 2025. </w:t>
      </w:r>
      <w:hyperlink w:history="1" r:id="rId5gq5xphevjiaylh5gvphh">
        <w:r>
          <w:rPr>
            <w:rStyle w:val="Hyperlink"/>
            <w:rFonts w:ascii="Arial" w:hAnsi="Arial" w:eastAsia="Arial" w:cs="Arial"/>
            <w:sz w:val="16"/>
            <w:szCs w:val="16"/>
          </w:rPr>
          <w:t xml:space="preserve">https://www.microsoft.com/en-us/security/blog/2025/11/18/ambient-and-autonomous-security-for-the-agentic-era/</w:t>
        </w:r>
      </w:hyperlink>
    </w:p>
    <w:p xmlns:wp14="http://schemas.microsoft.com/office/word/2010/wordml" w14:paraId="60686DEC" wp14:textId="77777777">
      <w:pPr>
        <w:keepLines/>
        <w:spacing w:after="80" w:line="290"/>
        <w:jc w:val="left"/>
      </w:pPr>
      <w:hyperlink w:history="1" r:id="rIdo2xgnwnp4cksyqrgez9hd">
        <w:r>
          <w:rPr>
            <w:rStyle w:val="Hyperlink"/>
            <w:rFonts w:ascii="Arial" w:hAnsi="Arial" w:eastAsia="Arial" w:cs="Arial"/>
            <w:b/>
            <w:bCs/>
            <w:sz w:val="16"/>
            <w:szCs w:val="16"/>
          </w:rPr>
          <w:t xml:space="preserve">[23]</w:t>
        </w:r>
      </w:hyperlink>
      <w:r>
        <w:rPr>
          <w:rFonts w:ascii="Arial" w:hAnsi="Arial" w:eastAsia="Arial" w:cs="Arial"/>
          <w:b w:val="false"/>
          <w:bCs w:val="false"/>
          <w:i w:val="false"/>
          <w:iCs w:val="false"/>
          <w:color w:val="1A1A1A"/>
          <w:sz w:val="16"/>
          <w:szCs w:val="16"/>
        </w:rPr>
        <w:t xml:space="preserve"> Microsoft Partner Blog. “What's New for Microsoft Partners: July 2026 Edition.” 2 July 2026. </w:t>
      </w:r>
      <w:hyperlink w:history="1" r:id="rIdvojkwum2s4zlztplqnu2a">
        <w:r>
          <w:rPr>
            <w:rStyle w:val="Hyperlink"/>
            <w:rFonts w:ascii="Arial" w:hAnsi="Arial" w:eastAsia="Arial" w:cs="Arial"/>
            <w:sz w:val="16"/>
            <w:szCs w:val="16"/>
          </w:rPr>
          <w:t xml:space="preserve">https://partner.microsoft.com/en-us/blog/article/whats-new-for-partners-2026-issue-3</w:t>
        </w:r>
      </w:hyperlink>
    </w:p>
    <w:p xmlns:wp14="http://schemas.microsoft.com/office/word/2010/wordml" w14:paraId="5DF117A6" wp14:textId="77777777">
      <w:pPr>
        <w:keepLines/>
        <w:spacing w:after="80" w:line="290"/>
        <w:jc w:val="left"/>
      </w:pPr>
      <w:hyperlink w:history="1" r:id="rIdt7nneqp7jcibddlm4x0dn">
        <w:r>
          <w:rPr>
            <w:rStyle w:val="Hyperlink"/>
            <w:rFonts w:ascii="Arial" w:hAnsi="Arial" w:eastAsia="Arial" w:cs="Arial"/>
            <w:b/>
            <w:bCs/>
            <w:sz w:val="16"/>
            <w:szCs w:val="16"/>
          </w:rPr>
          <w:t xml:space="preserve">[24]</w:t>
        </w:r>
      </w:hyperlink>
      <w:r>
        <w:rPr>
          <w:rFonts w:ascii="Arial" w:hAnsi="Arial" w:eastAsia="Arial" w:cs="Arial"/>
          <w:b w:val="false"/>
          <w:bCs w:val="false"/>
          <w:i w:val="false"/>
          <w:iCs w:val="false"/>
          <w:color w:val="1A1A1A"/>
          <w:sz w:val="16"/>
          <w:szCs w:val="16"/>
        </w:rPr>
        <w:t xml:space="preserve"> Microsoft Partner Blog. “Leading Frontier Firm Transformation with Microsoft 365 E7: The Partner Opportunity.” 2026. </w:t>
      </w:r>
      <w:hyperlink w:history="1" r:id="rIdknvc4gwvsngir31vw5eqy">
        <w:r>
          <w:rPr>
            <w:rStyle w:val="Hyperlink"/>
            <w:rFonts w:ascii="Arial" w:hAnsi="Arial" w:eastAsia="Arial" w:cs="Arial"/>
            <w:sz w:val="16"/>
            <w:szCs w:val="16"/>
          </w:rPr>
          <w:t xml:space="preserve">https://partner.microsoft.com/en-us/blog/article/agent-365-announcement</w:t>
        </w:r>
      </w:hyperlink>
    </w:p>
    <w:p xmlns:wp14="http://schemas.microsoft.com/office/word/2010/wordml" w14:paraId="44F81A0D" wp14:textId="77777777">
      <w:pPr>
        <w:keepLines/>
        <w:spacing w:after="80" w:line="290"/>
        <w:jc w:val="left"/>
      </w:pPr>
      <w:hyperlink w:history="1" r:id="rIdhhzjunxd7zeklzqs1tich">
        <w:r>
          <w:rPr>
            <w:rStyle w:val="Hyperlink"/>
            <w:rFonts w:ascii="Arial" w:hAnsi="Arial" w:eastAsia="Arial" w:cs="Arial"/>
            <w:b/>
            <w:bCs/>
            <w:sz w:val="16"/>
            <w:szCs w:val="16"/>
          </w:rPr>
          <w:t xml:space="preserve">[25]</w:t>
        </w:r>
      </w:hyperlink>
      <w:r>
        <w:rPr>
          <w:rFonts w:ascii="Arial" w:hAnsi="Arial" w:eastAsia="Arial" w:cs="Arial"/>
          <w:b w:val="false"/>
          <w:bCs w:val="false"/>
          <w:i w:val="false"/>
          <w:iCs w:val="false"/>
          <w:color w:val="1A1A1A"/>
          <w:sz w:val="16"/>
          <w:szCs w:val="16"/>
        </w:rPr>
        <w:t xml:space="preserve"> Amazon Web Services. “AWS DevOps Agent Is Now Generally Available.” 31 March 2026. </w:t>
      </w:r>
      <w:hyperlink w:history="1" r:id="rIdqwsfaqheqacaysx3c2a0c">
        <w:r>
          <w:rPr>
            <w:rStyle w:val="Hyperlink"/>
            <w:rFonts w:ascii="Arial" w:hAnsi="Arial" w:eastAsia="Arial" w:cs="Arial"/>
            <w:sz w:val="16"/>
            <w:szCs w:val="16"/>
          </w:rPr>
          <w:t xml:space="preserve">https://aws.amazon.com/about-aws/whats-new/2026/03/aws-devops-agent-generally-available/</w:t>
        </w:r>
      </w:hyperlink>
    </w:p>
    <w:p xmlns:wp14="http://schemas.microsoft.com/office/word/2010/wordml" w14:paraId="118BAF3F" wp14:textId="77777777">
      <w:pPr>
        <w:keepLines/>
        <w:spacing w:after="80" w:line="290"/>
        <w:jc w:val="left"/>
      </w:pPr>
      <w:hyperlink w:history="1" r:id="rId5stwmzmjlodxxr6c2qpk-">
        <w:r>
          <w:rPr>
            <w:rStyle w:val="Hyperlink"/>
            <w:rFonts w:ascii="Arial" w:hAnsi="Arial" w:eastAsia="Arial" w:cs="Arial"/>
            <w:b/>
            <w:bCs/>
            <w:sz w:val="16"/>
            <w:szCs w:val="16"/>
          </w:rPr>
          <w:t xml:space="preserve">[26]</w:t>
        </w:r>
      </w:hyperlink>
      <w:r>
        <w:rPr>
          <w:rFonts w:ascii="Arial" w:hAnsi="Arial" w:eastAsia="Arial" w:cs="Arial"/>
          <w:b w:val="false"/>
          <w:bCs w:val="false"/>
          <w:i w:val="false"/>
          <w:iCs w:val="false"/>
          <w:color w:val="1A1A1A"/>
          <w:sz w:val="16"/>
          <w:szCs w:val="16"/>
        </w:rPr>
        <w:t xml:space="preserve"> Amazon Web Services Documentation. “Using the AMS Accelerate Operations Plan.” </w:t>
      </w:r>
      <w:hyperlink w:history="1" r:id="rIdoxuq-zqby6sugbpcuggaq">
        <w:r>
          <w:rPr>
            <w:rStyle w:val="Hyperlink"/>
            <w:rFonts w:ascii="Arial" w:hAnsi="Arial" w:eastAsia="Arial" w:cs="Arial"/>
            <w:sz w:val="16"/>
            <w:szCs w:val="16"/>
          </w:rPr>
          <w:t xml:space="preserve">https://docs.aws.amazon.com/managedservices/latest/accelerate-guide/acc-what-is.html</w:t>
        </w:r>
      </w:hyperlink>
    </w:p>
    <w:p xmlns:wp14="http://schemas.microsoft.com/office/word/2010/wordml" w14:paraId="1E9EB3BD" wp14:textId="77777777">
      <w:pPr>
        <w:keepLines/>
        <w:spacing w:after="80" w:line="290"/>
        <w:jc w:val="left"/>
      </w:pPr>
      <w:hyperlink w:history="1" r:id="rIdgjptrqzjurjw9kig8wska">
        <w:r>
          <w:rPr>
            <w:rStyle w:val="Hyperlink"/>
            <w:rFonts w:ascii="Arial" w:hAnsi="Arial" w:eastAsia="Arial" w:cs="Arial"/>
            <w:b/>
            <w:bCs/>
            <w:sz w:val="16"/>
            <w:szCs w:val="16"/>
          </w:rPr>
          <w:t xml:space="preserve">[27]</w:t>
        </w:r>
      </w:hyperlink>
      <w:r>
        <w:rPr>
          <w:rFonts w:ascii="Arial" w:hAnsi="Arial" w:eastAsia="Arial" w:cs="Arial"/>
          <w:b w:val="false"/>
          <w:bCs w:val="false"/>
          <w:i w:val="false"/>
          <w:iCs w:val="false"/>
          <w:color w:val="1A1A1A"/>
          <w:sz w:val="16"/>
          <w:szCs w:val="16"/>
        </w:rPr>
        <w:t xml:space="preserve"> Google Cloud. “Gemini Cloud Assist: Proactive Cloud Operations That Work for You, Even Before You Ask.” 22 April 2026, read with product documentation and release-status limits. </w:t>
      </w:r>
      <w:hyperlink w:history="1" r:id="rId-c7xz2f1_oapizrovg3si">
        <w:r>
          <w:rPr>
            <w:rStyle w:val="Hyperlink"/>
            <w:rFonts w:ascii="Arial" w:hAnsi="Arial" w:eastAsia="Arial" w:cs="Arial"/>
            <w:sz w:val="16"/>
            <w:szCs w:val="16"/>
          </w:rPr>
          <w:t xml:space="preserve">https://cloud.google.com/blog/products/application-development/gemini-cloud-assist-at-next26</w:t>
        </w:r>
      </w:hyperlink>
    </w:p>
    <w:p xmlns:wp14="http://schemas.microsoft.com/office/word/2010/wordml" w14:paraId="7807C215" wp14:textId="77777777">
      <w:pPr>
        <w:keepLines/>
        <w:spacing w:after="80" w:line="290"/>
        <w:jc w:val="left"/>
      </w:pPr>
      <w:hyperlink w:history="1" r:id="rIdfhxx2yzi6rkqzryylxdlb">
        <w:r>
          <w:rPr>
            <w:rStyle w:val="Hyperlink"/>
            <w:rFonts w:ascii="Arial" w:hAnsi="Arial" w:eastAsia="Arial" w:cs="Arial"/>
            <w:b/>
            <w:bCs/>
            <w:sz w:val="16"/>
            <w:szCs w:val="16"/>
          </w:rPr>
          <w:t xml:space="preserve">[28]</w:t>
        </w:r>
      </w:hyperlink>
      <w:r>
        <w:rPr>
          <w:rFonts w:ascii="Arial" w:hAnsi="Arial" w:eastAsia="Arial" w:cs="Arial"/>
          <w:b w:val="false"/>
          <w:bCs w:val="false"/>
          <w:i w:val="false"/>
          <w:iCs w:val="false"/>
          <w:color w:val="1A1A1A"/>
          <w:sz w:val="16"/>
          <w:szCs w:val="16"/>
        </w:rPr>
        <w:t xml:space="preserve"> ServiceNow. “ServiceNow Brings Autonomous Workforce to Every Major Business Function.” 5 May 2026. Vendor capability and internal claims. </w:t>
      </w:r>
      <w:hyperlink w:history="1" r:id="rIdcovwvamljjqvag_vas92o">
        <w:r>
          <w:rPr>
            <w:rStyle w:val="Hyperlink"/>
            <w:rFonts w:ascii="Arial" w:hAnsi="Arial" w:eastAsia="Arial" w:cs="Arial"/>
            <w:sz w:val="16"/>
            <w:szCs w:val="16"/>
          </w:rPr>
          <w:t xml:space="preserve">https://newsroom.servicenow.com/press-releases/details/2026/ServiceNow-brings-Autonomous-Workforce-to-every-major-business-function/default.aspx</w:t>
        </w:r>
      </w:hyperlink>
    </w:p>
    <w:p xmlns:wp14="http://schemas.microsoft.com/office/word/2010/wordml" w14:paraId="48F1A60F" wp14:textId="77777777">
      <w:pPr>
        <w:keepLines/>
        <w:spacing w:after="80" w:line="290"/>
        <w:jc w:val="left"/>
      </w:pPr>
      <w:hyperlink w:history="1" r:id="rIdqjzlw2vmaekv6onkbsfsz">
        <w:r>
          <w:rPr>
            <w:rStyle w:val="Hyperlink"/>
            <w:rFonts w:ascii="Arial" w:hAnsi="Arial" w:eastAsia="Arial" w:cs="Arial"/>
            <w:b/>
            <w:bCs/>
            <w:sz w:val="16"/>
            <w:szCs w:val="16"/>
          </w:rPr>
          <w:t xml:space="preserve">[29]</w:t>
        </w:r>
      </w:hyperlink>
      <w:r>
        <w:rPr>
          <w:rFonts w:ascii="Arial" w:hAnsi="Arial" w:eastAsia="Arial" w:cs="Arial"/>
          <w:b w:val="false"/>
          <w:bCs w:val="false"/>
          <w:i w:val="false"/>
          <w:iCs w:val="false"/>
          <w:color w:val="1A1A1A"/>
          <w:sz w:val="16"/>
          <w:szCs w:val="16"/>
        </w:rPr>
        <w:t xml:space="preserve"> CrowdStrike. “Falcon Complete MDR: 24/7 Expert Protection.” Vendor product page. </w:t>
      </w:r>
      <w:hyperlink w:history="1" r:id="rIdukv0oj4lstpxfm6usul2c">
        <w:r>
          <w:rPr>
            <w:rStyle w:val="Hyperlink"/>
            <w:rFonts w:ascii="Arial" w:hAnsi="Arial" w:eastAsia="Arial" w:cs="Arial"/>
            <w:sz w:val="16"/>
            <w:szCs w:val="16"/>
          </w:rPr>
          <w:t xml:space="preserve">https://www.crowdstrike.com/en-us/services/falcon-complete-mdr/</w:t>
        </w:r>
      </w:hyperlink>
    </w:p>
    <w:p xmlns:wp14="http://schemas.microsoft.com/office/word/2010/wordml" w14:paraId="6DFF4DB5" wp14:textId="77777777">
      <w:pPr>
        <w:keepLines/>
        <w:spacing w:after="80" w:line="290"/>
        <w:jc w:val="left"/>
      </w:pPr>
      <w:hyperlink w:history="1" r:id="rIdfrzreykyacap-g3wfuy-o">
        <w:r>
          <w:rPr>
            <w:rStyle w:val="Hyperlink"/>
            <w:rFonts w:ascii="Arial" w:hAnsi="Arial" w:eastAsia="Arial" w:cs="Arial"/>
            <w:b/>
            <w:bCs/>
            <w:sz w:val="16"/>
            <w:szCs w:val="16"/>
          </w:rPr>
          <w:t xml:space="preserve">[30]</w:t>
        </w:r>
      </w:hyperlink>
      <w:r>
        <w:rPr>
          <w:rFonts w:ascii="Arial" w:hAnsi="Arial" w:eastAsia="Arial" w:cs="Arial"/>
          <w:b w:val="false"/>
          <w:bCs w:val="false"/>
          <w:i w:val="false"/>
          <w:iCs w:val="false"/>
          <w:color w:val="1A1A1A"/>
          <w:sz w:val="16"/>
          <w:szCs w:val="16"/>
        </w:rPr>
        <w:t xml:space="preserve"> CISA and Five Eyes cyber authorities. “Protecting Against Cyber Threats to Managed Service Providers and Their Customers.” Advisory AA22-131A, 11 May 2022. </w:t>
      </w:r>
      <w:hyperlink w:history="1" r:id="rIdzoojzjrshl-rir7qiws3v">
        <w:r>
          <w:rPr>
            <w:rStyle w:val="Hyperlink"/>
            <w:rFonts w:ascii="Arial" w:hAnsi="Arial" w:eastAsia="Arial" w:cs="Arial"/>
            <w:sz w:val="16"/>
            <w:szCs w:val="16"/>
          </w:rPr>
          <w:t xml:space="preserve">https://www.cisa.gov/news-events/cybersecurity-advisories/aa22-131a</w:t>
        </w:r>
      </w:hyperlink>
    </w:p>
    <w:p xmlns:wp14="http://schemas.microsoft.com/office/word/2010/wordml" w14:paraId="6104D858" wp14:textId="77777777">
      <w:pPr>
        <w:keepLines/>
        <w:spacing w:after="80" w:line="290"/>
        <w:jc w:val="left"/>
      </w:pPr>
      <w:hyperlink w:history="1" r:id="rIdu0nc8f-ktgc-xsrqyudgn">
        <w:r>
          <w:rPr>
            <w:rStyle w:val="Hyperlink"/>
            <w:rFonts w:ascii="Arial" w:hAnsi="Arial" w:eastAsia="Arial" w:cs="Arial"/>
            <w:b/>
            <w:bCs/>
            <w:sz w:val="16"/>
            <w:szCs w:val="16"/>
          </w:rPr>
          <w:t xml:space="preserve">[31]</w:t>
        </w:r>
      </w:hyperlink>
      <w:r>
        <w:rPr>
          <w:rFonts w:ascii="Arial" w:hAnsi="Arial" w:eastAsia="Arial" w:cs="Arial"/>
          <w:b w:val="false"/>
          <w:bCs w:val="false"/>
          <w:i w:val="false"/>
          <w:iCs w:val="false"/>
          <w:color w:val="1A1A1A"/>
          <w:sz w:val="16"/>
          <w:szCs w:val="16"/>
        </w:rPr>
        <w:t xml:space="preserve"> NIST. “Artificial Intelligence Risk Management Framework: Generative Artificial Intelligence Profile.” NIST AI 600-1, 26 July 2024. </w:t>
      </w:r>
      <w:hyperlink w:history="1" r:id="rIdlhovoejhflnfbnqgqc7zc">
        <w:r>
          <w:rPr>
            <w:rStyle w:val="Hyperlink"/>
            <w:rFonts w:ascii="Arial" w:hAnsi="Arial" w:eastAsia="Arial" w:cs="Arial"/>
            <w:sz w:val="16"/>
            <w:szCs w:val="16"/>
          </w:rPr>
          <w:t xml:space="preserve">https://nvlpubs.nist.gov/nistpubs/ai/NIST.AI.600-1.pdf</w:t>
        </w:r>
      </w:hyperlink>
    </w:p>
    <w:p xmlns:wp14="http://schemas.microsoft.com/office/word/2010/wordml" w14:paraId="2D81CD25" wp14:textId="77777777">
      <w:pPr>
        <w:keepLines/>
        <w:spacing w:after="80" w:line="290"/>
        <w:jc w:val="left"/>
      </w:pPr>
      <w:hyperlink w:history="1" r:id="rId0zvcbodjs5nnoprofc8gl">
        <w:r>
          <w:rPr>
            <w:rStyle w:val="Hyperlink"/>
            <w:rFonts w:ascii="Arial" w:hAnsi="Arial" w:eastAsia="Arial" w:cs="Arial"/>
            <w:b/>
            <w:bCs/>
            <w:sz w:val="16"/>
            <w:szCs w:val="16"/>
          </w:rPr>
          <w:t xml:space="preserve">[32]</w:t>
        </w:r>
      </w:hyperlink>
      <w:r>
        <w:rPr>
          <w:rFonts w:ascii="Arial" w:hAnsi="Arial" w:eastAsia="Arial" w:cs="Arial"/>
          <w:b w:val="false"/>
          <w:bCs w:val="false"/>
          <w:i w:val="false"/>
          <w:iCs w:val="false"/>
          <w:color w:val="1A1A1A"/>
          <w:sz w:val="16"/>
          <w:szCs w:val="16"/>
        </w:rPr>
        <w:t xml:space="preserve"> European Union. Directive (EU) 2022/2555 (NIS2), 14 December 2022. </w:t>
      </w:r>
      <w:hyperlink w:history="1" r:id="rIduh5_fb56dqzeyog3abz0i">
        <w:r>
          <w:rPr>
            <w:rStyle w:val="Hyperlink"/>
            <w:rFonts w:ascii="Arial" w:hAnsi="Arial" w:eastAsia="Arial" w:cs="Arial"/>
            <w:sz w:val="16"/>
            <w:szCs w:val="16"/>
          </w:rPr>
          <w:t xml:space="preserve">https://eur-lex.europa.eu/eli/dir/2022/2555/oj/eng</w:t>
        </w:r>
      </w:hyperlink>
    </w:p>
    <w:p xmlns:wp14="http://schemas.microsoft.com/office/word/2010/wordml" w14:paraId="1BCD7F04" wp14:textId="77777777">
      <w:pPr>
        <w:keepLines/>
        <w:spacing w:after="80" w:line="290"/>
        <w:jc w:val="left"/>
      </w:pPr>
      <w:hyperlink w:history="1" r:id="rIdbrdfpsljmxjlw9ig8qvus">
        <w:r>
          <w:rPr>
            <w:rStyle w:val="Hyperlink"/>
            <w:rFonts w:ascii="Arial" w:hAnsi="Arial" w:eastAsia="Arial" w:cs="Arial"/>
            <w:b/>
            <w:bCs/>
            <w:sz w:val="16"/>
            <w:szCs w:val="16"/>
          </w:rPr>
          <w:t xml:space="preserve">[33]</w:t>
        </w:r>
      </w:hyperlink>
      <w:r>
        <w:rPr>
          <w:rFonts w:ascii="Arial" w:hAnsi="Arial" w:eastAsia="Arial" w:cs="Arial"/>
          <w:b w:val="false"/>
          <w:bCs w:val="false"/>
          <w:i w:val="false"/>
          <w:iCs w:val="false"/>
          <w:color w:val="1A1A1A"/>
          <w:sz w:val="16"/>
          <w:szCs w:val="16"/>
        </w:rPr>
        <w:t xml:space="preserve"> Accenture. “Second-Quarter Fiscal 2026 Results.” 19 March 2026. Diversified enterprise provider; company-wide margins are not MSP service-line margins. </w:t>
      </w:r>
      <w:hyperlink w:history="1" r:id="rId6on7ygtxgteewxsvcmmgx">
        <w:r>
          <w:rPr>
            <w:rStyle w:val="Hyperlink"/>
            <w:rFonts w:ascii="Arial" w:hAnsi="Arial" w:eastAsia="Arial" w:cs="Arial"/>
            <w:sz w:val="16"/>
            <w:szCs w:val="16"/>
          </w:rPr>
          <w:t xml:space="preserve">https://newsroom.accenture.com/content/2qfy26-earnings/accenture-reports-second-quarter-fiscal-2026-results.pdf</w:t>
        </w:r>
      </w:hyperlink>
    </w:p>
    <w:p xmlns:wp14="http://schemas.microsoft.com/office/word/2010/wordml" w14:paraId="7420C716" wp14:textId="77777777">
      <w:pPr>
        <w:keepLines/>
        <w:spacing w:after="80" w:line="290"/>
        <w:jc w:val="left"/>
      </w:pPr>
      <w:hyperlink w:history="1" r:id="rId4nyr1f5hfexlzg0tbwl8x">
        <w:r>
          <w:rPr>
            <w:rStyle w:val="Hyperlink"/>
            <w:rFonts w:ascii="Arial" w:hAnsi="Arial" w:eastAsia="Arial" w:cs="Arial"/>
            <w:b/>
            <w:bCs/>
            <w:sz w:val="16"/>
            <w:szCs w:val="16"/>
          </w:rPr>
          <w:t xml:space="preserve">[34]</w:t>
        </w:r>
      </w:hyperlink>
      <w:r>
        <w:rPr>
          <w:rFonts w:ascii="Arial" w:hAnsi="Arial" w:eastAsia="Arial" w:cs="Arial"/>
          <w:b w:val="false"/>
          <w:bCs w:val="false"/>
          <w:i w:val="false"/>
          <w:iCs w:val="false"/>
          <w:color w:val="1A1A1A"/>
          <w:sz w:val="16"/>
          <w:szCs w:val="16"/>
        </w:rPr>
        <w:t xml:space="preserve"> Rackspace Technology. “Fourth Quarter and Full Year 2025 Results.” 26 February 2026. </w:t>
      </w:r>
      <w:hyperlink w:history="1" r:id="rIdwmrm4affrnc3he5bw7lxa">
        <w:r>
          <w:rPr>
            <w:rStyle w:val="Hyperlink"/>
            <w:rFonts w:ascii="Arial" w:hAnsi="Arial" w:eastAsia="Arial" w:cs="Arial"/>
            <w:sz w:val="16"/>
            <w:szCs w:val="16"/>
          </w:rPr>
          <w:t xml:space="preserve">https://ir.rackspace.com/news-releases/news-release-details/rackspace-technology-reports-fourth-quarter-and-full-year-2025</w:t>
        </w:r>
      </w:hyperlink>
    </w:p>
    <w:p xmlns:wp14="http://schemas.microsoft.com/office/word/2010/wordml" w14:paraId="4F87D7F2" wp14:textId="77777777">
      <w:pPr>
        <w:keepLines/>
        <w:spacing w:after="80" w:line="290"/>
        <w:jc w:val="left"/>
      </w:pPr>
      <w:hyperlink w:history="1" r:id="rId7psf69dxfqtxhsk5dlyaa">
        <w:r>
          <w:rPr>
            <w:rStyle w:val="Hyperlink"/>
            <w:rFonts w:ascii="Arial" w:hAnsi="Arial" w:eastAsia="Arial" w:cs="Arial"/>
            <w:b/>
            <w:bCs/>
            <w:sz w:val="16"/>
            <w:szCs w:val="16"/>
          </w:rPr>
          <w:t xml:space="preserve">[35]</w:t>
        </w:r>
      </w:hyperlink>
      <w:r>
        <w:rPr>
          <w:rFonts w:ascii="Arial" w:hAnsi="Arial" w:eastAsia="Arial" w:cs="Arial"/>
          <w:b w:val="false"/>
          <w:bCs w:val="false"/>
          <w:i w:val="false"/>
          <w:iCs w:val="false"/>
          <w:color w:val="1A1A1A"/>
          <w:sz w:val="16"/>
          <w:szCs w:val="16"/>
        </w:rPr>
        <w:t xml:space="preserve"> PwC. “Global M&amp;A Industry Trends: 2026 Mid-year Outlook.” 23 June 2026. </w:t>
      </w:r>
      <w:hyperlink w:history="1" r:id="rIdum4tihkn_kkworqjblnv8">
        <w:r>
          <w:rPr>
            <w:rStyle w:val="Hyperlink"/>
            <w:rFonts w:ascii="Arial" w:hAnsi="Arial" w:eastAsia="Arial" w:cs="Arial"/>
            <w:sz w:val="16"/>
            <w:szCs w:val="16"/>
          </w:rPr>
          <w:t xml:space="preserve">https://www.pwc.com/gx/en/services/deals/trends.html</w:t>
        </w:r>
      </w:hyperlink>
    </w:p>
    <w:p xmlns:wp14="http://schemas.microsoft.com/office/word/2010/wordml" w14:paraId="1AD30A0A" wp14:textId="77777777">
      <w:pPr>
        <w:keepLines/>
        <w:spacing w:after="80" w:line="290"/>
        <w:jc w:val="left"/>
      </w:pPr>
      <w:hyperlink w:history="1" r:id="rId3edhq_7aqepv7-8up4nt1">
        <w:r>
          <w:rPr>
            <w:rStyle w:val="Hyperlink"/>
            <w:rFonts w:ascii="Arial" w:hAnsi="Arial" w:eastAsia="Arial" w:cs="Arial"/>
            <w:b/>
            <w:bCs/>
            <w:sz w:val="16"/>
            <w:szCs w:val="16"/>
          </w:rPr>
          <w:t xml:space="preserve">[36]</w:t>
        </w:r>
      </w:hyperlink>
      <w:r>
        <w:rPr>
          <w:rFonts w:ascii="Arial" w:hAnsi="Arial" w:eastAsia="Arial" w:cs="Arial"/>
          <w:b w:val="false"/>
          <w:bCs w:val="false"/>
          <w:i w:val="false"/>
          <w:iCs w:val="false"/>
          <w:color w:val="1A1A1A"/>
          <w:sz w:val="16"/>
          <w:szCs w:val="16"/>
        </w:rPr>
        <w:t xml:space="preserve"> Forrester. “The State of Technology Services, 2026.” Public abstract; paid body not reviewed. </w:t>
      </w:r>
      <w:hyperlink w:history="1" r:id="rIdpm4rmzwa03o4xoo8wynhz">
        <w:r>
          <w:rPr>
            <w:rStyle w:val="Hyperlink"/>
            <w:rFonts w:ascii="Arial" w:hAnsi="Arial" w:eastAsia="Arial" w:cs="Arial"/>
            <w:sz w:val="16"/>
            <w:szCs w:val="16"/>
          </w:rPr>
          <w:t xml:space="preserve">https://www.forrester.com/report/the-state-of-technology-services-2026/RES192217</w:t>
        </w:r>
      </w:hyperlink>
    </w:p>
    <w:p xmlns:wp14="http://schemas.microsoft.com/office/word/2010/wordml" w14:paraId="41F52BA3" wp14:textId="77777777">
      <w:pPr>
        <w:keepLines/>
        <w:spacing w:after="80" w:line="290"/>
        <w:jc w:val="left"/>
      </w:pPr>
      <w:hyperlink w:history="1" r:id="rId8a-wrjjad68s9agq0btux">
        <w:r>
          <w:rPr>
            <w:rStyle w:val="Hyperlink"/>
            <w:rFonts w:ascii="Arial" w:hAnsi="Arial" w:eastAsia="Arial" w:cs="Arial"/>
            <w:b/>
            <w:bCs/>
            <w:sz w:val="16"/>
            <w:szCs w:val="16"/>
          </w:rPr>
          <w:t xml:space="preserve">[37]</w:t>
        </w:r>
      </w:hyperlink>
      <w:r>
        <w:rPr>
          <w:rFonts w:ascii="Arial" w:hAnsi="Arial" w:eastAsia="Arial" w:cs="Arial"/>
          <w:b w:val="false"/>
          <w:bCs w:val="false"/>
          <w:i w:val="false"/>
          <w:iCs w:val="false"/>
          <w:color w:val="1A1A1A"/>
          <w:sz w:val="16"/>
          <w:szCs w:val="16"/>
        </w:rPr>
        <w:t xml:space="preserve"> Microsoft / IDC. “IDC Study on Partner Profitability with Microsoft AI.” 19 September 2024. Microsoft-sponsored; revenue multipliers are not causal profit measures. </w:t>
      </w:r>
      <w:hyperlink w:history="1" r:id="rIdxoikg_tfmm_skl8ozgoge">
        <w:r>
          <w:rPr>
            <w:rStyle w:val="Hyperlink"/>
            <w:rFonts w:ascii="Arial" w:hAnsi="Arial" w:eastAsia="Arial" w:cs="Arial"/>
            <w:sz w:val="16"/>
            <w:szCs w:val="16"/>
          </w:rPr>
          <w:t xml:space="preserve">https://partner.microsoft.com/blog/article/AI-value-for-partners</w:t>
        </w:r>
      </w:hyperlink>
    </w:p>
    <w:p xmlns:wp14="http://schemas.microsoft.com/office/word/2010/wordml" w14:paraId="68928667" wp14:textId="77777777">
      <w:pPr>
        <w:keepLines/>
        <w:spacing w:after="80" w:line="290"/>
        <w:jc w:val="left"/>
      </w:pPr>
      <w:hyperlink w:history="1" r:id="rIdk3wn1kl93e4mjaowffp1y">
        <w:r>
          <w:rPr>
            <w:rStyle w:val="Hyperlink"/>
            <w:rFonts w:ascii="Arial" w:hAnsi="Arial" w:eastAsia="Arial" w:cs="Arial"/>
            <w:b/>
            <w:bCs/>
            <w:sz w:val="16"/>
            <w:szCs w:val="16"/>
          </w:rPr>
          <w:t xml:space="preserve">[38]</w:t>
        </w:r>
      </w:hyperlink>
      <w:r>
        <w:rPr>
          <w:rFonts w:ascii="Arial" w:hAnsi="Arial" w:eastAsia="Arial" w:cs="Arial"/>
          <w:b w:val="false"/>
          <w:bCs w:val="false"/>
          <w:i w:val="false"/>
          <w:iCs w:val="false"/>
          <w:color w:val="1A1A1A"/>
          <w:sz w:val="16"/>
          <w:szCs w:val="16"/>
        </w:rPr>
        <w:t xml:space="preserve"> Gartner. “Forecast Analysis: Information Security, Worldwide, 2026.” 5 February 2026. Public abstract; forecast of $244 billion and 11.6% constant-currency growth. </w:t>
      </w:r>
      <w:hyperlink w:history="1" r:id="rIdd0hr6xeampe264vc3ucxk">
        <w:r>
          <w:rPr>
            <w:rStyle w:val="Hyperlink"/>
            <w:rFonts w:ascii="Arial" w:hAnsi="Arial" w:eastAsia="Arial" w:cs="Arial"/>
            <w:sz w:val="16"/>
            <w:szCs w:val="16"/>
          </w:rPr>
          <w:t xml:space="preserve">https://www.gartner.com/en/documents/7408930</w:t>
        </w:r>
      </w:hyperlink>
    </w:p>
    <w:p xmlns:wp14="http://schemas.microsoft.com/office/word/2010/wordml" w14:paraId="10C8FC07" wp14:textId="77777777">
      <w:pPr>
        <w:keepLines/>
        <w:spacing w:after="80" w:line="290"/>
        <w:jc w:val="left"/>
      </w:pPr>
      <w:hyperlink w:history="1" r:id="rIdp47xgruux2ofly5bx20ei">
        <w:r>
          <w:rPr>
            <w:rStyle w:val="Hyperlink"/>
            <w:rFonts w:ascii="Arial" w:hAnsi="Arial" w:eastAsia="Arial" w:cs="Arial"/>
            <w:b/>
            <w:bCs/>
            <w:sz w:val="16"/>
            <w:szCs w:val="16"/>
          </w:rPr>
          <w:t xml:space="preserve">[39]</w:t>
        </w:r>
      </w:hyperlink>
      <w:r>
        <w:rPr>
          <w:rFonts w:ascii="Arial" w:hAnsi="Arial" w:eastAsia="Arial" w:cs="Arial"/>
          <w:b w:val="false"/>
          <w:bCs w:val="false"/>
          <w:i w:val="false"/>
          <w:iCs w:val="false"/>
          <w:color w:val="1A1A1A"/>
          <w:sz w:val="16"/>
          <w:szCs w:val="16"/>
        </w:rPr>
        <w:t xml:space="preserve"> Microsoft Learn. “September 2026 Announcements: Partner Center.” Updated 25 September 2026. </w:t>
      </w:r>
      <w:hyperlink w:history="1" r:id="rIda8trgszjotxahwazanpgf">
        <w:r>
          <w:rPr>
            <w:rStyle w:val="Hyperlink"/>
            <w:rFonts w:ascii="Arial" w:hAnsi="Arial" w:eastAsia="Arial" w:cs="Arial"/>
            <w:sz w:val="16"/>
            <w:szCs w:val="16"/>
          </w:rPr>
          <w:t xml:space="preserve">https://learn.microsoft.com/en-us/partner-center/announcements/2026-september</w:t>
        </w:r>
      </w:hyperlink>
    </w:p>
    <w:p xmlns:wp14="http://schemas.microsoft.com/office/word/2010/wordml" w14:paraId="644CB170" wp14:textId="77777777">
      <w:pPr>
        <w:keepLines/>
        <w:spacing w:after="80" w:line="290"/>
        <w:jc w:val="left"/>
      </w:pPr>
      <w:hyperlink w:history="1" r:id="rIdkhsdobn_o9yotdjhxpea2">
        <w:r>
          <w:rPr>
            <w:rStyle w:val="Hyperlink"/>
            <w:rFonts w:ascii="Arial" w:hAnsi="Arial" w:eastAsia="Arial" w:cs="Arial"/>
            <w:b/>
            <w:bCs/>
            <w:sz w:val="16"/>
            <w:szCs w:val="16"/>
          </w:rPr>
          <w:t xml:space="preserve">[40]</w:t>
        </w:r>
      </w:hyperlink>
      <w:r>
        <w:rPr>
          <w:rFonts w:ascii="Arial" w:hAnsi="Arial" w:eastAsia="Arial" w:cs="Arial"/>
          <w:b w:val="false"/>
          <w:bCs w:val="false"/>
          <w:i w:val="false"/>
          <w:iCs w:val="false"/>
          <w:color w:val="1A1A1A"/>
          <w:sz w:val="16"/>
          <w:szCs w:val="16"/>
        </w:rPr>
        <w:t xml:space="preserve"> Xerox Holdings Corporation. “Fourth-Quarter and Full-Year 2025 Results.” 29 January 2026. Acquisition effects should be separated from pro-forma performance. </w:t>
      </w:r>
      <w:hyperlink w:history="1" r:id="rId5iougsjx6psbhy3cobxvc">
        <w:r>
          <w:rPr>
            <w:rStyle w:val="Hyperlink"/>
            <w:rFonts w:ascii="Arial" w:hAnsi="Arial" w:eastAsia="Arial" w:cs="Arial"/>
            <w:sz w:val="16"/>
            <w:szCs w:val="16"/>
          </w:rPr>
          <w:t xml:space="preserve">https://investors.xerox.com/news-releases/news-release-details/xerox-releases-fourth-quarter-and-full-year-results-2</w:t>
        </w:r>
      </w:hyperlink>
    </w:p>
    <w:p xmlns:wp14="http://schemas.microsoft.com/office/word/2010/wordml" w14:paraId="18452319" wp14:textId="77777777">
      <w:pPr>
        <w:keepLines/>
        <w:spacing w:after="80" w:line="290"/>
        <w:jc w:val="left"/>
      </w:pPr>
      <w:hyperlink w:history="1" r:id="rIdgtg9glzsf24bt218u07g1">
        <w:r>
          <w:rPr>
            <w:rStyle w:val="Hyperlink"/>
            <w:rFonts w:ascii="Arial" w:hAnsi="Arial" w:eastAsia="Arial" w:cs="Arial"/>
            <w:b/>
            <w:bCs/>
            <w:sz w:val="16"/>
            <w:szCs w:val="16"/>
          </w:rPr>
          <w:t xml:space="preserve">[41]</w:t>
        </w:r>
      </w:hyperlink>
      <w:r>
        <w:rPr>
          <w:rFonts w:ascii="Arial" w:hAnsi="Arial" w:eastAsia="Arial" w:cs="Arial"/>
          <w:b w:val="false"/>
          <w:bCs w:val="false"/>
          <w:i w:val="false"/>
          <w:iCs w:val="false"/>
          <w:color w:val="1A1A1A"/>
          <w:sz w:val="16"/>
          <w:szCs w:val="16"/>
        </w:rPr>
        <w:t xml:space="preserve"> Blockbuster Inc. Form 8-K, bankruptcy filing, 23 September 2010; asset-sale approval release, 7 April 2011. </w:t>
      </w:r>
      <w:hyperlink w:history="1" r:id="rIdp5wrgihd0njo_fnom67tz">
        <w:r>
          <w:rPr>
            <w:rStyle w:val="Hyperlink"/>
            <w:rFonts w:ascii="Arial" w:hAnsi="Arial" w:eastAsia="Arial" w:cs="Arial"/>
            <w:sz w:val="16"/>
            <w:szCs w:val="16"/>
          </w:rPr>
          <w:t xml:space="preserve">https://www.sec.gov/Archives/edgar/data/1085734/000119312510215765/d8k.htm</w:t>
        </w:r>
      </w:hyperlink>
      <w:r>
        <w:rPr>
          <w:rFonts w:ascii="Arial" w:hAnsi="Arial" w:eastAsia="Arial" w:cs="Arial"/>
          <w:b w:val="false"/>
          <w:bCs w:val="false"/>
          <w:i w:val="false"/>
          <w:iCs w:val="false"/>
          <w:color w:val="1A1A1A"/>
          <w:sz w:val="16"/>
          <w:szCs w:val="16"/>
        </w:rPr>
        <w:t xml:space="preserve"> and </w:t>
      </w:r>
      <w:hyperlink w:history="1" r:id="rIdxeoaaezbj6kz0zrlyiq8e">
        <w:r>
          <w:rPr>
            <w:rStyle w:val="Hyperlink"/>
            <w:rFonts w:ascii="Arial" w:hAnsi="Arial" w:eastAsia="Arial" w:cs="Arial"/>
            <w:sz w:val="16"/>
            <w:szCs w:val="16"/>
          </w:rPr>
          <w:t xml:space="preserve">https://www.sec.gov/Archives/edgar/data/1085734/000119312511095325/dex991.htm</w:t>
        </w:r>
      </w:hyperlink>
    </w:p>
    <w:p xmlns:wp14="http://schemas.microsoft.com/office/word/2010/wordml" w14:paraId="20C85510" wp14:textId="77777777">
      <w:pPr>
        <w:keepLines/>
        <w:spacing w:after="80" w:line="290"/>
        <w:jc w:val="left"/>
      </w:pPr>
      <w:hyperlink w:history="1" r:id="rIdcgua1tly_xjph1cxcwbib">
        <w:r>
          <w:rPr>
            <w:rStyle w:val="Hyperlink"/>
            <w:rFonts w:ascii="Arial" w:hAnsi="Arial" w:eastAsia="Arial" w:cs="Arial"/>
            <w:b/>
            <w:bCs/>
            <w:sz w:val="16"/>
            <w:szCs w:val="16"/>
          </w:rPr>
          <w:t xml:space="preserve">[42]</w:t>
        </w:r>
      </w:hyperlink>
      <w:r>
        <w:rPr>
          <w:rFonts w:ascii="Arial" w:hAnsi="Arial" w:eastAsia="Arial" w:cs="Arial"/>
          <w:b w:val="false"/>
          <w:bCs w:val="false"/>
          <w:i w:val="false"/>
          <w:iCs w:val="false"/>
          <w:color w:val="1A1A1A"/>
          <w:sz w:val="16"/>
          <w:szCs w:val="16"/>
        </w:rPr>
        <w:t xml:space="preserve"> Microsoft Learn. “Microsoft Security Copilot Phishing Triage Agent in Microsoft Defender.” Product documentation; classification is not complete incident response. </w:t>
      </w:r>
      <w:hyperlink w:history="1" r:id="rIdskzzk0jwzwnnmihbbpwjm">
        <w:r>
          <w:rPr>
            <w:rStyle w:val="Hyperlink"/>
            <w:rFonts w:ascii="Arial" w:hAnsi="Arial" w:eastAsia="Arial" w:cs="Arial"/>
            <w:sz w:val="16"/>
            <w:szCs w:val="16"/>
          </w:rPr>
          <w:t xml:space="preserve">https://learn.microsoft.com/en-us/defender-xdr/phishing-triage-agent</w:t>
        </w:r>
      </w:hyperlink>
    </w:p>
    <w:p xmlns:wp14="http://schemas.microsoft.com/office/word/2010/wordml" w14:paraId="56B3B5E9" wp14:textId="77777777">
      <w:pPr>
        <w:keepLines/>
        <w:spacing w:after="80" w:line="290"/>
        <w:jc w:val="left"/>
      </w:pPr>
      <w:hyperlink w:history="1" r:id="rId5wprf7519gwpvkqtscwyq">
        <w:r>
          <w:rPr>
            <w:rStyle w:val="Hyperlink"/>
            <w:rFonts w:ascii="Arial" w:hAnsi="Arial" w:eastAsia="Arial" w:cs="Arial"/>
            <w:b/>
            <w:bCs/>
            <w:sz w:val="16"/>
            <w:szCs w:val="16"/>
          </w:rPr>
          <w:t xml:space="preserve">[43]</w:t>
        </w:r>
      </w:hyperlink>
      <w:r>
        <w:rPr>
          <w:rFonts w:ascii="Arial" w:hAnsi="Arial" w:eastAsia="Arial" w:cs="Arial"/>
          <w:b w:val="false"/>
          <w:bCs w:val="false"/>
          <w:i w:val="false"/>
          <w:iCs w:val="false"/>
          <w:color w:val="1A1A1A"/>
          <w:sz w:val="16"/>
          <w:szCs w:val="16"/>
        </w:rPr>
        <w:t xml:space="preserve"> Microsoft Security Blog. “Microsoft Build 2026: Securing Code, Agents and Models Across the Development Lifecycle.” 2 June 2026. </w:t>
      </w:r>
      <w:hyperlink w:history="1" r:id="rIdmoudcevr7ezoivr6gtzcb">
        <w:r>
          <w:rPr>
            <w:rStyle w:val="Hyperlink"/>
            <w:rFonts w:ascii="Arial" w:hAnsi="Arial" w:eastAsia="Arial" w:cs="Arial"/>
            <w:sz w:val="16"/>
            <w:szCs w:val="16"/>
          </w:rPr>
          <w:t xml:space="preserve">https://www.microsoft.com/en-us/security/blog/2026/06/02/microsoft-build-2026-securing-code-agents-and-models-across-the-development-lifecycle/</w:t>
        </w:r>
      </w:hyperlink>
    </w:p>
    <w:sectPr>
      <w:headerReference w:type="default" r:id="rId7"/>
      <w:footerReference w:type="default" r:id="rId8"/>
      <w:type w:val="nextPage"/>
      <w:pgSz w:w="12240" w:h="15840" w:orient="portrait"/>
      <w:pgMar w:top="900" w:right="792" w:bottom="900" w:left="792"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2A2CC76" w14:paraId="6AC79EE0" wp14:textId="77777777">
    <w:pPr>
      <w:jc w:val="right"/>
      <w:rPr>
        <w:lang w:val="en-US"/>
      </w:rPr>
    </w:pPr>
    <w:r w:rsidRPr="72A2CC76" w:rsidR="72A2CC76">
      <w:rPr>
        <w:rFonts w:ascii="Arial" w:hAnsi="Arial" w:eastAsia="Arial" w:cs="Arial"/>
        <w:color w:val="526578"/>
        <w:sz w:val="14"/>
        <w:szCs w:val="14"/>
        <w:lang w:val="en-US"/>
      </w:rPr>
      <w:t xml:space="preserve">Microsoft Copilot  |  </w:t>
    </w:r>
    <w:r w:rsidRPr="72A2CC76">
      <w:rPr>
        <w:rFonts w:ascii="Arial" w:hAnsi="Arial" w:eastAsia="Arial" w:cs="Arial"/>
        <w:color w:val="526578"/>
        <w:sz w:val="14"/>
        <w:szCs w:val="14"/>
        <w:lang w:val="en-US"/>
      </w:rPr>
      <w:fldChar w:fldCharType="begin"/>
    </w:r>
    <w:r w:rsidRPr="72A2CC76">
      <w:rPr>
        <w:rFonts w:ascii="Arial" w:hAnsi="Arial" w:eastAsia="Arial" w:cs="Arial"/>
        <w:color w:val="526578"/>
        <w:sz w:val="14"/>
        <w:szCs w:val="14"/>
      </w:rPr>
      <w:instrText xml:space="preserve">PAGE</w:instrText>
    </w:r>
    <w:r w:rsidRPr="72A2CC76">
      <w:rPr>
        <w:rFonts w:ascii="Arial" w:hAnsi="Arial" w:eastAsia="Arial" w:cs="Arial"/>
        <w:color w:val="526578"/>
        <w:sz w:val="14"/>
        <w:szCs w:val="14"/>
      </w:rPr>
      <w:fldChar w:fldCharType="separate"/>
    </w:r>
    <w:r w:rsidRPr="72A2CC76">
      <w:rPr>
        <w:rFonts w:ascii="Arial" w:hAnsi="Arial" w:eastAsia="Arial" w:cs="Arial"/>
        <w:color w:val="526578"/>
        <w:sz w:val="14"/>
        <w:szCs w:val="14"/>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6EDD610" wp14:textId="77777777">
    <w:pPr>
      <w:pBdr>
        <w:bottom w:val="single" w:color="1F8A8A" w:sz="6" w:space="1"/>
      </w:pBdr>
      <w:spacing w:after="50"/>
    </w:pPr>
    <w:r>
      <w:rPr>
        <w:rFonts w:ascii="Arial" w:hAnsi="Arial" w:eastAsia="Arial" w:cs="Arial"/>
        <w:color w:val="526578"/>
        <w:sz w:val="15"/>
        <w:szCs w:val="15"/>
      </w:rPr>
      <w:t xml:space="preserve">MSP/TSP Strategic Research | 30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aec7e0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d4364d7"/>
    <w:multiLevelType w:val="hybridMultilevel"/>
    <w:lvl w:ilvl="0" w15:tentative="1">
      <w:start w:val="1"/>
      <w:numFmt w:val="bullet"/>
      <w:lvlText w:val="•"/>
      <w:lvlJc w:val="left"/>
      <w:pPr>
        <w:ind w:left="480" w:hanging="24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68100FF"/>
  <w15:docId w15:val="{50CA85A3-0FE2-4179-A058-8C34B311BC57}"/>
  <w:rsids>
    <w:rsidRoot w:val="72A2CC76"/>
    <w:rsid w:val="72A2CC7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1A"/>
        <w:sz w:val="20"/>
        <w:szCs w:val="20"/>
      </w:rPr>
    </w:rPrDefault>
    <w:pPrDefault>
      <w:pPr>
        <w:spacing w:after="130"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180"/>
      <w:outlineLvl w:val="0"/>
    </w:pPr>
    <w:rPr>
      <w:rFonts w:ascii="Arial" w:hAnsi="Arial" w:eastAsia="Arial" w:cs="Arial"/>
      <w:b/>
      <w:bCs/>
      <w:color w:val="173F5F"/>
      <w:sz w:val="30"/>
      <w:szCs w:val="30"/>
    </w:rPr>
  </w:style>
  <w:style w:type="paragraph" w:styleId="Heading2">
    <w:name w:val="heading 20"/>
    <w:basedOn w:val="Normal"/>
    <w:next w:val="Normal"/>
    <w:qFormat/>
    <w:pPr>
      <w:spacing w:before="220" w:after="120"/>
      <w:outlineLvl w:val="1"/>
    </w:pPr>
    <w:rPr>
      <w:rFonts w:ascii="Arial" w:hAnsi="Arial" w:eastAsia="Arial" w:cs="Arial"/>
      <w:b/>
      <w:bCs/>
      <w:color w:val="1F8A8A"/>
      <w:sz w:val="25"/>
      <w:szCs w:val="25"/>
    </w:rPr>
  </w:style>
  <w:style w:type="paragraph" w:styleId="Heading3">
    <w:name w:val="heading 30"/>
    <w:basedOn w:val="Normal"/>
    <w:next w:val="Normal"/>
    <w:qFormat/>
    <w:pPr>
      <w:spacing w:before="160" w:after="90"/>
      <w:outlineLvl w:val="2"/>
    </w:pPr>
    <w:rPr>
      <w:rFonts w:ascii="Arial" w:hAnsi="Arial" w:eastAsia="Arial" w:cs="Arial"/>
      <w:b/>
      <w:bCs/>
      <w:color w:val="526578"/>
      <w:sz w:val="21"/>
      <w:szCs w:val="21"/>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hyperlink" Target="https://www.nber.org/papers/w31161" TargetMode="External" Id="rIdq7orwrr4yth6g1tghzruu" /><Relationship Type="http://schemas.openxmlformats.org/officeDocument/2006/relationships/hyperlink" Target="https://aws.amazon.com/about-aws/whats-new/2026/03/aws-devops-agent-generally-available/" TargetMode="External" Id="rIdulocmppw3kksom9rb5i74" /><Relationship Type="http://schemas.openxmlformats.org/officeDocument/2006/relationships/hyperlink" Target="https://newsroom.servicenow.com/press-releases/details/2026/ServiceNow-brings-Autonomous-Workforce-to-every-major-business-function/default.aspx" TargetMode="External" Id="rIdr5x0llz2onm1tshiglsli" /><Relationship Type="http://schemas.openxmlformats.org/officeDocument/2006/relationships/hyperlink" Target="https://www.microsoft.com/en-us/Investor/earnings/FY-2026-Q4/press-release-webcast" TargetMode="External" Id="rIdq_qgg5h3exwrkapbcnd1s" /><Relationship Type="http://schemas.openxmlformats.org/officeDocument/2006/relationships/hyperlink" Target="https://www.microsoft.com/en-us/investor/events/fy-2026/earnings-fy-2026-q4" TargetMode="External" Id="rIdsmcxz7pnh7rxe4m79gcw1" /><Relationship Type="http://schemas.openxmlformats.org/officeDocument/2006/relationships/hyperlink" Target="https://learn.microsoft.com/en-us/microsoft-agent-365/builder/overview" TargetMode="External" Id="rIdcwqgpk_b-3atbxusc-kcj" /><Relationship Type="http://schemas.openxmlformats.org/officeDocument/2006/relationships/hyperlink" Target="https://partner.microsoft.com/en-us/blog/article/whats-new-for-partners-2026-issue-3" TargetMode="External" Id="rIdjgkgglkkmab8qgxjnry0v" /><Relationship Type="http://schemas.openxmlformats.org/officeDocument/2006/relationships/hyperlink" Target="https://partner.microsoft.com/en-us/blog/article/agent-365-announcement" TargetMode="External" Id="rIdg6gtdtmkkk1pscurn4sti" /><Relationship Type="http://schemas.openxmlformats.org/officeDocument/2006/relationships/hyperlink" Target="https://www.bls.gov/ooh/computer-and-information-technology/information-security-analysts.htm" TargetMode="External" Id="rId2_hj-xmxo3ycwzpkzfswi" /><Relationship Type="http://schemas.openxmlformats.org/officeDocument/2006/relationships/hyperlink" Target="https://www.crowdstrike.com/en-us/services/falcon-complete-mdr/" TargetMode="External" Id="rIduisfsvtlvgqkwcou-pv_u" /><Relationship Type="http://schemas.openxmlformats.org/officeDocument/2006/relationships/hyperlink" Target="https://www.gartner.com/en/documents/7408930" TargetMode="External" Id="rId6b-c9h2tsfiossqckz8hq" /><Relationship Type="http://schemas.openxmlformats.org/officeDocument/2006/relationships/hyperlink" Target="https://www.bls.gov/ooh/computer-and-information-technology/computer-support-specialists.htm" TargetMode="External" Id="rIdrxc6at-fec9yty5ffd-67" /><Relationship Type="http://schemas.openxmlformats.org/officeDocument/2006/relationships/hyperlink" Target="https://www.bls.gov/ooh/computer-and-information-technology/information-security-analysts.htm" TargetMode="External" Id="rId58baizrrehtwwxwf7jirk" /><Relationship Type="http://schemas.openxmlformats.org/officeDocument/2006/relationships/hyperlink" Target="https://www.oecd.org/en/publications/generative-ai-and-the-sme-workforce_2d08b99d-en/full-report.html" TargetMode="External" Id="rIdu4rkdcfmjm5zpcay8cmjw" /><Relationship Type="http://schemas.openxmlformats.org/officeDocument/2006/relationships/hyperlink" Target="https://www.mckinsey.com/capabilities/quantumblack/our-insights/the-state-of-ai" TargetMode="External" Id="rIddlgl0-t82rg5w-zokkmwo" /><Relationship Type="http://schemas.openxmlformats.org/officeDocument/2006/relationships/hyperlink" Target="https://www.bls.gov/ooh/computer-and-information-technology/computer-support-specialists.htm" TargetMode="External" Id="rIdomgxkjv5hamsekwf5guea" /><Relationship Type="http://schemas.openxmlformats.org/officeDocument/2006/relationships/hyperlink" Target="https://www.bls.gov/ooh/computer-and-information-technology/information-security-analysts.htm" TargetMode="External" Id="rIdvq8hu5slcuy2oxzrunk3t" /><Relationship Type="http://schemas.openxmlformats.org/officeDocument/2006/relationships/hyperlink" Target="https://www.gartner.com/en/newsroom/press-releases/2026-07-27-gartner-forecasts-worldwide-it-spending-to-grow-14-point-2-percent-in-2026-totaling-6-point-37-trillion" TargetMode="External" Id="rIdia4-dmxhuhxqr0smmva_f" /><Relationship Type="http://schemas.openxmlformats.org/officeDocument/2006/relationships/hyperlink" Target="https://www.bain.com/insights/tech-services-cracking-the-code-on-ai-led-growth-technology-report-2026/" TargetMode="External" Id="rIdibsh6atbibgdjitlptzk4" /><Relationship Type="http://schemas.openxmlformats.org/officeDocument/2006/relationships/hyperlink" Target="https://www.forrester.com/report/the-state-of-technology-services-2026/RES192217" TargetMode="External" Id="rIdtnpnrdbam69qn9pwc5rjs" /><Relationship Type="http://schemas.openxmlformats.org/officeDocument/2006/relationships/hyperlink" Target="https://www.oecd.org/en/publications/generative-ai-and-the-sme-workforce_2d08b99d-en/full-report.html" TargetMode="External" Id="rIdy8gbkolnyob1qfuxxr16h" /><Relationship Type="http://schemas.openxmlformats.org/officeDocument/2006/relationships/hyperlink" Target="https://www.bain.com/insights/tech-services-cracking-the-code-on-ai-led-growth-technology-report-2026/" TargetMode="External" Id="rId0c_n_9c1y0j4nme7ziy41" /><Relationship Type="http://schemas.openxmlformats.org/officeDocument/2006/relationships/hyperlink" Target="https://aws.amazon.com/about-aws/whats-new/2026/03/aws-devops-agent-generally-available/" TargetMode="External" Id="rId_6l3qlro2cwii6kt0se7t" /><Relationship Type="http://schemas.openxmlformats.org/officeDocument/2006/relationships/hyperlink" Target="https://docs.aws.amazon.com/managedservices/latest/accelerate-guide/acc-what-is.html" TargetMode="External" Id="rId9w0mqgng4-r_kzeljsdpd" /><Relationship Type="http://schemas.openxmlformats.org/officeDocument/2006/relationships/hyperlink" Target="https://cloud.google.com/blog/products/application-development/gemini-cloud-assist-at-next26" TargetMode="External" Id="rIdj82iltzr_wldd5ba52-te" /><Relationship Type="http://schemas.openxmlformats.org/officeDocument/2006/relationships/hyperlink" Target="https://newsroom.servicenow.com/press-releases/details/2026/ServiceNow-brings-Autonomous-Workforce-to-every-major-business-function/default.aspx" TargetMode="External" Id="rIdpptsls6bi9lpgupxtpefy" /><Relationship Type="http://schemas.openxmlformats.org/officeDocument/2006/relationships/hyperlink" Target="https://www.bls.gov/ooh/computer-and-information-technology/information-security-analysts.htm" TargetMode="External" Id="rIdwd-jiykio7laeawdrpjk9" /><Relationship Type="http://schemas.openxmlformats.org/officeDocument/2006/relationships/hyperlink" Target="https://www.gartner.com/en/documents/7408930" TargetMode="External" Id="rIdls1qs4rnkwiadr2_8-ahx" /><Relationship Type="http://schemas.openxmlformats.org/officeDocument/2006/relationships/hyperlink" Target="https://www.microsoft.com/en-us/security/blog/2025/11/18/ambient-and-autonomous-security-for-the-agentic-era/" TargetMode="External" Id="rIdkv6pyrohy29zrtsoiz4et" /><Relationship Type="http://schemas.openxmlformats.org/officeDocument/2006/relationships/hyperlink" Target="https://www.crowdstrike.com/en-us/services/falcon-complete-mdr/" TargetMode="External" Id="rIddyfzf4bdsh_cjdnip3o2u" /><Relationship Type="http://schemas.openxmlformats.org/officeDocument/2006/relationships/hyperlink" Target="https://learn.microsoft.com/en-us/defender-xdr/phishing-triage-agent" TargetMode="External" Id="rIdbigeeciexvkxelxyw142k" /><Relationship Type="http://schemas.openxmlformats.org/officeDocument/2006/relationships/hyperlink" Target="https://www.cisa.gov/news-events/cybersecurity-advisories/aa22-131a" TargetMode="External" Id="rIdrzryynqlgprhij2rkpugt" /><Relationship Type="http://schemas.openxmlformats.org/officeDocument/2006/relationships/hyperlink" Target="https://eur-lex.europa.eu/eli/dir/2022/2555/oj/eng" TargetMode="External" Id="rIdzea8ee_mbt2gjzf8hnojk" /><Relationship Type="http://schemas.openxmlformats.org/officeDocument/2006/relationships/hyperlink" Target="https://ir.rackspace.com/news-releases/news-release-details/rackspace-technology-reports-fourth-quarter-and-full-year-2025" TargetMode="External" Id="rIdi6xuznevjodabaxtd8ulr" /><Relationship Type="http://schemas.openxmlformats.org/officeDocument/2006/relationships/hyperlink" Target="https://investors.xerox.com/news-releases/news-release-details/xerox-releases-fourth-quarter-and-full-year-results-2" TargetMode="External" Id="rId7xrbv5ahd9wkfvswheaev" /><Relationship Type="http://schemas.openxmlformats.org/officeDocument/2006/relationships/hyperlink" Target="https://www.sec.gov/Archives/edgar/data/1085734/000119312510215765/d8k.htm" TargetMode="External" Id="rIdyeetzrbvg8j0h_pkyjcvo" /><Relationship Type="http://schemas.openxmlformats.org/officeDocument/2006/relationships/hyperlink" Target="https://www.connectwise.com/company/press/releases/service-leadership-report-reveals-historic-growth-for-it-solution-providers-and-the-operational-factors-defining-this-economic-shift" TargetMode="External" Id="rId1mjnc2gc2td69nptprpea" /><Relationship Type="http://schemas.openxmlformats.org/officeDocument/2006/relationships/hyperlink" Target="https://ir.isg-one.com/news-market-information/press-releases/news-details/2026/Global-Tech-Services-Market-Grows-at-Fastest-Pace-Ever-in-Q2-Propelled-by-Soaring-AI-Demand-ISG-Index/default.aspx" TargetMode="External" Id="rIddt0zk0oj31t8qtu2f-6tz" /><Relationship Type="http://schemas.openxmlformats.org/officeDocument/2006/relationships/hyperlink" Target="https://www.gartner.com/en/newsroom/press-releases/2026-07-27-gartner-forecasts-worldwide-it-spending-to-grow-14-point-2-percent-in-2026-totaling-6-point-37-trillion" TargetMode="External" Id="rIdskdwm7ouxcsmuzvzohytc" /><Relationship Type="http://schemas.openxmlformats.org/officeDocument/2006/relationships/hyperlink" Target="https://www.gartner.com/en/newsroom/press-releases/2025-06-25-gartner-predicts-over-40-percent-of-agentic-ai-projects-will-be-canceled-by-end-of-2027" TargetMode="External" Id="rIdr2unqpqglcovjdv0ziw4a" /><Relationship Type="http://schemas.openxmlformats.org/officeDocument/2006/relationships/hyperlink" Target="https://www.nber.org/papers/w31161" TargetMode="External" Id="rId5mbrc6nvdpz6nlptqgtl7" /><Relationship Type="http://schemas.openxmlformats.org/officeDocument/2006/relationships/hyperlink" Target="https://www.bls.gov/ooh/computer-and-information-technology/computer-support-specialists.htm" TargetMode="External" Id="rIdpchgmgfvemkx96pet4dyq" /><Relationship Type="http://schemas.openxmlformats.org/officeDocument/2006/relationships/hyperlink" Target="https://www.connectwise.com/company/press/releases/service-leadership-report-reveals-historic-growth-for-it-solution-providers-and-the-operational-factors-defining-this-economic-shift" TargetMode="External" Id="rIdq8n1lhocpdaipcx497ekq" /><Relationship Type="http://schemas.openxmlformats.org/officeDocument/2006/relationships/hyperlink" Target="https://www.pwc.com/gx/en/services/deals/trends.html" TargetMode="External" Id="rIdjf3mdvqetqcyn6piqvoyb" /><Relationship Type="http://schemas.openxmlformats.org/officeDocument/2006/relationships/hyperlink" Target="https://www.microsoft.com/investor/reports/ar25/index.html" TargetMode="External" Id="rIdjzs6_hlr1kdk_jbohyzc8" /><Relationship Type="http://schemas.openxmlformats.org/officeDocument/2006/relationships/hyperlink" Target="https://www.microsoft.com/en-us/Investor/earnings/FY-2026-Q4/press-release-webcast" TargetMode="External" Id="rIduhfe3wi9crs3cnvcqf4jw" /><Relationship Type="http://schemas.openxmlformats.org/officeDocument/2006/relationships/hyperlink" Target="https://www.microsoft.com/en-us/investor/events/fy-2026/earnings-fy-2026-q4" TargetMode="External" Id="rIdtupuvox8vsa99zfxnbyz5" /><Relationship Type="http://schemas.openxmlformats.org/officeDocument/2006/relationships/hyperlink" Target="https://learn.microsoft.com/en-us/microsoft-agent-365/builder/overview" TargetMode="External" Id="rIdwuvbmdtclhisxcuo6reoy" /><Relationship Type="http://schemas.openxmlformats.org/officeDocument/2006/relationships/hyperlink" Target="https://learn.microsoft.com/en-us/microsoft-copilot-studio/guidance/autonomous-agents" TargetMode="External" Id="rIdnb2x58j75fjxfc4qlsdzi" /><Relationship Type="http://schemas.openxmlformats.org/officeDocument/2006/relationships/hyperlink" Target="https://www.microsoft.com/en-us/security/blog/2025/11/18/ambient-and-autonomous-security-for-the-agentic-era/" TargetMode="External" Id="rIdner7q1haqhgiyrlvisxyc" /><Relationship Type="http://schemas.openxmlformats.org/officeDocument/2006/relationships/hyperlink" Target="https://learn.microsoft.com/en-us/defender-xdr/phishing-triage-agent" TargetMode="External" Id="rIdw4iz3m5ck25wro55oqdc5" /><Relationship Type="http://schemas.openxmlformats.org/officeDocument/2006/relationships/hyperlink" Target="https://partner.microsoft.com/en-us/blog/article/whats-new-for-partners-2026-issue-3" TargetMode="External" Id="rIdhh7harrdsmhe-mfv6hnmz" /><Relationship Type="http://schemas.openxmlformats.org/officeDocument/2006/relationships/hyperlink" Target="https://partner.microsoft.com/en-us/blog/article/agent-365-announcement" TargetMode="External" Id="rIdcgasldwggir34ulmwqdka" /><Relationship Type="http://schemas.openxmlformats.org/officeDocument/2006/relationships/hyperlink" Target="https://learn.microsoft.com/en-us/partner-center/announcements/2026-september" TargetMode="External" Id="rIdtp1a5oqs6ediu1dghcxyl" /><Relationship Type="http://schemas.openxmlformats.org/officeDocument/2006/relationships/hyperlink" Target="https://www.gartner.com/en/newsroom/press-releases/2025-03-05-gartner-predicts-agentic-ai-will-autonomously-resolve-80-percent-of-common-customer-service-issues-without-human-intervention-by-20290" TargetMode="External" Id="rIdd4clxo3phqhkhati_lacm" /><Relationship Type="http://schemas.openxmlformats.org/officeDocument/2006/relationships/hyperlink" Target="https://www.nber.org/papers/w31161" TargetMode="External" Id="rIdgntnnisx8qs-mhsohq207" /><Relationship Type="http://schemas.openxmlformats.org/officeDocument/2006/relationships/hyperlink" Target="https://www.microsoft.com/en-us/security/blog/2025/11/18/ambient-and-autonomous-security-for-the-agentic-era/" TargetMode="External" Id="rId2vhx5e1bgrq0ieofe5kb3" /><Relationship Type="http://schemas.openxmlformats.org/officeDocument/2006/relationships/hyperlink" Target="https://aws.amazon.com/about-aws/whats-new/2026/03/aws-devops-agent-generally-available/" TargetMode="External" Id="rIdxznr5fe0etstgdvg5wqsu" /><Relationship Type="http://schemas.openxmlformats.org/officeDocument/2006/relationships/hyperlink" Target="https://newsroom.servicenow.com/press-releases/details/2026/ServiceNow-brings-Autonomous-Workforce-to-every-major-business-function/default.aspx" TargetMode="External" Id="rIdnasxea6qnk4oeeoqhhb45" /><Relationship Type="http://schemas.openxmlformats.org/officeDocument/2006/relationships/hyperlink" Target="https://learn.microsoft.com/en-us/microsoft-agent-365/builder/overview" TargetMode="External" Id="rIdrpvlwtfboyi6t6_ovgntk" /><Relationship Type="http://schemas.openxmlformats.org/officeDocument/2006/relationships/hyperlink" Target="https://aws.amazon.com/about-aws/whats-new/2026/03/aws-devops-agent-generally-available/" TargetMode="External" Id="rIdj_sykowmhmf473qybsqob" /><Relationship Type="http://schemas.openxmlformats.org/officeDocument/2006/relationships/hyperlink" Target="https://cloud.google.com/blog/products/application-development/gemini-cloud-assist-at-next26" TargetMode="External" Id="rIdgjlfzbdanccv2g5jmyxpz" /><Relationship Type="http://schemas.openxmlformats.org/officeDocument/2006/relationships/hyperlink" Target="https://www.deloitte.com/us/en/insights/topics/emerging-technologies/ai-agents-scaling-faster.html" TargetMode="External" Id="rId8md6znbvcqeirb0in6cqa" /><Relationship Type="http://schemas.openxmlformats.org/officeDocument/2006/relationships/hyperlink" Target="https://nvlpubs.nist.gov/nistpubs/ai/NIST.AI.600-1.pdf" TargetMode="External" Id="rIdnbky-n0-cghfrfhs_1ts3" /><Relationship Type="http://schemas.openxmlformats.org/officeDocument/2006/relationships/hyperlink" Target="https://www.weforum.org/publications/the-future-of-jobs-report-2025/digest/" TargetMode="External" Id="rIdqqi-_sb_nlbkodv_q3m3u" /><Relationship Type="http://schemas.openxmlformats.org/officeDocument/2006/relationships/hyperlink" Target="https://www.cisa.gov/news-events/cybersecurity-advisories/aa22-131a" TargetMode="External" Id="rIdtz8zuttxq9sqag9zynyu0" /><Relationship Type="http://schemas.openxmlformats.org/officeDocument/2006/relationships/hyperlink" Target="https://www.gartner.com/en/newsroom/press-releases/2025-06-25-gartner-predicts-over-40-percent-of-agentic-ai-projects-will-be-canceled-by-end-of-2027" TargetMode="External" Id="rIdd0nfa7d0bqwkbpmdb0mka" /><Relationship Type="http://schemas.openxmlformats.org/officeDocument/2006/relationships/hyperlink" Target="https://www.oecd.org/en/publications/generative-ai-and-the-sme-workforce_2d08b99d-en/full-report.html" TargetMode="External" Id="rIda3d0e6fkne9zfsxxqz8fg" /><Relationship Type="http://schemas.openxmlformats.org/officeDocument/2006/relationships/hyperlink" Target="https://www.bls.gov/ooh/computer-and-information-technology/information-security-analysts.htm" TargetMode="External" Id="rIdiynmnwtnhwt7cisa24mct" /><Relationship Type="http://schemas.openxmlformats.org/officeDocument/2006/relationships/hyperlink" Target="https://nvlpubs.nist.gov/nistpubs/ai/NIST.AI.600-1.pdf" TargetMode="External" Id="rIdwk8iarucwfs1kcakdyc-l" /><Relationship Type="http://schemas.openxmlformats.org/officeDocument/2006/relationships/hyperlink" Target="https://eur-lex.europa.eu/eli/dir/2022/2555/oj/eng" TargetMode="External" Id="rIdxgitntry_i2bsmbrzjd9l" /><Relationship Type="http://schemas.openxmlformats.org/officeDocument/2006/relationships/hyperlink" Target="https://www.gartner.com/en/documents/7408930" TargetMode="External" Id="rId3xoqoqyietptntifm5esy" /><Relationship Type="http://schemas.openxmlformats.org/officeDocument/2006/relationships/hyperlink" Target="https://partner.microsoft.com/en-us/blog/article/whats-new-for-partners-2026-issue-3" TargetMode="External" Id="rIdarbxf9bf6hk-o1qt0lfkd" /><Relationship Type="http://schemas.openxmlformats.org/officeDocument/2006/relationships/hyperlink" Target="https://partner.microsoft.com/en-us/blog/article/agent-365-announcement" TargetMode="External" Id="rIdo0pecmnjnxbw9ozmkbx33" /><Relationship Type="http://schemas.openxmlformats.org/officeDocument/2006/relationships/hyperlink" Target="https://learn.microsoft.com/en-us/partner-center/announcements/2026-september" TargetMode="External" Id="rId8mz4kccclpfdfr0-t6xov" /><Relationship Type="http://schemas.openxmlformats.org/officeDocument/2006/relationships/hyperlink" Target="https://learn.microsoft.com/en-us/microsoft-agent-365/builder/overview" TargetMode="External" Id="rIdakqt6cbrfsnc_eayqrvng" /><Relationship Type="http://schemas.openxmlformats.org/officeDocument/2006/relationships/hyperlink" Target="https://aws.amazon.com/about-aws/whats-new/2026/03/aws-devops-agent-generally-available/" TargetMode="External" Id="rIdpo2ivbhkdrgsoe6e7dkfz" /><Relationship Type="http://schemas.openxmlformats.org/officeDocument/2006/relationships/hyperlink" Target="https://cloud.google.com/blog/products/application-development/gemini-cloud-assist-at-next26" TargetMode="External" Id="rIdbks66aasne70agqvmxqod" /><Relationship Type="http://schemas.openxmlformats.org/officeDocument/2006/relationships/hyperlink" Target="https://newsroom.servicenow.com/press-releases/details/2026/ServiceNow-brings-Autonomous-Workforce-to-every-major-business-function/default.aspx" TargetMode="External" Id="rIdzd6wlm2-9fhkbidtf3zfz" /><Relationship Type="http://schemas.openxmlformats.org/officeDocument/2006/relationships/hyperlink" Target="https://www.bain.com/insights/tech-services-cracking-the-code-on-ai-led-growth-technology-report-2026/" TargetMode="External" Id="rIdwesgq7g7fiod-i751ujat" /><Relationship Type="http://schemas.openxmlformats.org/officeDocument/2006/relationships/hyperlink" Target="https://www.microsoft.com/en-us/security/blog/2025/11/18/ambient-and-autonomous-security-for-the-agentic-era/" TargetMode="External" Id="rId7xdzncko9nrkq9ro4weno" /><Relationship Type="http://schemas.openxmlformats.org/officeDocument/2006/relationships/hyperlink" Target="https://www.crowdstrike.com/en-us/services/falcon-complete-mdr/" TargetMode="External" Id="rIdeozczx-d7oq711rdhgi9t" /><Relationship Type="http://schemas.openxmlformats.org/officeDocument/2006/relationships/hyperlink" Target="https://www.cisa.gov/news-events/cybersecurity-advisories/aa22-131a" TargetMode="External" Id="rIdieuwxtraa9wnikxtk0mly" /><Relationship Type="http://schemas.openxmlformats.org/officeDocument/2006/relationships/hyperlink" Target="https://www.connectwise.com/company/press/releases/service-leadership-report-reveals-historic-growth-for-it-solution-providers-and-the-operational-factors-defining-this-economic-shift" TargetMode="External" Id="rId3oa1ksojcba-od3xgzwq6" /><Relationship Type="http://schemas.openxmlformats.org/officeDocument/2006/relationships/hyperlink" Target="https://www.connectwise.com/company/press/releases/service-leadership-report-reveals-historic-growth-for-it-solution-providers-and-the-operational-factors-defining-this-economic-shift" TargetMode="External" Id="rId_v3wxogwvt5ru09po1hxw" /><Relationship Type="http://schemas.openxmlformats.org/officeDocument/2006/relationships/hyperlink" Target="https://www.connectwise.com/company/press/releases/service-leadership-announces-findings-of-its-annual-it-solution-provider-industry-profitability-report" TargetMode="External" Id="rIdbxq03xvowt1oypugtm6li" /><Relationship Type="http://schemas.openxmlformats.org/officeDocument/2006/relationships/hyperlink" Target="https://www.connectwise.com/company/press/releases/service-leadership-announces-findings-of-its-annual-it-solution-provider-industry-profitability-report" TargetMode="External" Id="rIdoee-blahc8d9o0ku5svsx" /><Relationship Type="http://schemas.openxmlformats.org/officeDocument/2006/relationships/hyperlink" Target="https://omdia.tech.informa.com/insights/2025/canalys-msp-trends-and-predictions-2025" TargetMode="External" Id="rIdexa0721ly6-_5--1h4-xz" /><Relationship Type="http://schemas.openxmlformats.org/officeDocument/2006/relationships/hyperlink" Target="https://omdia.tech.informa.com/insights/2025/canalys-msp-trends-and-predictions-2025" TargetMode="External" Id="rIdftul1h7ijhpzpp6ppzm8u" /><Relationship Type="http://schemas.openxmlformats.org/officeDocument/2006/relationships/hyperlink" Target="https://ir.isg-one.com/news-market-information/press-releases/news-details/2026/Global-Tech-Services-Market-Grows-at-Fastest-Pace-Ever-in-Q2-Propelled-by-Soaring-AI-Demand-ISG-Index/default.aspx" TargetMode="External" Id="rIdrrxfdglh-y35qivjxtari" /><Relationship Type="http://schemas.openxmlformats.org/officeDocument/2006/relationships/hyperlink" Target="https://ir.isg-one.com/news-market-information/press-releases/news-details/2026/Global-Tech-Services-Market-Grows-at-Fastest-Pace-Ever-in-Q2-Propelled-by-Soaring-AI-Demand-ISG-Index/default.aspx" TargetMode="External" Id="rIdgbmxzqvlaggcsrnp0-am7" /><Relationship Type="http://schemas.openxmlformats.org/officeDocument/2006/relationships/hyperlink" Target="https://www.gartner.com/en/newsroom/press-releases/2026-07-27-gartner-forecasts-worldwide-it-spending-to-grow-14-point-2-percent-in-2026-totaling-6-point-37-trillion" TargetMode="External" Id="rIdi0kwaziys7s5m6_dprcch" /><Relationship Type="http://schemas.openxmlformats.org/officeDocument/2006/relationships/hyperlink" Target="https://www.gartner.com/en/newsroom/press-releases/2026-07-27-gartner-forecasts-worldwide-it-spending-to-grow-14-point-2-percent-in-2026-totaling-6-point-37-trillion" TargetMode="External" Id="rIdoh4_tyq6k4lokeedvml88" /><Relationship Type="http://schemas.openxmlformats.org/officeDocument/2006/relationships/hyperlink" Target="https://www.gartner.com/en/newsroom/press-releases/2025-03-05-gartner-predicts-agentic-ai-will-autonomously-resolve-80-percent-of-common-customer-service-issues-without-human-intervention-by-20290" TargetMode="External" Id="rIdoos9_dtaftd6d2eeadz36" /><Relationship Type="http://schemas.openxmlformats.org/officeDocument/2006/relationships/hyperlink" Target="https://www.gartner.com/en/newsroom/press-releases/2025-03-05-gartner-predicts-agentic-ai-will-autonomously-resolve-80-percent-of-common-customer-service-issues-without-human-intervention-by-20290" TargetMode="External" Id="rIdvdnwlthdgmrc6tokx8gkk" /><Relationship Type="http://schemas.openxmlformats.org/officeDocument/2006/relationships/hyperlink" Target="https://www.gartner.com/en/newsroom/press-releases/2025-06-25-gartner-predicts-over-40-percent-of-agentic-ai-projects-will-be-canceled-by-end-of-2027" TargetMode="External" Id="rIdr1rgvyutdso-sd5pfbb3h" /><Relationship Type="http://schemas.openxmlformats.org/officeDocument/2006/relationships/hyperlink" Target="https://www.gartner.com/en/newsroom/press-releases/2025-06-25-gartner-predicts-over-40-percent-of-agentic-ai-projects-will-be-canceled-by-end-of-2027" TargetMode="External" Id="rIdjaebuf4y-n-qzvqdlrsec" /><Relationship Type="http://schemas.openxmlformats.org/officeDocument/2006/relationships/hyperlink" Target="https://www.nber.org/papers/w31161" TargetMode="External" Id="rIdtai-6jchelrlnyrpfiswl" /><Relationship Type="http://schemas.openxmlformats.org/officeDocument/2006/relationships/hyperlink" Target="https://www.nber.org/papers/w31161" TargetMode="External" Id="rId1pzux0rmcbmqv0upxdcrb" /><Relationship Type="http://schemas.openxmlformats.org/officeDocument/2006/relationships/hyperlink" Target="https://www.bls.gov/ooh/computer-and-information-technology/computer-support-specialists.htm" TargetMode="External" Id="rIdgdw_u8ugzjtu4ljj-6zuc" /><Relationship Type="http://schemas.openxmlformats.org/officeDocument/2006/relationships/hyperlink" Target="https://www.bls.gov/ooh/computer-and-information-technology/computer-support-specialists.htm" TargetMode="External" Id="rIdtvsknaurgxrwmdf2gub7o" /><Relationship Type="http://schemas.openxmlformats.org/officeDocument/2006/relationships/hyperlink" Target="https://www.bls.gov/ooh/computer-and-information-technology/information-security-analysts.htm" TargetMode="External" Id="rIdczl9zqkwwe_zyhnc-zmdd" /><Relationship Type="http://schemas.openxmlformats.org/officeDocument/2006/relationships/hyperlink" Target="https://www.bls.gov/ooh/computer-and-information-technology/information-security-analysts.htm" TargetMode="External" Id="rIdpvibjbkhqmmy5eqpojbsb" /><Relationship Type="http://schemas.openxmlformats.org/officeDocument/2006/relationships/hyperlink" Target="https://www.weforum.org/publications/the-future-of-jobs-report-2025/digest/" TargetMode="External" Id="rIdrkrael_xdn6ovhrkjev2k" /><Relationship Type="http://schemas.openxmlformats.org/officeDocument/2006/relationships/hyperlink" Target="https://www.weforum.org/publications/the-future-of-jobs-report-2025/digest/" TargetMode="External" Id="rIdfahc7kwyx6njkauwr3sjk" /><Relationship Type="http://schemas.openxmlformats.org/officeDocument/2006/relationships/hyperlink" Target="https://www.oecd.org/en/publications/generative-ai-and-the-sme-workforce_2d08b99d-en/full-report.html" TargetMode="External" Id="rIdwmlakkn3wiifceuafrepx" /><Relationship Type="http://schemas.openxmlformats.org/officeDocument/2006/relationships/hyperlink" Target="https://www.oecd.org/en/publications/generative-ai-and-the-sme-workforce_2d08b99d-en/full-report.html" TargetMode="External" Id="rIdodixrxybibzrojhlihth4" /><Relationship Type="http://schemas.openxmlformats.org/officeDocument/2006/relationships/hyperlink" Target="https://www.mckinsey.com/capabilities/quantumblack/our-insights/the-state-of-ai" TargetMode="External" Id="rIdyyfeowm_i2r41upkavs_y" /><Relationship Type="http://schemas.openxmlformats.org/officeDocument/2006/relationships/hyperlink" Target="https://www.mckinsey.com/capabilities/quantumblack/our-insights/the-state-of-ai" TargetMode="External" Id="rIdamd4uz5mss2qm0vx-xkxo" /><Relationship Type="http://schemas.openxmlformats.org/officeDocument/2006/relationships/hyperlink" Target="https://www.deloitte.com/us/en/insights/topics/emerging-technologies/ai-agents-scaling-faster.html" TargetMode="External" Id="rIdpbxh7i6vkimmiz3rl6qdj" /><Relationship Type="http://schemas.openxmlformats.org/officeDocument/2006/relationships/hyperlink" Target="https://www.deloitte.com/us/en/insights/topics/emerging-technologies/ai-agents-scaling-faster.html" TargetMode="External" Id="rId1vftfywmeajgpd0ty8xfp" /><Relationship Type="http://schemas.openxmlformats.org/officeDocument/2006/relationships/hyperlink" Target="https://www.bain.com/insights/tech-services-cracking-the-code-on-ai-led-growth-technology-report-2026/" TargetMode="External" Id="rIdnl7pl11bufjbnxmeusvf0" /><Relationship Type="http://schemas.openxmlformats.org/officeDocument/2006/relationships/hyperlink" Target="https://www.bain.com/insights/tech-services-cracking-the-code-on-ai-led-growth-technology-report-2026/" TargetMode="External" Id="rIdhnpqikqcrpztyz2plr1yq" /><Relationship Type="http://schemas.openxmlformats.org/officeDocument/2006/relationships/hyperlink" Target="https://www.microsoft.com/investor/reports/ar25/index.html" TargetMode="External" Id="rIdiehxbzc0g5_1ykqdmfvnh" /><Relationship Type="http://schemas.openxmlformats.org/officeDocument/2006/relationships/hyperlink" Target="https://www.microsoft.com/investor/reports/ar25/index.html" TargetMode="External" Id="rIdpyddwf8xae1dh_-v85msv" /><Relationship Type="http://schemas.openxmlformats.org/officeDocument/2006/relationships/hyperlink" Target="https://www.microsoft.com/en-us/Investor/earnings/FY-2026-Q4/press-release-webcast" TargetMode="External" Id="rIdx8jm8ne9jmncuejuri5wv" /><Relationship Type="http://schemas.openxmlformats.org/officeDocument/2006/relationships/hyperlink" Target="https://www.microsoft.com/en-us/Investor/earnings/FY-2026-Q4/press-release-webcast" TargetMode="External" Id="rIdmouri4mvt5cexcphtbtff" /><Relationship Type="http://schemas.openxmlformats.org/officeDocument/2006/relationships/hyperlink" Target="https://www.microsoft.com/en-us/investor/events/fy-2026/earnings-fy-2026-q4" TargetMode="External" Id="rIdi-bzqd_sctyqz7itidjh3" /><Relationship Type="http://schemas.openxmlformats.org/officeDocument/2006/relationships/hyperlink" Target="https://www.microsoft.com/en-us/investor/events/fy-2026/earnings-fy-2026-q4" TargetMode="External" Id="rIdl5_dhlnexgrsom2ab993r" /><Relationship Type="http://schemas.openxmlformats.org/officeDocument/2006/relationships/hyperlink" Target="https://www.microsoft.com/en-us/copilot/blog/2025/11/18/microsoft-ignite-2025-copilot-and-agents-built-to-power-the-frontier-firm/" TargetMode="External" Id="rId8pse3idovysvh0tzm0wmj" /><Relationship Type="http://schemas.openxmlformats.org/officeDocument/2006/relationships/hyperlink" Target="https://www.microsoft.com/en-us/copilot/blog/2025/11/18/microsoft-ignite-2025-copilot-and-agents-built-to-power-the-frontier-firm/" TargetMode="External" Id="rIdx76z-jguiyctrn4oyzbur" /><Relationship Type="http://schemas.openxmlformats.org/officeDocument/2006/relationships/hyperlink" Target="https://learn.microsoft.com/en-us/microsoft-agent-365/builder/overview" TargetMode="External" Id="rId7_xtvf-5vpnijp9e6ritj" /><Relationship Type="http://schemas.openxmlformats.org/officeDocument/2006/relationships/hyperlink" Target="https://learn.microsoft.com/en-us/microsoft-agent-365/builder/overview" TargetMode="External" Id="rIdbrxhsenomxpegzqvotkqh" /><Relationship Type="http://schemas.openxmlformats.org/officeDocument/2006/relationships/hyperlink" Target="https://learn.microsoft.com/en-us/microsoft-copilot-studio/guidance/autonomous-agents" TargetMode="External" Id="rIdbjrjgq2iloqculolquf2y" /><Relationship Type="http://schemas.openxmlformats.org/officeDocument/2006/relationships/hyperlink" Target="https://learn.microsoft.com/en-us/microsoft-copilot-studio/guidance/autonomous-agents" TargetMode="External" Id="rIdwcx4l6mavri3s6fikqy3z" /><Relationship Type="http://schemas.openxmlformats.org/officeDocument/2006/relationships/hyperlink" Target="https://www.microsoft.com/en-us/security/blog/2025/11/18/ambient-and-autonomous-security-for-the-agentic-era/" TargetMode="External" Id="rIdop1v-jquvj5uj88jdpb7d" /><Relationship Type="http://schemas.openxmlformats.org/officeDocument/2006/relationships/hyperlink" Target="https://www.microsoft.com/en-us/security/blog/2025/11/18/ambient-and-autonomous-security-for-the-agentic-era/" TargetMode="External" Id="rId5gq5xphevjiaylh5gvphh" /><Relationship Type="http://schemas.openxmlformats.org/officeDocument/2006/relationships/hyperlink" Target="https://partner.microsoft.com/en-us/blog/article/whats-new-for-partners-2026-issue-3" TargetMode="External" Id="rIdo2xgnwnp4cksyqrgez9hd" /><Relationship Type="http://schemas.openxmlformats.org/officeDocument/2006/relationships/hyperlink" Target="https://partner.microsoft.com/en-us/blog/article/whats-new-for-partners-2026-issue-3" TargetMode="External" Id="rIdvojkwum2s4zlztplqnu2a" /><Relationship Type="http://schemas.openxmlformats.org/officeDocument/2006/relationships/hyperlink" Target="https://partner.microsoft.com/en-us/blog/article/agent-365-announcement" TargetMode="External" Id="rIdt7nneqp7jcibddlm4x0dn" /><Relationship Type="http://schemas.openxmlformats.org/officeDocument/2006/relationships/hyperlink" Target="https://partner.microsoft.com/en-us/blog/article/agent-365-announcement" TargetMode="External" Id="rIdknvc4gwvsngir31vw5eqy" /><Relationship Type="http://schemas.openxmlformats.org/officeDocument/2006/relationships/hyperlink" Target="https://aws.amazon.com/about-aws/whats-new/2026/03/aws-devops-agent-generally-available/" TargetMode="External" Id="rIdhhzjunxd7zeklzqs1tich" /><Relationship Type="http://schemas.openxmlformats.org/officeDocument/2006/relationships/hyperlink" Target="https://aws.amazon.com/about-aws/whats-new/2026/03/aws-devops-agent-generally-available/" TargetMode="External" Id="rIdqwsfaqheqacaysx3c2a0c" /><Relationship Type="http://schemas.openxmlformats.org/officeDocument/2006/relationships/hyperlink" Target="https://docs.aws.amazon.com/managedservices/latest/accelerate-guide/acc-what-is.html" TargetMode="External" Id="rId5stwmzmjlodxxr6c2qpk-" /><Relationship Type="http://schemas.openxmlformats.org/officeDocument/2006/relationships/hyperlink" Target="https://docs.aws.amazon.com/managedservices/latest/accelerate-guide/acc-what-is.html" TargetMode="External" Id="rIdoxuq-zqby6sugbpcuggaq" /><Relationship Type="http://schemas.openxmlformats.org/officeDocument/2006/relationships/hyperlink" Target="https://cloud.google.com/blog/products/application-development/gemini-cloud-assist-at-next26" TargetMode="External" Id="rIdgjptrqzjurjw9kig8wska" /><Relationship Type="http://schemas.openxmlformats.org/officeDocument/2006/relationships/hyperlink" Target="https://cloud.google.com/blog/products/application-development/gemini-cloud-assist-at-next26" TargetMode="External" Id="rId-c7xz2f1_oapizrovg3si" /><Relationship Type="http://schemas.openxmlformats.org/officeDocument/2006/relationships/hyperlink" Target="https://newsroom.servicenow.com/press-releases/details/2026/ServiceNow-brings-Autonomous-Workforce-to-every-major-business-function/default.aspx" TargetMode="External" Id="rIdfhxx2yzi6rkqzryylxdlb" /><Relationship Type="http://schemas.openxmlformats.org/officeDocument/2006/relationships/hyperlink" Target="https://newsroom.servicenow.com/press-releases/details/2026/ServiceNow-brings-Autonomous-Workforce-to-every-major-business-function/default.aspx" TargetMode="External" Id="rIdcovwvamljjqvag_vas92o" /><Relationship Type="http://schemas.openxmlformats.org/officeDocument/2006/relationships/hyperlink" Target="https://www.crowdstrike.com/en-us/services/falcon-complete-mdr/" TargetMode="External" Id="rIdqjzlw2vmaekv6onkbsfsz" /><Relationship Type="http://schemas.openxmlformats.org/officeDocument/2006/relationships/hyperlink" Target="https://www.crowdstrike.com/en-us/services/falcon-complete-mdr/" TargetMode="External" Id="rIdukv0oj4lstpxfm6usul2c" /><Relationship Type="http://schemas.openxmlformats.org/officeDocument/2006/relationships/hyperlink" Target="https://www.cisa.gov/news-events/cybersecurity-advisories/aa22-131a" TargetMode="External" Id="rIdfrzreykyacap-g3wfuy-o" /><Relationship Type="http://schemas.openxmlformats.org/officeDocument/2006/relationships/hyperlink" Target="https://www.cisa.gov/news-events/cybersecurity-advisories/aa22-131a" TargetMode="External" Id="rIdzoojzjrshl-rir7qiws3v" /><Relationship Type="http://schemas.openxmlformats.org/officeDocument/2006/relationships/hyperlink" Target="https://nvlpubs.nist.gov/nistpubs/ai/NIST.AI.600-1.pdf" TargetMode="External" Id="rIdu0nc8f-ktgc-xsrqyudgn" /><Relationship Type="http://schemas.openxmlformats.org/officeDocument/2006/relationships/hyperlink" Target="https://nvlpubs.nist.gov/nistpubs/ai/NIST.AI.600-1.pdf" TargetMode="External" Id="rIdlhovoejhflnfbnqgqc7zc" /><Relationship Type="http://schemas.openxmlformats.org/officeDocument/2006/relationships/hyperlink" Target="https://eur-lex.europa.eu/eli/dir/2022/2555/oj/eng" TargetMode="External" Id="rId0zvcbodjs5nnoprofc8gl" /><Relationship Type="http://schemas.openxmlformats.org/officeDocument/2006/relationships/hyperlink" Target="https://eur-lex.europa.eu/eli/dir/2022/2555/oj/eng" TargetMode="External" Id="rIduh5_fb56dqzeyog3abz0i" /><Relationship Type="http://schemas.openxmlformats.org/officeDocument/2006/relationships/hyperlink" Target="https://newsroom.accenture.com/content/2qfy26-earnings/accenture-reports-second-quarter-fiscal-2026-results.pdf" TargetMode="External" Id="rIdbrdfpsljmxjlw9ig8qvus" /><Relationship Type="http://schemas.openxmlformats.org/officeDocument/2006/relationships/hyperlink" Target="https://newsroom.accenture.com/content/2qfy26-earnings/accenture-reports-second-quarter-fiscal-2026-results.pdf" TargetMode="External" Id="rId6on7ygtxgteewxsvcmmgx" /><Relationship Type="http://schemas.openxmlformats.org/officeDocument/2006/relationships/hyperlink" Target="https://ir.rackspace.com/news-releases/news-release-details/rackspace-technology-reports-fourth-quarter-and-full-year-2025" TargetMode="External" Id="rId4nyr1f5hfexlzg0tbwl8x" /><Relationship Type="http://schemas.openxmlformats.org/officeDocument/2006/relationships/hyperlink" Target="https://ir.rackspace.com/news-releases/news-release-details/rackspace-technology-reports-fourth-quarter-and-full-year-2025" TargetMode="External" Id="rIdwmrm4affrnc3he5bw7lxa" /><Relationship Type="http://schemas.openxmlformats.org/officeDocument/2006/relationships/hyperlink" Target="https://www.pwc.com/gx/en/services/deals/trends.html" TargetMode="External" Id="rId7psf69dxfqtxhsk5dlyaa" /><Relationship Type="http://schemas.openxmlformats.org/officeDocument/2006/relationships/hyperlink" Target="https://www.pwc.com/gx/en/services/deals/trends.html" TargetMode="External" Id="rIdum4tihkn_kkworqjblnv8" /><Relationship Type="http://schemas.openxmlformats.org/officeDocument/2006/relationships/hyperlink" Target="https://www.forrester.com/report/the-state-of-technology-services-2026/RES192217" TargetMode="External" Id="rId3edhq_7aqepv7-8up4nt1" /><Relationship Type="http://schemas.openxmlformats.org/officeDocument/2006/relationships/hyperlink" Target="https://www.forrester.com/report/the-state-of-technology-services-2026/RES192217" TargetMode="External" Id="rIdpm4rmzwa03o4xoo8wynhz" /><Relationship Type="http://schemas.openxmlformats.org/officeDocument/2006/relationships/hyperlink" Target="https://partner.microsoft.com/blog/article/AI-value-for-partners" TargetMode="External" Id="rId8a-wrjjad68s9agq0btux" /><Relationship Type="http://schemas.openxmlformats.org/officeDocument/2006/relationships/hyperlink" Target="https://partner.microsoft.com/blog/article/AI-value-for-partners" TargetMode="External" Id="rIdxoikg_tfmm_skl8ozgoge" /><Relationship Type="http://schemas.openxmlformats.org/officeDocument/2006/relationships/hyperlink" Target="https://www.gartner.com/en/documents/7408930" TargetMode="External" Id="rIdk3wn1kl93e4mjaowffp1y" /><Relationship Type="http://schemas.openxmlformats.org/officeDocument/2006/relationships/hyperlink" Target="https://www.gartner.com/en/documents/7408930" TargetMode="External" Id="rIdd0hr6xeampe264vc3ucxk" /><Relationship Type="http://schemas.openxmlformats.org/officeDocument/2006/relationships/hyperlink" Target="https://learn.microsoft.com/en-us/partner-center/announcements/2026-september" TargetMode="External" Id="rIdp47xgruux2ofly5bx20ei" /><Relationship Type="http://schemas.openxmlformats.org/officeDocument/2006/relationships/hyperlink" Target="https://learn.microsoft.com/en-us/partner-center/announcements/2026-september" TargetMode="External" Id="rIda8trgszjotxahwazanpgf" /><Relationship Type="http://schemas.openxmlformats.org/officeDocument/2006/relationships/hyperlink" Target="https://investors.xerox.com/news-releases/news-release-details/xerox-releases-fourth-quarter-and-full-year-results-2" TargetMode="External" Id="rIdkhsdobn_o9yotdjhxpea2" /><Relationship Type="http://schemas.openxmlformats.org/officeDocument/2006/relationships/hyperlink" Target="https://investors.xerox.com/news-releases/news-release-details/xerox-releases-fourth-quarter-and-full-year-results-2" TargetMode="External" Id="rId5iougsjx6psbhy3cobxvc" /><Relationship Type="http://schemas.openxmlformats.org/officeDocument/2006/relationships/hyperlink" Target="https://www.sec.gov/Archives/edgar/data/1085734/000119312510215765/d8k.htm" TargetMode="External" Id="rIdgtg9glzsf24bt218u07g1" /><Relationship Type="http://schemas.openxmlformats.org/officeDocument/2006/relationships/hyperlink" Target="https://www.sec.gov/Archives/edgar/data/1085734/000119312510215765/d8k.htm" TargetMode="External" Id="rIdp5wrgihd0njo_fnom67tz" /><Relationship Type="http://schemas.openxmlformats.org/officeDocument/2006/relationships/hyperlink" Target="https://www.sec.gov/Archives/edgar/data/1085734/000119312511095325/dex991.htm" TargetMode="External" Id="rIdxeoaaezbj6kz0zrlyiq8e" /><Relationship Type="http://schemas.openxmlformats.org/officeDocument/2006/relationships/hyperlink" Target="https://learn.microsoft.com/en-us/defender-xdr/phishing-triage-agent" TargetMode="External" Id="rIdcgua1tly_xjph1cxcwbib" /><Relationship Type="http://schemas.openxmlformats.org/officeDocument/2006/relationships/hyperlink" Target="https://learn.microsoft.com/en-us/defender-xdr/phishing-triage-agent" TargetMode="External" Id="rIdskzzk0jwzwnnmihbbpwjm" /><Relationship Type="http://schemas.openxmlformats.org/officeDocument/2006/relationships/hyperlink" Target="https://www.microsoft.com/en-us/security/blog/2026/06/02/microsoft-build-2026-securing-code-agents-and-models-across-the-development-lifecycle/" TargetMode="External" Id="rId5wprf7519gwpvkqtscwyq" /><Relationship Type="http://schemas.openxmlformats.org/officeDocument/2006/relationships/hyperlink" Target="https://www.microsoft.com/en-us/security/blog/2026/06/02/microsoft-build-2026-securing-code-agents-and-models-across-the-development-lifecycle/" TargetMode="External" Id="rIdmoudcevr7ezoivr6gtzcb" /><Relationship Type="http://schemas.openxmlformats.org/officeDocument/2006/relationships/image" Target="media/21f1c6640dfef4098acab5f05c9fc06f25a89e9e.png" Id="rId9" /><Relationship Type="http://schemas.openxmlformats.org/officeDocument/2006/relationships/image" Target="media/47f4cee029048aad9d1b4e851e365cfe9b056bfd.png" Id="rId10" /><Relationship Type="http://schemas.openxmlformats.org/officeDocument/2006/relationships/image" Target="media/2ef387520e7d9a365cc5a116aaac92aa4ae12cb8.png" Id="rId11" /><Relationship Type="http://schemas.openxmlformats.org/officeDocument/2006/relationships/image" Target="media/26498a183100df9a6f55bd472d6387d06288a92f.png" Id="rId12" /><Relationship Type="http://schemas.openxmlformats.org/officeDocument/2006/relationships/fontTable" Target="fontTable.xml" Id="rId206" /><Relationship Type="http://schemas.openxmlformats.org/officeDocument/2006/relationships/hyperlink" Target="https://www.connectwise.com/company/press/releases/service-leadership-report-reveals-historic-growth-for-it-solution-providers-and-the-operational-factors-defining-this-economic-shift" TargetMode="External" Id="R1495c14c0ad64e5c" /><Relationship Type="http://schemas.openxmlformats.org/officeDocument/2006/relationships/hyperlink" Target="https://omdia.tech.informa.com/insights/2025/canalys-msp-trends-and-predictions-2025" TargetMode="External" Id="R8b3d235e20574c1b" /><Relationship Type="http://schemas.openxmlformats.org/officeDocument/2006/relationships/hyperlink" Target="https://ir.isg-one.com/news-market-information/press-releases/news-details/2026/Global-Tech-Services-Market-Grows-at-Fastest-Pace-Ever-in-Q2-Propelled-by-Soaring-AI-Demand-ISG-Index/default.aspx" TargetMode="External" Id="R82cb8850694e4f9b" /><Relationship Type="http://schemas.openxmlformats.org/officeDocument/2006/relationships/hyperlink" Target="https://www.gartner.com/en/newsroom/press-releases/2026-07-27-gartner-forecasts-worldwide-it-spending-to-grow-14-point-2-percent-in-2026-totaling-6-point-37-trillion" TargetMode="External" Id="Ra0b1743ce91d4736" /><Relationship Type="http://schemas.openxmlformats.org/officeDocument/2006/relationships/hyperlink" Target="https://www.gartner.com/en/newsroom/press-releases/2025-03-05-gartner-predicts-agentic-ai-will-autonomously-resolve-80-percent-of-common-customer-service-issues-without-human-intervention-by-20290" TargetMode="External" Id="R64b92a216ea742a2" /><Relationship Type="http://schemas.openxmlformats.org/officeDocument/2006/relationships/hyperlink" Target="https://www.gartner.com/en/newsroom/press-releases/2025-06-25-gartner-predicts-over-40-percent-of-agentic-ai-projects-will-be-canceled-by-end-of-2027" TargetMode="External" Id="Ra0d790b5fa204b8d" /><Relationship Type="http://schemas.openxmlformats.org/officeDocument/2006/relationships/hyperlink" Target="https://www.nber.org/papers/w31161" TargetMode="External" Id="Ra181cbda943f44a0" /><Relationship Type="http://schemas.openxmlformats.org/officeDocument/2006/relationships/hyperlink" Target="https://www.microsoft.com/en-us/investor/events/fy-2026/earnings-fy-2026-q4" TargetMode="External" Id="R7721a60a0d764717" /><Relationship Type="http://schemas.openxmlformats.org/officeDocument/2006/relationships/hyperlink" Target="https://learn.microsoft.com/en-us/microsoft-agent-365/builder/overview" TargetMode="External" Id="R71c6563a5644440f" /><Relationship Type="http://schemas.openxmlformats.org/officeDocument/2006/relationships/hyperlink" Target="https://aws.amazon.com/about-aws/whats-new/2026/03/aws-devops-agent-generally-available/" TargetMode="External" Id="Rb68a2c6332a34d02" /><Relationship Type="http://schemas.openxmlformats.org/officeDocument/2006/relationships/hyperlink" Target="https://cloud.google.com/blog/products/application-development/gemini-cloud-assist-at-next26" TargetMode="External" Id="Rbbe56ded6be64c52" /><Relationship Type="http://schemas.openxmlformats.org/officeDocument/2006/relationships/hyperlink" Target="https://newsroom.servicenow.com/press-releases/details/2026/ServiceNow-brings-Autonomous-Workforce-to-every-major-business-function/default.aspx" TargetMode="External" Id="R99e97d7174954dce" /><Relationship Type="http://schemas.openxmlformats.org/officeDocument/2006/relationships/hyperlink" Target="https://www.connectwise.com/company/press/releases/service-leadership-report-reveals-historic-growth-for-it-solution-providers-and-the-operational-factors-defining-this-economic-shift" TargetMode="External" Id="R121848a9f1d14d90" /><Relationship Type="http://schemas.openxmlformats.org/officeDocument/2006/relationships/hyperlink" Target="https://omdia.tech.informa.com/insights/2025/canalys-msp-trends-and-predictions-2025" TargetMode="External" Id="R1e4c1f522c4d414a" /><Relationship Type="http://schemas.openxmlformats.org/officeDocument/2006/relationships/hyperlink" Target="https://ir.isg-one.com/news-market-information/press-releases/news-details/2026/Global-Tech-Services-Market-Grows-at-Fastest-Pace-Ever-in-Q2-Propelled-by-Soaring-AI-Demand-ISG-Index/default.aspx" TargetMode="External" Id="Rc4b57b7e7de2465d" /><Relationship Type="http://schemas.openxmlformats.org/officeDocument/2006/relationships/hyperlink" Target="https://www.gartner.com/en/newsroom/press-releases/2026-07-27-gartner-forecasts-worldwide-it-spending-to-grow-14-point-2-percent-in-2026-totaling-6-point-37-trillion" TargetMode="External" Id="R4e502491bd244435" /><Relationship Type="http://schemas.openxmlformats.org/officeDocument/2006/relationships/hyperlink" Target="https://www.connectwise.com/company/press/releases/service-leadership-report-reveals-historic-growth-for-it-solution-providers-and-the-operational-factors-defining-this-economic-shift" TargetMode="External" Id="R3ce7a1f3e6204b5b" /><Relationship Type="http://schemas.openxmlformats.org/officeDocument/2006/relationships/hyperlink" Target="https://ir.isg-one.com/news-market-information/press-releases/news-details/2026/Global-Tech-Services-Market-Grows-at-Fastest-Pace-Ever-in-Q2-Propelled-by-Soaring-AI-Demand-ISG-Index/default.aspx" TargetMode="External" Id="R33b8b1522f8f4c4c" /><Relationship Type="http://schemas.openxmlformats.org/officeDocument/2006/relationships/hyperlink" Target="https://www.gartner.com/en/newsroom/press-releases/2026-07-27-gartner-forecasts-worldwide-it-spending-to-grow-14-point-2-percent-in-2026-totaling-6-point-37-trillion" TargetMode="External" Id="R9c2005b8f8a14567" /><Relationship Type="http://schemas.openxmlformats.org/officeDocument/2006/relationships/hyperlink" Target="https://www.nber.org/papers/w31161" TargetMode="External" Id="R619f02d58a154f86" /><Relationship Type="http://schemas.openxmlformats.org/officeDocument/2006/relationships/hyperlink" Target="https://www.gartner.com/en/newsroom/press-releases/2025-03-05-gartner-predicts-agentic-ai-will-autonomously-resolve-80-percent-of-common-customer-service-issues-without-human-intervention-by-20290" TargetMode="External" Id="R17264db8297c41c7" /><Relationship Type="http://schemas.openxmlformats.org/officeDocument/2006/relationships/hyperlink" Target="https://www.connectwise.com/company/press/releases/service-leadership-report-reveals-historic-growth-for-it-solution-providers-and-the-operational-factors-defining-this-economic-shift" TargetMode="External" Id="R3efa09584f6444e5" /><Relationship Type="http://schemas.openxmlformats.org/officeDocument/2006/relationships/hyperlink" Target="https://www.connectwise.com/company/press/releases/service-leadership-announces-findings-of-its-annual-it-solution-provider-industry-profitability-report" TargetMode="External" Id="R2190d9685eeb49e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Metadata/LabelInfo.xml><?xml version="1.0" encoding="utf-8"?>
<clbl:labelList xmlns:clbl="http://schemas.microsoft.com/office/2020/mipLabelMetadata">
  <clbl:label id="{5243d63d-7632-4d07-a77e-de0fea1b77a4}" enabled="0" method="" siteId="{5243d63d-7632-4d07-a77e-de0fea1b77a4}"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Why the Traditional MSP and TSP Business Model Is Becoming Obsolete</dc:title>
  <dc:creator>Microsoft Copilot</dc:creator>
  <dc:description>Strategic research report, evidence cutoff 30 September 2026</dc:description>
  <lastModifiedBy>Robert Crane</lastModifiedBy>
  <revision>2</revision>
  <dcterms:created xsi:type="dcterms:W3CDTF">2026-09-30T12:12:06.1700000Z</dcterms:created>
  <dcterms:modified xsi:type="dcterms:W3CDTF">2026-09-30T12:15:03.5804916Z</dcterms:modified>
</coreProperties>
</file>

<file path=docProps/custom.xml><?xml version="1.0" encoding="utf-8"?>
<Properties xmlns="http://schemas.openxmlformats.org/officeDocument/2006/custom-properties" xmlns:vt="http://schemas.openxmlformats.org/officeDocument/2006/docPropsVTypes"/>
</file>