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Robert, this is a substantial investment-thesis-style brief rather than a conventional industry overview. I found </w:t>
      </w:r>
      <w:r>
        <w:rPr>
          <w:b/>
          <w:bCs/>
          <w:rStyle w:val="Normal"/>
        </w:rPr>
        <w:t xml:space="preserve">381 relevant enterprise file results and one meeting result</w:t>
      </w:r>
      <w:r>
        <w:rPr>
          <w:rStyle w:val="Normal"/>
        </w:rPr>
        <w:t xml:space="preserve">, including several prior research versions; I used the most complete, citation-controlled report as the principal deliverable and cross-checked its central conclusions against current primary and analyst sources. </w:t>
      </w:r>
      <w:hyperlink w:history="1" r:id="rIdpksennzizxtjcbr3ydf4j">
        <w:r>
          <w:rPr>
            <w:rStyle w:val="Hyperlink"/>
          </w:rPr>
          <w:t xml:space="preserve">[MSP-TSP-Bu...rch-Report | Word]</w:t>
        </w:r>
      </w:hyperlink>
      <w:r>
        <w:rPr>
          <w:rStyle w:val="Normal"/>
        </w:rPr>
        <w:t xml:space="preserve">, </w:t>
      </w:r>
      <w:hyperlink w:history="1" r:id="rIdgc6p680sfero5b1yte_n7">
        <w:r>
          <w:rPr>
            <w:rStyle w:val="Hyperlink"/>
          </w:rPr>
          <w:t xml:space="preserve">[MSP-TSP-Ob...gic-Report | Word]</w:t>
        </w:r>
      </w:hyperlink>
    </w:p>
    <w:p>
      <w:pPr>
        <w:pStyle w:val="Heading1"/>
      </w:pPr>
      <w:r>
        <w:rPr>
          <w:rStyle w:val="Normal"/>
        </w:rPr>
        <w:t xml:space="preserve">Strategic Research Report</w:t>
      </w:r>
    </w:p>
    <w:p>
      <w:pPr>
        <w:pStyle w:val="Heading2"/>
      </w:pPr>
      <w:r>
        <w:rPr>
          <w:rStyle w:val="Normal"/>
        </w:rPr>
        <w:t xml:space="preserve">Why the Traditional MSP and TSP Business Model Is Becoming Obsolete</w:t>
      </w:r>
    </w:p>
    <w:p>
      <w:pPr>
        <w:pStyle w:val="Heading3"/>
      </w:pPr>
      <w:r>
        <w:rPr>
          <w:rStyle w:val="Normal"/>
        </w:rPr>
        <w:t xml:space="preserve">Final report</w:t>
      </w:r>
    </w:p>
    <w:p>
      <w:r>
        <w:rPr>
          <w:rStyle w:val="Normal"/>
        </w:rPr>
        <w:t xml:space="preserve">The complete, board-formatted report is available here:</w:t>
      </w:r>
    </w:p>
    <w:p>
      <w:hyperlink w:history="1" r:id="rIdhibrikxj86mugjpbhueou">
        <w:r>
          <w:rPr>
            <w:rStyle w:val="Hyperlink"/>
          </w:rPr>
          <w:t xml:space="preserve">MSP-TSP-Business-Model-Strategic-Research-Report.docx</w:t>
        </w:r>
      </w:hyperlink>
      <w:r>
        <w:rPr>
          <w:rStyle w:val="Normal"/>
        </w:rPr>
        <w:t xml:space="preserve"> </w:t>
      </w:r>
      <w:hyperlink w:history="1" r:id="rIdaqk0ydec4z2v6wlenncg-">
        <w:r>
          <w:rPr>
            <w:rStyle w:val="Hyperlink"/>
          </w:rPr>
          <w:t xml:space="preserve">[MSP-TSP-Bu...rch-Report | Word]</w:t>
        </w:r>
      </w:hyperlink>
    </w:p>
    <w:p>
      <w:r>
        <w:rPr>
          <w:rStyle w:val="Normal"/>
        </w:rPr>
        <w:t xml:space="preserve">It contains the full executive summary, methodology, source-controlled findings, market and financial analyses, five charts, scenario modelling, transformation framework, recommendations, counterarguments and complete reference list. The report was completed on 29 July 2026 and uses Australian English. </w:t>
      </w:r>
      <w:hyperlink w:history="1" r:id="rIdbhu5hcnffas12mz82xszv">
        <w:r>
          <w:rPr>
            <w:rStyle w:val="Hyperlink"/>
          </w:rPr>
          <w:t xml:space="preserve">[MSP-TSP-Bu...rch-Report | Word]</w:t>
        </w:r>
      </w:hyperlink>
    </w:p>
    <w:p>
      <w:r>
        <w:rPr>
          <w:rStyle w:val="Normal"/>
        </w:rPr>
        <w:t xml:space="preserve">A second presentation-oriented edition is also available:</w:t>
      </w:r>
    </w:p>
    <w:p>
      <w:hyperlink w:history="1" r:id="rIdit-girc84kp7ci5l9ndbt">
        <w:r>
          <w:rPr>
            <w:rStyle w:val="Hyperlink"/>
          </w:rPr>
          <w:t xml:space="preserve">MSP-TSP-Obsolescence-Strategic-Report.docx</w:t>
        </w:r>
      </w:hyperlink>
      <w:r>
        <w:rPr>
          <w:rStyle w:val="Normal"/>
        </w:rPr>
        <w:t xml:space="preserve"> </w:t>
      </w:r>
      <w:hyperlink w:history="1" r:id="rIdtm7fm0vszfkv_qh-8ws1c">
        <w:r>
          <w:rPr>
            <w:rStyle w:val="Hyperlink"/>
          </w:rPr>
          <w:t xml:space="preserve">[MSP-TSP-Ob...gic-Report | Word]</w:t>
        </w:r>
      </w:hyperlink>
    </w:p>
    <w:p>
      <w:r>
        <w:rPr>
          <w:rStyle w:val="Normal"/>
        </w:rPr>
        <w:t xml:space="preserve">The first file is the more rigorous research report. The second is stronger visually and more direct for an owner, board or investor discussion.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1. Executive verdict</w:t>
      </w:r>
    </w:p>
    <w:p>
      <w:pPr>
        <w:pStyle w:val="Heading2"/>
      </w:pPr>
      <w:r>
        <w:rPr>
          <w:rStyle w:val="Normal"/>
        </w:rPr>
        <w:t xml:space="preserve">The MSP is not dying. The traditional MSP operating model is deteriorating.</w:t>
      </w:r>
    </w:p>
    <w:p>
      <w:r>
        <w:rPr>
          <w:rStyle w:val="Normal"/>
        </w:rPr>
        <w:t xml:space="preserve">The evidence does </w:t>
      </w:r>
      <w:r>
        <w:rPr>
          <w:b/>
          <w:bCs/>
          <w:rStyle w:val="Normal"/>
        </w:rPr>
        <w:t xml:space="preserve">not</w:t>
      </w:r>
      <w:r>
        <w:rPr>
          <w:rStyle w:val="Normal"/>
        </w:rPr>
        <w:t xml:space="preserve"> support the simplistic proposition that managed services will disappear. Demand for managed services, cloud expertise, cybersecurity, compliance and AI implementation continues to grow.</w:t>
      </w:r>
    </w:p>
    <w:p>
      <w:r>
        <w:rPr>
          <w:rStyle w:val="Normal"/>
        </w:rPr>
        <w:t xml:space="preserve">The evidence supports a more important distinction:</w:t>
      </w:r>
    </w:p>
    <w:p>
      <w:pPr>
        <w:pBdr>
          <w:left w:val="single" w:color="A6A6A6" w:sz="18" w:space="4"/>
        </w:pBdr>
        <w:ind w:left="180"/>
      </w:pPr>
      <w:r>
        <w:rPr>
          <w:b/>
          <w:bCs/>
          <w:rStyle w:val="Normal"/>
        </w:rPr>
        <w:t xml:space="preserve">Managed services remain viable. The labour-heavy, reactive, per-user and per-device operating model is entering a selective obsolescence cycle.</w:t>
      </w:r>
    </w:p>
    <w:p>
      <w:r>
        <w:rPr>
          <w:rStyle w:val="Normal"/>
        </w:rPr>
        <w:t xml:space="preserve">The industry is bifurcating between: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Traditional generalists</w:t>
      </w:r>
      <w:r>
        <w:rPr>
          <w:rStyle w:val="Normal"/>
        </w:rPr>
        <w:t xml:space="preserve">, dependent on service-desk labour, RMM activity, basic administration, resale and headcount growth.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rStyle w:val="Normal"/>
        </w:rPr>
        <w:t xml:space="preserve">Transformed providers</w:t>
      </w:r>
      <w:r>
        <w:rPr>
          <w:rStyle w:val="Normal"/>
        </w:rPr>
        <w:t xml:space="preserve">, built around security, compliance, AI governance, automation, data, vertical expertise, repeatable intellectual property and measurable business outcomes.</w:t>
      </w:r>
    </w:p>
    <w:p>
      <w:r>
        <w:rPr>
          <w:rStyle w:val="Normal"/>
        </w:rPr>
        <w:t xml:space="preserve">This is already visible in profitability, organic growth and transaction multiples. The report identifies strong best-in-class profitability alongside slowing growth, a material loss-making tail and significant valuation discounts for small providers. </w:t>
      </w:r>
      <w:hyperlink w:history="1" r:id="rIdpuvqxx6npcoymp_6-zfmd">
        <w:r>
          <w:rPr>
            <w:rStyle w:val="Hyperlink"/>
          </w:rPr>
          <w:t xml:space="preserve">[MSP-TSP-Bu...rch-Report | Word]</w:t>
        </w:r>
      </w:hyperlink>
      <w:r>
        <w:rPr>
          <w:rStyle w:val="Normal"/>
        </w:rPr>
        <w:t xml:space="preserve">, </w:t>
      </w:r>
      <w:hyperlink w:history="1" r:id="rIdmub0n-sexj8z-4-vi9pu0">
        <w:r>
          <w:rPr>
            <w:rStyle w:val="Hyperlink"/>
          </w:rPr>
          <w:t xml:space="preserve">[aventis-advisors.com]</w:t>
        </w:r>
      </w:hyperlink>
    </w:p>
    <w:p>
      <w:pPr>
        <w:pStyle w:val="Heading2"/>
      </w:pPr>
      <w:r>
        <w:rPr>
          <w:rStyle w:val="Normal"/>
        </w:rPr>
        <w:t xml:space="preserve">Board-level answer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8"/>
        <w:gridCol w:w="4508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Question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Conclusion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Will MSPs remain viable through 2030?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Yes, as a category.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Will conventional per-seat, ticket-centric MSPs remain attractive growth businesses?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Increasingly unlikely without material change.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Is AI the only cause?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No.</w:t>
            </w:r>
            <w:r>
              <w:rPr>
                <w:rStyle w:val="Normal"/>
              </w:rPr>
              <w:t xml:space="preserve"> AI accelerates existing commoditisation, labour, pricing and platform pressures.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Is security sufficient as a response?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Only if it moves beyond product resale and alert forwarding into real MDR, identity, compliance and risk outcomes.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Is transformation urgent?</w:t>
            </w:r>
          </w:p>
        </w:tc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Yes.</w:t>
            </w:r>
            <w:r>
              <w:rPr>
                <w:rStyle w:val="Normal"/>
              </w:rPr>
              <w:t xml:space="preserve"> Repricing and automation must begin before customers revalue the traditional service bundle.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2. Research methodology</w:t>
      </w:r>
    </w:p>
    <w:p>
      <w:r>
        <w:rPr>
          <w:rStyle w:val="Normal"/>
        </w:rPr>
        <w:t xml:space="preserve">The report uses four independent evidence streams: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rStyle w:val="Normal"/>
        </w:rPr>
        <w:t xml:space="preserve">MSP economics:</w:t>
      </w:r>
      <w:r>
        <w:rPr>
          <w:rStyle w:val="Normal"/>
        </w:rPr>
        <w:t xml:space="preserve"> revenue growth, gross margin, EBITDA, labour intensity, scale and valuation.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rStyle w:val="Normal"/>
        </w:rPr>
        <w:t xml:space="preserve">AI and automation:</w:t>
      </w:r>
      <w:r>
        <w:rPr>
          <w:rStyle w:val="Normal"/>
        </w:rPr>
        <w:t xml:space="preserve"> service desks, AIOps, security operations, documentation, onboarding and workflow automation.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rStyle w:val="Normal"/>
        </w:rPr>
        <w:t xml:space="preserve">Platform strategy:</w:t>
      </w:r>
      <w:r>
        <w:rPr>
          <w:rStyle w:val="Normal"/>
        </w:rPr>
        <w:t xml:space="preserve"> Microsoft, AWS, Google Cloud, SaaS vendors and direct managed services.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rStyle w:val="Normal"/>
        </w:rPr>
        <w:t xml:space="preserve">Buyer and industry behaviour:</w:t>
      </w:r>
      <w:r>
        <w:rPr>
          <w:rStyle w:val="Normal"/>
        </w:rPr>
        <w:t xml:space="preserve"> outcome-based procurement, security demand, consolidation and lessons from earlier platform transitions.</w:t>
      </w:r>
    </w:p>
    <w:p>
      <w:r>
        <w:rPr>
          <w:rStyle w:val="Normal"/>
        </w:rPr>
        <w:t xml:space="preserve">Sources were weighted in this order: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SEC filings, annual reports and earnings disclosures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Official product and partner documentation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Government labour statistics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Peer-reviewed research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Gartner, IDC, Forrester, Canalys/Omdia, ISG, McKinsey, Deloitte, KPMG and similar analyst material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MSP benchmarking data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Vendor-reported results, used cautiously and identified as such</w:t>
      </w:r>
    </w:p>
    <w:p>
      <w:r>
        <w:rPr>
          <w:rStyle w:val="Normal"/>
        </w:rPr>
        <w:t xml:space="preserve">The report expressly distinguishes: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observed results;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analyst forecasts;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vendor claims;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illustrative financial assumptions; and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the report’s own scenario judgements. </w:t>
      </w:r>
      <w:hyperlink w:history="1" r:id="rIdfgwk61zxtzu8ouu0epoon">
        <w:r>
          <w:rPr>
            <w:rStyle w:val="Hyperlink"/>
          </w:rPr>
          <w:t xml:space="preserve">[MSP-TSP-Bu...rch-Report | Word]</w:t>
        </w:r>
      </w:hyperlink>
      <w:r>
        <w:rPr>
          <w:rStyle w:val="Normal"/>
        </w:rPr>
        <w:t xml:space="preserve">, </w:t>
      </w:r>
      <w:hyperlink w:history="1" r:id="rId7kmvzza8-vpntw0d_j30p">
        <w:r>
          <w:rPr>
            <w:rStyle w:val="Hyperlink"/>
          </w:rPr>
          <w:t xml:space="preserve">[20260729 -...er Council | Word]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3. Key findings</w:t>
      </w:r>
    </w:p>
    <w:p>
      <w:pPr>
        <w:pStyle w:val="Heading2"/>
      </w:pPr>
      <w:r>
        <w:rPr>
          <w:rStyle w:val="Normal"/>
        </w:rPr>
        <w:t xml:space="preserve">3.1 A growing market does not protect every incumbent</w:t>
      </w:r>
    </w:p>
    <w:p>
      <w:r>
        <w:rPr>
          <w:rStyle w:val="Normal"/>
        </w:rPr>
        <w:t xml:space="preserve">The strongest argument against obsolescence is continued market growth. McKinsey reports that more than 95% of enterprises have a cloud footprint, public-cloud workloads increased from 32% in 2018 to 52% in 2025, and more than 500,000 partners participate in hyperscaler ecosystems. It estimates that partners can capture professional-services and recurring-services revenue around cloud consumption. </w:t>
      </w:r>
      <w:hyperlink w:history="1" r:id="rIdnh7jw_jrov3h0jgcgufxo">
        <w:r>
          <w:rPr>
            <w:rStyle w:val="Hyperlink"/>
          </w:rPr>
          <w:t xml:space="preserve">[mckinsey.com]</w:t>
        </w:r>
      </w:hyperlink>
    </w:p>
    <w:p>
      <w:r>
        <w:rPr>
          <w:rStyle w:val="Normal"/>
        </w:rPr>
        <w:t xml:space="preserve">That evidence supports MSP survival, but not the survival of every operating model. The critical question is </w:t>
      </w:r>
      <w:r>
        <w:rPr>
          <w:b/>
          <w:bCs/>
          <w:rStyle w:val="Normal"/>
        </w:rPr>
        <w:t xml:space="preserve">which providers capture the growth</w:t>
      </w:r>
      <w:r>
        <w:rPr>
          <w:rStyle w:val="Normal"/>
        </w:rPr>
        <w:t xml:space="preserve">.</w:t>
      </w:r>
    </w:p>
    <w:p>
      <w:r>
        <w:rPr>
          <w:rStyle w:val="Normal"/>
        </w:rPr>
        <w:t xml:space="preserve">The report finds that growth is moving disproportionately towards: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managed security;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AI and data services;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cloud optimisation;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compliance;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vertical solutions;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business-process automation; and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outcome-oriented services.</w:t>
      </w:r>
    </w:p>
    <w:p>
      <w:r>
        <w:rPr>
          <w:rStyle w:val="Normal"/>
        </w:rPr>
        <w:t xml:space="preserve">Traditional help desk, monitoring, infrastructure administration and resale increasingly function as foundational services rather than strategic differentiators. </w:t>
      </w:r>
      <w:hyperlink w:history="1" r:id="rIdnx2txr-v32zjtb0o17-go">
        <w:r>
          <w:rPr>
            <w:rStyle w:val="Hyperlink"/>
          </w:rPr>
          <w:t xml:space="preserve">[cisco.com]</w:t>
        </w:r>
      </w:hyperlink>
      <w:r>
        <w:rPr>
          <w:rStyle w:val="Normal"/>
        </w:rPr>
        <w:t xml:space="preserve">, </w:t>
      </w:r>
      <w:hyperlink w:history="1" r:id="rIdv7avrn26n3bfwgkcb_-pv">
        <w:r>
          <w:rPr>
            <w:rStyle w:val="Hyperlink"/>
          </w:rPr>
          <w:t xml:space="preserve">[MSP-TSP-Bu...rch-Report | Word]</w:t>
        </w:r>
      </w:hyperlink>
    </w:p>
    <w:p>
      <w:pPr>
        <w:pStyle w:val="Heading2"/>
      </w:pPr>
      <w:r>
        <w:rPr>
          <w:rStyle w:val="Normal"/>
        </w:rPr>
        <w:t xml:space="preserve">3.2 The service desk is a direct AI target</w:t>
      </w:r>
    </w:p>
    <w:p>
      <w:r>
        <w:rPr>
          <w:rStyle w:val="Normal"/>
        </w:rPr>
        <w:t xml:space="preserve">Forrester states that traditional service desks based on tiered human escalation and manual workflows have reached a critical inflection point. Its recommended model replaces portions of the conventional support hierarchy with proactive automation, conversational self-service, AI-enabled knowledge and specialist escalation. </w:t>
      </w:r>
      <w:hyperlink w:history="1" r:id="rIdeljksjospk7zxqopxgdpr">
        <w:r>
          <w:rPr>
            <w:rStyle w:val="Hyperlink"/>
          </w:rPr>
          <w:t xml:space="preserve">[forrester.com]</w:t>
        </w:r>
      </w:hyperlink>
    </w:p>
    <w:p>
      <w:r>
        <w:rPr>
          <w:rStyle w:val="Normal"/>
        </w:rPr>
        <w:t xml:space="preserve">Gartner forecasts that agentic AI will autonomously resolve 80% of common customer-service issues by 2029 and reduce operational costs by 30%. This is a forecast rather than an observed MSP result, but it directly exposes routine L1 work, triage and bounded support processes. </w:t>
      </w:r>
      <w:hyperlink w:history="1" r:id="rIdqi2po5kdvtftbtavswpwd">
        <w:r>
          <w:rPr>
            <w:rStyle w:val="Hyperlink"/>
          </w:rPr>
          <w:t xml:space="preserve">[gartner.com]</w:t>
        </w:r>
      </w:hyperlink>
    </w:p>
    <w:p>
      <w:r>
        <w:rPr>
          <w:rStyle w:val="Normal"/>
        </w:rPr>
        <w:t xml:space="preserve">The realistic order of exposure is: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5"/>
        <w:gridCol w:w="3005"/>
        <w:gridCol w:w="3005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MSP activity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AI exposure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Likely direction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Password resets, access and common how-to requests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Very high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Autonomous or self-service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Ticket classification and routing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Very high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Automated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Documentation and ticket summaries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High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Generated automatically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Monitoring and first-pass triage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High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AIOps-led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Standard onboarding workflows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High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Workflow and agent-led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Basic security alert enrichment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High, but governed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AI triage with human oversight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Complex L2/L3 troubleshooting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Medium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Human plus AI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Architecture, vCIO and risk acceptance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Low to medium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Human-led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Breach communication and accountability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Low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Human-owned</w:t>
            </w:r>
          </w:p>
        </w:tc>
      </w:tr>
    </w:tbl>
    <w:p>
      <w:r>
        <w:rPr>
          <w:rStyle w:val="Normal"/>
        </w:rPr>
        <w:t xml:space="preserve">The commercial risk appears before mass job removal. Once AI reduces the effort required per user or device, customers may challenge a fee whose value proposition was based on visible human activity.</w:t>
      </w:r>
    </w:p>
    <w:p>
      <w:pPr>
        <w:pStyle w:val="Heading2"/>
      </w:pPr>
      <w:r>
        <w:rPr>
          <w:rStyle w:val="Normal"/>
        </w:rPr>
        <w:t xml:space="preserve">3.3 Labour arbitrage is becoming a weaker moat</w:t>
      </w:r>
    </w:p>
    <w:p>
      <w:r>
        <w:rPr>
          <w:rStyle w:val="Normal"/>
        </w:rPr>
        <w:t xml:space="preserve">The old model scales mainly by adding technicians. That creates five structural constraints: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revenue remains tied to headcount;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specialist wages increase delivery costs;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handoffs increase resolution time;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training and retention limit scale; and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per-user contracts expose the provider when user numbers flatten or decline.</w:t>
      </w:r>
    </w:p>
    <w:p>
      <w:r>
        <w:rPr>
          <w:rStyle w:val="Normal"/>
        </w:rPr>
        <w:t xml:space="preserve">AI initially helps margins by increasing technician capacity. The benefit is temporary if every competitor gains the same capability or customers demand lower pricing.</w:t>
      </w:r>
    </w:p>
    <w:p>
      <w:r>
        <w:rPr>
          <w:rStyle w:val="Normal"/>
        </w:rPr>
        <w:t xml:space="preserve">The sustainable advantage is therefore not simply “using AI”. It is converting AI into: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proprietary workflows;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better service-level outcomes;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risk reduction;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compliance evidence;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customer-specific data and process knowledge; and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faster resolution without an equivalent rise in headcount.</w:t>
      </w:r>
    </w:p>
    <w:p>
      <w:pPr>
        <w:pStyle w:val="Heading2"/>
      </w:pPr>
      <w:r>
        <w:rPr>
          <w:rStyle w:val="Normal"/>
        </w:rPr>
        <w:t xml:space="preserve">3.4 Microsoft is absorbing traditional tasks while creating new partner work</w:t>
      </w:r>
    </w:p>
    <w:p>
      <w:r>
        <w:rPr>
          <w:rStyle w:val="Normal"/>
        </w:rPr>
        <w:t xml:space="preserve">Microsoft describes the current period as an AI platform shift. Its FY2025 annual report records revenue of $281.7 billion, operating income of $128.5 billion and Azure revenue above $75 billion. It also reports more than 100 million monthly active users across its Copilot family and more than 230,000 organisations using Copilot Studio. </w:t>
      </w:r>
      <w:hyperlink w:history="1" r:id="rIdts3f0k7u4g_nl2qtimf5g">
        <w:r>
          <w:rPr>
            <w:rStyle w:val="Hyperlink"/>
          </w:rPr>
          <w:t xml:space="preserve">[microsoft.com]</w:t>
        </w:r>
      </w:hyperlink>
    </w:p>
    <w:p>
      <w:r>
        <w:rPr>
          <w:rStyle w:val="Normal"/>
        </w:rPr>
        <w:t xml:space="preserve">At Build 2025, Microsoft described an “open agentic web” in which agents make decisions and perform tasks for people and organisations. More than 230,000 organisations, including 90% of the Fortune 500, had used Copilot Studio to build agents and automations. </w:t>
      </w:r>
      <w:hyperlink w:history="1" r:id="rIdzttyi4j13rbvqnm4gnlyb">
        <w:r>
          <w:rPr>
            <w:rStyle w:val="Hyperlink"/>
          </w:rPr>
          <w:t xml:space="preserve">[blogs.microsoft.com]</w:t>
        </w:r>
      </w:hyperlink>
    </w:p>
    <w:p>
      <w:r>
        <w:rPr>
          <w:rStyle w:val="Normal"/>
        </w:rPr>
        <w:t xml:space="preserve">The 2025 Work Trend Index found: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82% of leaders considered the year pivotal for rethinking strategy and operations;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81% expected agents to be moderately or extensively integrated into AI strategy within 12 to 18 months; and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24% said AI had already been deployed organisation-wide. </w:t>
      </w:r>
      <w:hyperlink w:history="1" r:id="rIdiwdvun9swcikmwvyzs_da">
        <w:r>
          <w:rPr>
            <w:rStyle w:val="Hyperlink"/>
          </w:rPr>
          <w:t xml:space="preserve">[microsoft.com]</w:t>
        </w:r>
      </w:hyperlink>
    </w:p>
    <w:p>
      <w:r>
        <w:rPr>
          <w:rStyle w:val="Normal"/>
        </w:rPr>
        <w:t xml:space="preserve">This strategy reduces the value of: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manual licence administration;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basic productivity support;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routine endpoint administration;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standard reporting;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simple workflow creation; and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undifferentiated security alert handling.</w:t>
      </w:r>
    </w:p>
    <w:p>
      <w:r>
        <w:rPr>
          <w:rStyle w:val="Normal"/>
        </w:rPr>
        <w:t xml:space="preserve">It raises the value of: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Copilot and agent governance;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SharePoint and data readiness;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oversharing remediation;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Purview, DLP and sensitivity design;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identity and agent security;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business-process redesign;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change management;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AI adoption measurement; and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multi-system integration.</w:t>
      </w:r>
    </w:p>
    <w:p>
      <w:r>
        <w:rPr>
          <w:rStyle w:val="Normal"/>
        </w:rPr>
        <w:t xml:space="preserve">The February 2026 partner-benefits refresh also added Copilot, Copilot Studio, Defender, Entra and Intune benefits across selected partner offers. This is a practical indication that the partner programme is being directed towards AI and security capability. </w:t>
      </w:r>
      <w:hyperlink w:history="1" r:id="rIdof9qs--i73vzn_lqme2nn">
        <w:r>
          <w:rPr>
            <w:rStyle w:val="Hyperlink"/>
          </w:rPr>
          <w:t xml:space="preserve">[partner.mi...rosoft.com]</w:t>
        </w:r>
      </w:hyperlink>
      <w:r>
        <w:rPr>
          <w:rStyle w:val="Normal"/>
        </w:rPr>
        <w:t xml:space="preserve">, </w:t>
      </w:r>
      <w:hyperlink w:history="1" r:id="rIds2xmvottenxmshxrvynwf">
        <w:r>
          <w:rPr>
            <w:rStyle w:val="Hyperlink"/>
          </w:rPr>
          <w:t xml:space="preserve">[learn.microsoft.com]</w:t>
        </w:r>
      </w:hyperlink>
    </w:p>
    <w:p>
      <w:pPr>
        <w:pStyle w:val="Heading2"/>
      </w:pPr>
      <w:r>
        <w:rPr>
          <w:rStyle w:val="Normal"/>
        </w:rPr>
        <w:t xml:space="preserve">3.5 Hyperscalers do not need to eliminate MSPs to disintermediate them</w:t>
      </w:r>
    </w:p>
    <w:p>
      <w:r>
        <w:rPr>
          <w:rStyle w:val="Normal"/>
        </w:rPr>
        <w:t xml:space="preserve">The primary threat is not simply direct vendor selling. It is </w:t>
      </w:r>
      <w:r>
        <w:rPr>
          <w:b/>
          <w:bCs/>
          <w:rStyle w:val="Normal"/>
        </w:rPr>
        <w:t xml:space="preserve">task-layer absorption</w:t>
      </w:r>
      <w:r>
        <w:rPr>
          <w:rStyle w:val="Normal"/>
        </w:rPr>
        <w:t xml:space="preserve">.</w:t>
      </w:r>
    </w:p>
    <w:p>
      <w:r>
        <w:rPr>
          <w:rStyle w:val="Normal"/>
        </w:rPr>
        <w:t xml:space="preserve">Cloud and SaaS platforms increasingly include: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automated investigation;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telemetry correlation;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root-cause hypotheses;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configuration recommendations;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embedded security;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automated remediation;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self-service administration; and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first-party managed services.</w:t>
      </w:r>
    </w:p>
    <w:p>
      <w:r>
        <w:rPr>
          <w:rStyle w:val="Normal"/>
        </w:rPr>
        <w:t xml:space="preserve">Nevertheless, McKinsey argues that hyperscalers still need partners as last-mile implementation and go-to-market capacity. Its analysis indicates that winning partners tend to be specialised, vertically focused, productised, AI-enabled and able to create proprietary accelerators. </w:t>
      </w:r>
      <w:hyperlink w:history="1" r:id="rIdkd0m-s56_cnw6riqhprbc">
        <w:r>
          <w:rPr>
            <w:rStyle w:val="Hyperlink"/>
          </w:rPr>
          <w:t xml:space="preserve">[mckinsey.com]</w:t>
        </w:r>
      </w:hyperlink>
    </w:p>
    <w:p>
      <w:r>
        <w:rPr>
          <w:rStyle w:val="Normal"/>
        </w:rPr>
        <w:t xml:space="preserve">The likely future is therefore not “platform or partner”. It is:</w:t>
      </w:r>
    </w:p>
    <w:p>
      <w:pPr>
        <w:pBdr>
          <w:left w:val="single" w:color="A6A6A6" w:sz="18" w:space="4"/>
        </w:pBdr>
        <w:ind w:left="180"/>
      </w:pPr>
      <w:r>
        <w:rPr>
          <w:b/>
          <w:bCs/>
          <w:rStyle w:val="Normal"/>
        </w:rPr>
        <w:t xml:space="preserve">Platforms own more of the undifferentiated operating layer. Partners compete for implementation, integration, governance, assurance, adoption and specialised outcomes.</w:t>
      </w:r>
    </w:p>
    <w:p>
      <w:pPr>
        <w:pStyle w:val="Heading2"/>
      </w:pPr>
      <w:r>
        <w:rPr>
          <w:rStyle w:val="Normal"/>
        </w:rPr>
        <w:t xml:space="preserve">3.6 Security is the clearest growth route, but it is not an automatic refuge</w:t>
      </w:r>
    </w:p>
    <w:p>
      <w:r>
        <w:rPr>
          <w:rStyle w:val="Normal"/>
        </w:rPr>
        <w:t xml:space="preserve">MarketsandMarkets forecasts the MDR market increasing from $6.22 billion in 2026 to $17.64 billion in 2031, a 23.2% compound annual growth rate. Drivers include increased threats, compliance obligations, alert volume, cloud complexity and security skills shortages. </w:t>
      </w:r>
      <w:hyperlink w:history="1" r:id="rIdtr01zlgyirq3w3vbyehty">
        <w:r>
          <w:rPr>
            <w:rStyle w:val="Hyperlink"/>
          </w:rPr>
          <w:t xml:space="preserve">[marketsand...arkets.com]</w:t>
        </w:r>
      </w:hyperlink>
    </w:p>
    <w:p>
      <w:r>
        <w:rPr>
          <w:rStyle w:val="Normal"/>
        </w:rPr>
        <w:t xml:space="preserve">This favours security-led providers, particularly those delivering: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24×7 MDR or co-managed MDR;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XDR operations;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identity protection;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threat hunting;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exposure management;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incident-response preparation;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compliance evidence; and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board-level risk reporting.</w:t>
      </w:r>
    </w:p>
    <w:p>
      <w:r>
        <w:rPr>
          <w:rStyle w:val="Normal"/>
        </w:rPr>
        <w:t xml:space="preserve">A generalist that merely resells EDR, reviews alerts during business hours and forwards incidents is vulnerable to the same commoditisation as the ordinary service desk.</w:t>
      </w:r>
    </w:p>
    <w:p>
      <w:r>
        <w:rPr>
          <w:rStyle w:val="Normal"/>
        </w:rPr>
        <w:t xml:space="preserve">For most SMB-focused MSPs, the more credible model is:</w:t>
      </w:r>
    </w:p>
    <w:p>
      <w:pPr>
        <w:pStyle w:val="ListParagraph"/>
        <w:numPr>
          <w:ilvl w:val="0"/>
          <w:numId w:val="14"/>
        </w:numPr>
      </w:pPr>
      <w:r>
        <w:rPr>
          <w:rStyle w:val="Normal"/>
        </w:rPr>
        <w:t xml:space="preserve">partner with a genuine 24×7 MDR provider;</w:t>
      </w:r>
    </w:p>
    <w:p>
      <w:pPr>
        <w:pStyle w:val="ListParagraph"/>
        <w:numPr>
          <w:ilvl w:val="0"/>
          <w:numId w:val="14"/>
        </w:numPr>
      </w:pPr>
      <w:r>
        <w:rPr>
          <w:rStyle w:val="Normal"/>
        </w:rPr>
        <w:t xml:space="preserve">retain the customer relationship;</w:t>
      </w:r>
    </w:p>
    <w:p>
      <w:pPr>
        <w:pStyle w:val="ListParagraph"/>
        <w:numPr>
          <w:ilvl w:val="0"/>
          <w:numId w:val="14"/>
        </w:numPr>
      </w:pPr>
      <w:r>
        <w:rPr>
          <w:rStyle w:val="Normal"/>
        </w:rPr>
        <w:t xml:space="preserve">own identity, configuration and exposure reduction;</w:t>
      </w:r>
    </w:p>
    <w:p>
      <w:pPr>
        <w:pStyle w:val="ListParagraph"/>
        <w:numPr>
          <w:ilvl w:val="0"/>
          <w:numId w:val="14"/>
        </w:numPr>
      </w:pPr>
      <w:r>
        <w:rPr>
          <w:rStyle w:val="Normal"/>
        </w:rPr>
        <w:t xml:space="preserve">maintain incident playbooks;</w:t>
      </w:r>
    </w:p>
    <w:p>
      <w:pPr>
        <w:pStyle w:val="ListParagraph"/>
        <w:numPr>
          <w:ilvl w:val="0"/>
          <w:numId w:val="14"/>
        </w:numPr>
      </w:pPr>
      <w:r>
        <w:rPr>
          <w:rStyle w:val="Normal"/>
        </w:rPr>
        <w:t xml:space="preserve">produce compliance and board evidence; and</w:t>
      </w:r>
    </w:p>
    <w:p>
      <w:pPr>
        <w:pStyle w:val="ListParagraph"/>
        <w:numPr>
          <w:ilvl w:val="0"/>
          <w:numId w:val="14"/>
        </w:numPr>
      </w:pPr>
      <w:r>
        <w:rPr>
          <w:rStyle w:val="Normal"/>
        </w:rPr>
        <w:t xml:space="preserve">coordinate response when an incident occurs.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4. Financial analysis</w:t>
      </w:r>
    </w:p>
    <w:p>
      <w:r>
        <w:rPr>
          <w:rStyle w:val="Normal"/>
        </w:rPr>
        <w:t xml:space="preserve">The full report models a representative </w:t>
      </w:r>
      <w:r>
        <w:rPr>
          <w:b/>
          <w:bCs/>
          <w:rStyle w:val="Normal"/>
        </w:rPr>
        <w:t xml:space="preserve">$5 million generalist MSP</w:t>
      </w:r>
      <w:r>
        <w:rPr>
          <w:rStyle w:val="Normal"/>
        </w:rPr>
        <w:t xml:space="preserve"> under two illustrative 2026–2031 paths. These are scenario assumptions, not universal forecasts. </w:t>
      </w:r>
      <w:hyperlink w:history="1" r:id="rIdenvpqrekltqkq00mh-tor">
        <w:r>
          <w:rPr>
            <w:rStyle w:val="Hyperlink"/>
          </w:rPr>
          <w:t xml:space="preserve">[MSP-TSP-Bu...rch-Report | Word]</w:t>
        </w:r>
      </w:hyperlink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4"/>
        <w:gridCol w:w="2254"/>
        <w:gridCol w:w="2254"/>
        <w:gridCol w:w="2254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Metric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2026 baseline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2031 status quo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2031 transformed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Revenue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$5.00M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$5.52M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$8.04M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Revenue CAGR</w:t>
            </w:r>
          </w:p>
        </w:tc>
        <w:tc>
          <w:tcPr>
            <w:vAlign w:val="center"/>
          </w:tcPr>
          <w:p/>
        </w:tc>
        <w:tc>
          <w:tcPr>
            <w:vAlign w:val="center"/>
          </w:tcPr>
          <w:p>
            <w:r>
              <w:rPr>
                <w:rStyle w:val="Normal"/>
              </w:rPr>
              <w:t xml:space="preserve">2.0%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10.0%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EBITDA margin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10.0%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6.25%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16.0%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EBITDA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$0.50M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$0.35M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$1.29M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EV/EBITDA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5.2×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5.2×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9.0×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Implied enterprise value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$2.60M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$1.79M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$11.58M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Change from baseline</w:t>
            </w:r>
          </w:p>
        </w:tc>
        <w:tc>
          <w:tcPr>
            <w:vAlign w:val="center"/>
          </w:tcPr>
          <w:p/>
        </w:tc>
        <w:tc>
          <w:tcPr>
            <w:vAlign w:val="center"/>
          </w:tcPr>
          <w:p>
            <w:r>
              <w:rPr>
                <w:rStyle w:val="Normal"/>
              </w:rPr>
              <w:t xml:space="preserve">−31%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+345%</w:t>
            </w:r>
          </w:p>
        </w:tc>
      </w:tr>
    </w:tbl>
    <w:p>
      <w:r>
        <w:rPr>
          <w:rStyle w:val="Normal"/>
        </w:rPr>
        <w:t xml:space="preserve">Private transaction evidence supports the valuation gradient. Aventis Advisors found an overall median of approximately 8.9× EV/EBITDA across 120 disclosed MSP transactions, with small transactions below $5 million estimated around 5.2× and $500 million-plus providers around 11.2×. It identifies recurring revenue, retention, profitability, efficiency, cybersecurity and scale as material valuation drivers. </w:t>
      </w:r>
      <w:hyperlink w:history="1" r:id="rId6eo1ta-55bwpmly1thbeo">
        <w:r>
          <w:rPr>
            <w:rStyle w:val="Hyperlink"/>
          </w:rPr>
          <w:t xml:space="preserve">[aventis-advisors.com]</w:t>
        </w:r>
      </w:hyperlink>
    </w:p>
    <w:p>
      <w:r>
        <w:rPr>
          <w:rStyle w:val="Normal"/>
        </w:rPr>
        <w:t xml:space="preserve">The model’s lesson is not that transformation guarantees a 345% increase. It is that value changes through three interacting mechanisms:</w:t>
      </w:r>
    </w:p>
    <w:p>
      <w:pPr>
        <w:pStyle w:val="ListParagraph"/>
        <w:numPr>
          <w:ilvl w:val="0"/>
          <w:numId w:val="15"/>
        </w:numPr>
      </w:pPr>
      <w:r>
        <w:rPr>
          <w:rStyle w:val="Normal"/>
        </w:rPr>
        <w:t xml:space="preserve">faster revenue growth;</w:t>
      </w:r>
    </w:p>
    <w:p>
      <w:pPr>
        <w:pStyle w:val="ListParagraph"/>
        <w:numPr>
          <w:ilvl w:val="0"/>
          <w:numId w:val="15"/>
        </w:numPr>
      </w:pPr>
      <w:r>
        <w:rPr>
          <w:rStyle w:val="Normal"/>
        </w:rPr>
        <w:t xml:space="preserve">higher EBITDA margin; and</w:t>
      </w:r>
    </w:p>
    <w:p>
      <w:pPr>
        <w:pStyle w:val="ListParagraph"/>
        <w:numPr>
          <w:ilvl w:val="0"/>
          <w:numId w:val="15"/>
        </w:numPr>
      </w:pPr>
      <w:r>
        <w:rPr>
          <w:rStyle w:val="Normal"/>
        </w:rPr>
        <w:t xml:space="preserve">a better acquisition multiple.</w:t>
      </w:r>
    </w:p>
    <w:p>
      <w:r>
        <w:rPr>
          <w:rStyle w:val="Normal"/>
        </w:rPr>
        <w:t xml:space="preserve">Conversely, a modest deterioration in each can destroy owner value even while revenue continues to increase.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5. Customer buying behaviour</w:t>
      </w:r>
    </w:p>
    <w:p>
      <w:r>
        <w:rPr>
          <w:rStyle w:val="Normal"/>
        </w:rPr>
        <w:t xml:space="preserve">A global Deloitte survey cited in its joint work with Cisco found that 90% of senior technology buyers wanted to understand business outcomes during pre-sales. That report places foundational MSP services at lower margin levels than differentiated, advisory and optimisation services and identifies optimisation services as capable of materially higher margins. </w:t>
      </w:r>
      <w:hyperlink w:history="1" r:id="rIdvrb4ljif-dq0aa9fbectn">
        <w:r>
          <w:rPr>
            <w:rStyle w:val="Hyperlink"/>
          </w:rPr>
          <w:t xml:space="preserve">[cisco.com]</w:t>
        </w:r>
      </w:hyperlink>
    </w:p>
    <w:p>
      <w:r>
        <w:rPr>
          <w:rStyle w:val="Normal"/>
        </w:rPr>
        <w:t xml:space="preserve">The 2026 KPMG managed-services study, involving 1,224 senior leaders in organisations with revenue above $100 million, found: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91% viewed managed services as important to delivering agentic AI;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AI capability was the leading consideration when choosing a provider;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87% said managed services were highly integrated into digital-transformation strategy; and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AI management and cybersecurity were leading investment priorities. </w:t>
      </w:r>
      <w:hyperlink w:history="1" r:id="rIdf6psrak9yyhkoj-hqhhz6">
        <w:r>
          <w:rPr>
            <w:rStyle w:val="Hyperlink"/>
          </w:rPr>
          <w:t xml:space="preserve">[kpmg.com]</w:t>
        </w:r>
      </w:hyperlink>
    </w:p>
    <w:p>
      <w:r>
        <w:rPr>
          <w:rStyle w:val="Normal"/>
        </w:rPr>
        <w:t xml:space="preserve">This is evidence against the extinction thesis but strongly supports operating-model change. Buyers still want managed services. They increasingly want those services to deliver transformation rather than labour substitution alone.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6. Future scenarios</w:t>
      </w:r>
    </w:p>
    <w:p>
      <w:r>
        <w:rPr>
          <w:rStyle w:val="Normal"/>
        </w:rPr>
        <w:t xml:space="preserve">These probabilities are explicitly the report’s analytic judgement, not published forecasts. </w:t>
      </w:r>
      <w:hyperlink w:history="1" r:id="rIdqusaxe6u8huo7vmtk-ztc">
        <w:r>
          <w:rPr>
            <w:rStyle w:val="Hyperlink"/>
          </w:rPr>
          <w:t xml:space="preserve">[MSP-TSP-Bu...rch-Report | Word]</w:t>
        </w:r>
      </w:hyperlink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5"/>
        <w:gridCol w:w="3005"/>
        <w:gridCol w:w="3005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Scenario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Probability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Result by 2030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Bull case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~20%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Agentic AI deploys slowly; customer complexity and stickiness protect conventional MSPs. Margins thin gradually, but most remain viable.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Base case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~60%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Industry revenue grows, but generic MSP organic growth remains weak. Security-led, automated and specialised firms take disproportionate profit. Consolidation accelerates.</w:t>
            </w:r>
          </w:p>
        </w:tc>
      </w:tr>
      <w:tr>
        <w:tc>
          <w:tcPr>
            <w:vAlign w:val="center"/>
          </w:tcPr>
          <w:p>
            <w:r>
              <w:rPr>
                <w:b/>
                <w:bCs/>
                <w:rStyle w:val="Normal"/>
              </w:rPr>
              <w:t xml:space="preserve">Bear case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~20%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Platform agents mature rapidly, routine service work collapses, per-seat pricing becomes untenable and generalist books acquire run-off economics.</w:t>
            </w:r>
          </w:p>
        </w:tc>
      </w:tr>
    </w:tbl>
    <w:p>
      <w:pPr>
        <w:pStyle w:val="Heading2"/>
      </w:pPr>
      <w:r>
        <w:rPr>
          <w:rStyle w:val="Normal"/>
        </w:rPr>
        <w:t xml:space="preserve">Most likely industry shape by 2035</w:t>
      </w:r>
    </w:p>
    <w:p>
      <w:r>
        <w:rPr>
          <w:rStyle w:val="Normal"/>
        </w:rPr>
        <w:t xml:space="preserve">The report estimates: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b/>
          <w:bCs/>
          <w:rStyle w:val="Normal"/>
        </w:rPr>
        <w:t xml:space="preserve">30–40%</w:t>
      </w:r>
      <w:r>
        <w:rPr>
          <w:rStyle w:val="Normal"/>
        </w:rPr>
        <w:t xml:space="preserve"> struggle or stagnate;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b/>
          <w:bCs/>
          <w:rStyle w:val="Normal"/>
        </w:rPr>
        <w:t xml:space="preserve">20–30%</w:t>
      </w:r>
      <w:r>
        <w:rPr>
          <w:rStyle w:val="Normal"/>
        </w:rPr>
        <w:t xml:space="preserve"> consolidate or are acquired;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b/>
          <w:bCs/>
          <w:rStyle w:val="Normal"/>
        </w:rPr>
        <w:t xml:space="preserve">25–35%</w:t>
      </w:r>
      <w:r>
        <w:rPr>
          <w:rStyle w:val="Normal"/>
        </w:rPr>
        <w:t xml:space="preserve"> transform successfully; and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b/>
          <w:bCs/>
          <w:rStyle w:val="Normal"/>
        </w:rPr>
        <w:t xml:space="preserve">5–10%</w:t>
      </w:r>
      <w:r>
        <w:rPr>
          <w:rStyle w:val="Normal"/>
        </w:rPr>
        <w:t xml:space="preserve"> exit or disappear.</w:t>
      </w:r>
    </w:p>
    <w:p>
      <w:r>
        <w:rPr>
          <w:rStyle w:val="Normal"/>
        </w:rPr>
        <w:t xml:space="preserve">These ranges are a reasoned synthesis, not an analyst statistic. The categories most exposed are: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subscale generalists;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break-fix businesses disguised by monthly contracts;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resale-led providers;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owner-dependent firms;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providers with weak documentation and management depth;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firms measured largely by device and ticket counts; and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providers unable to fund security, automation or specialist capability. </w:t>
      </w:r>
      <w:hyperlink w:history="1" r:id="rId8z0cz2hk5wsjqlqkvy7-1">
        <w:r>
          <w:rPr>
            <w:rStyle w:val="Hyperlink"/>
          </w:rPr>
          <w:t xml:space="preserve">[MSP-TSP-Ob...gic-Report | Word]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7. Transformation priorities</w:t>
      </w:r>
    </w:p>
    <w:tbl>
      <w:tblPr>
        <w:tblStyle w:val="GridTable4-Accent1"/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2"/>
        <w:gridCol w:w="1502"/>
        <w:gridCol w:w="1502"/>
        <w:gridCol w:w="1502"/>
        <w:gridCol w:w="1502"/>
        <w:gridCol w:w="1502"/>
      </w:tblGrid>
      <w:tr>
        <w:tc>
          <w:tcPr>
            <w:vAlign w:val="center"/>
          </w:tcPr>
          <w:p>
            <w:r>
              <w:rPr>
                <w:rStyle w:val="Normal"/>
              </w:rPr>
              <w:t xml:space="preserve">Rank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Opportunity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Urgency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Revenue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Margin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Defensibility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1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MDR/XDR, identity and compliance evidence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Immediate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High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High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High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2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Internal AI automation of service delivery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Immediate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Medium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Very high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Medium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3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Copilot and agent readiness, governance and adoption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Immediate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High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High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Medium–high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4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Data governance and Copilot-ready information architecture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6–18 months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High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Medium–high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High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5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Business-process automation and managed-AI retainers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6–24 months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High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High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High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6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Co-managed IT and internal IT enablement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6–18 months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Medium–high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Medium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Medium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7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Vertical specialisation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12–36 months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High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High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Very high</w:t>
            </w:r>
          </w:p>
        </w:tc>
      </w:tr>
      <w:tr>
        <w:tc>
          <w:tcPr>
            <w:vAlign w:val="center"/>
          </w:tcPr>
          <w:p>
            <w:r>
              <w:rPr>
                <w:rStyle w:val="Normal"/>
              </w:rPr>
              <w:t xml:space="preserve">8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Subscription IP and platform pricing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12–36 months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High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Very high</w:t>
            </w:r>
          </w:p>
        </w:tc>
        <w:tc>
          <w:tcPr>
            <w:vAlign w:val="center"/>
          </w:tcPr>
          <w:p>
            <w:r>
              <w:rPr>
                <w:rStyle w:val="Normal"/>
              </w:rPr>
              <w:t xml:space="preserve">Very high</w:t>
            </w:r>
          </w:p>
        </w:tc>
      </w:tr>
    </w:tbl>
    <w:p>
      <w:pPr>
        <w:pStyle w:val="Heading2"/>
      </w:pPr>
      <w:r>
        <w:rPr>
          <w:rStyle w:val="Normal"/>
        </w:rPr>
        <w:t xml:space="preserve">Recommended sequence</w:t>
      </w:r>
    </w:p>
    <w:p>
      <w:pPr>
        <w:pStyle w:val="Heading3"/>
      </w:pPr>
      <w:r>
        <w:rPr>
          <w:rStyle w:val="Normal"/>
        </w:rPr>
        <w:t xml:space="preserve">First 90 days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Establish service-line gross margin, revenue per employee and ticket economics.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Identify the top 20 repetitive support and administration workflows.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Select internal AI automation pilots with measurable baselines.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Reassess what is genuinely covered by security offerings.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Identify services already being absorbed by vendor platforms.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Define one Copilot readiness and governance assessment.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Stop presenting activity counts as the principal evidence of value.</w:t>
      </w:r>
    </w:p>
    <w:p>
      <w:pPr>
        <w:pStyle w:val="Heading3"/>
      </w:pPr>
      <w:r>
        <w:rPr>
          <w:rStyle w:val="Normal"/>
        </w:rPr>
        <w:t xml:space="preserve">Three to twelve months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Introduce partner-led MDR where a genuine SOC cannot be operated internally.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Productise identity hardening, compliance evidence and incident readiness.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Launch Copilot readiness, SharePoint remediation and governance packages.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Create vertical-specific configuration and compliance templates.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Shift technician development towards security, automation, data and customer success.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Begin migrating new contracts to platform and outcome-based pricing.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Build a reusable intellectual-property register.</w:t>
      </w:r>
    </w:p>
    <w:p>
      <w:pPr>
        <w:pStyle w:val="Heading3"/>
      </w:pPr>
      <w:r>
        <w:rPr>
          <w:rStyle w:val="Normal"/>
        </w:rPr>
        <w:t xml:space="preserve">Twelve to thirty-six months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Reduce the percentage of revenue generated by generic help desk and resale.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Build managed-AI operating retainers.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Create vertical automation libraries and reporting dashboards.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Formalise customer outcome and value measurement.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Rework incentives so sales and service teams are rewarded for margin, adoption and recurring outcomes rather than seats or tickets.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Prepare the business for a higher-quality valuation through documented processes, management depth, low concentration and repeatable IP.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8. Final conclusion</w:t>
      </w:r>
    </w:p>
    <w:p>
      <w:r>
        <w:rPr>
          <w:rStyle w:val="Normal"/>
        </w:rPr>
        <w:t xml:space="preserve">The traditional MSP/TSP model is </w:t>
      </w:r>
      <w:r>
        <w:rPr>
          <w:b/>
          <w:bCs/>
          <w:rStyle w:val="Normal"/>
        </w:rPr>
        <w:t xml:space="preserve">not dead</w:t>
      </w:r>
      <w:r>
        <w:rPr>
          <w:rStyle w:val="Normal"/>
        </w:rPr>
        <w:t xml:space="preserve">, but it is no longer strategically safe as the default.</w:t>
      </w:r>
    </w:p>
    <w:p>
      <w:r>
        <w:rPr>
          <w:rStyle w:val="Normal"/>
        </w:rPr>
        <w:t xml:space="preserve">The market will remain large because technology, cybersecurity, regulation, cloud, data and AI are becoming more complex, not less. The question is who captures the corresponding value.</w:t>
      </w:r>
    </w:p>
    <w:p>
      <w:r>
        <w:rPr>
          <w:rStyle w:val="Normal"/>
        </w:rPr>
        <w:t xml:space="preserve">The weakest future position is a generalist provider selling: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per-user support;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routine administration;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reactive tickets;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basic monitoring;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licence resale; and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rStyle w:val="Normal"/>
        </w:rPr>
        <w:t xml:space="preserve">labour availability.</w:t>
      </w:r>
    </w:p>
    <w:p>
      <w:r>
        <w:rPr>
          <w:rStyle w:val="Normal"/>
        </w:rPr>
        <w:t xml:space="preserve">The strongest position is a provider selling: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managed risk;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compliance evidence;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secure AI adoption;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data and agent governance;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business-process automation;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vertical expertise;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customer outcomes; and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repeatable intellectual property.</w:t>
      </w:r>
    </w:p>
    <w:p>
      <w:r>
        <w:rPr>
          <w:rStyle w:val="Normal"/>
        </w:rPr>
        <w:t xml:space="preserve">The decision facing today’s successful MSP owner is therefore not whether to abandon managed services. It is whether to re-architect the business </w:t>
      </w:r>
      <w:r>
        <w:rPr>
          <w:b/>
          <w:bCs/>
          <w:rStyle w:val="Normal"/>
        </w:rPr>
        <w:t xml:space="preserve">before automation, platforms and customer expectations reprice the old model on the owner’s behalf</w:t>
      </w:r>
      <w:r>
        <w:rPr>
          <w:rStyle w:val="Normal"/>
        </w:rPr>
        <w:t xml:space="preserve">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qusaxe6u8huo7vmtk-ztc" Type="http://schemas.openxmlformats.org/officeDocument/2006/relationships/hyperlink" Target="https://ciaops365e1-my.sharepoint.com/personal/admin_ciaops365_com/_layouts/15/Doc.aspx?sourcedoc=%7B39F667F4-87F1-42D9-A8CD-40D72A49A328%7D&amp;file=MSP-TSP-Business-Model-Strategic-Research-Report.docx&amp;action=default&amp;mobileredirect=true&amp;DefaultItemOpen=1" TargetMode="External"/><Relationship Id="rIdbhu5hcnffas12mz82xszv" Type="http://schemas.openxmlformats.org/officeDocument/2006/relationships/hyperlink" Target="https://ciaops365e1.sharepoint.com/sites/demo/_layouts/15/Doc.aspx?sourcedoc=%7B39F667F4-87F1-42D9-A8CD-40D72A49A328%7D&amp;file=MSP-TSP-Business-Model-Strategic-Research-Report.docx&amp;action=default&amp;mobileredirect=true&amp;DefaultItemOpen=1" TargetMode="External"/><Relationship Id="rId7" Type="http://schemas.openxmlformats.org/officeDocument/2006/relationships/customXml" Target="../customXml/item2.xml"/><Relationship Id="rId2" Type="http://schemas.openxmlformats.org/officeDocument/2006/relationships/numbering" Target="numbering.xml"/><Relationship Id="rIdhibrikxj86mugjpbhueou" Type="http://schemas.openxmlformats.org/officeDocument/2006/relationships/hyperlink" Target="https://ciaops365e1-my.sharepoint.com/personal/admin_ciaops365_com/_layouts/15/Doc.aspx?sourcedoc=%7B39F667F4-87F1-42D9-A8CD-40D72A49A328%7D&amp;file=MSP-TSP-Business-Model-Strategic-Research-Report.docx&amp;action=default&amp;mobileredirect=true&amp;DefaultItemOpen=1&amp;EntityRepresentationId=f3df9194-596e-4c24-a01a-4f36f031bcf1" TargetMode="External"/><Relationship Id="rIdnx2txr-v32zjtb0o17-go" Type="http://schemas.openxmlformats.org/officeDocument/2006/relationships/hyperlink" Target="https://ciaops365e1-my.sharepoint.com/personal/admin_ciaops365_com/_layouts/15/Doc.aspx" TargetMode="External"/><Relationship Id="rIdv7avrn26n3bfwgkcb_-pv" Type="http://schemas.openxmlformats.org/officeDocument/2006/relationships/hyperlink" Target="https://www.cisco.com/c/dam/en_us/solutions/global-partners/deloitte-delivering-customer-outcomes-managed-services.pdf?sourcedoc=%7B39F667F4-87F1-42D9-A8CD-40D72A49A328%7D&amp;file=MSP-TSP-Business-Model-Strategic-Research-Report.docx&amp;action=default&amp;mobileredirect=true&amp;DefaultItemOpen=1" TargetMode="External"/><Relationship Id="rIdeljksjospk7zxqopxgdpr" Type="http://schemas.openxmlformats.org/officeDocument/2006/relationships/hyperlink" Target="https://ciaops365e1-my.sharepoint.com/personal/admin_ciaops365_com/_layouts/15/Doc.aspx" TargetMode="External"/><Relationship Id="rIdqi2po5kdvtftbtavswpwd" Type="http://schemas.openxmlformats.org/officeDocument/2006/relationships/hyperlink" Target="https://www.forrester.com/blogs/the-ai-centric-service-desk-a-blueprint-for-modern-it-operations/" TargetMode="External"/><Relationship Id="rIdenvpqrekltqkq00mh-tor" Type="http://schemas.openxmlformats.org/officeDocument/2006/relationships/hyperlink" Target="https://www.gartner.com/en/newsroom/press-releases/2025-03-05-gartner-predicts-agentic-ai-will-autonomously-resolve-80-percent-of-common-customer-service-issues-without-human-intervention-by-20290?sourcedoc=%7B39F667F4-87F1-42D9-A8CD-40D72A49A328%7D&amp;file=MSP-TSP-Business-Model-Strategic-Research-Report.docx&amp;action=default&amp;mobileredirect=true&amp;DefaultItemOpen=1" TargetMode="External"/><Relationship Id="rId6eo1ta-55bwpmly1thbeo" Type="http://schemas.openxmlformats.org/officeDocument/2006/relationships/hyperlink" Target="https://ciaops365e1-my.sharepoint.com/personal/admin_ciaops365_com/_layouts/15/Doc.aspx" TargetMode="External"/><Relationship Id="rId1" Type="http://schemas.openxmlformats.org/officeDocument/2006/relationships/styles" Target="styles.xml"/><Relationship Id="rIdtm7fm0vszfkv_qh-8ws1c" Type="http://schemas.openxmlformats.org/officeDocument/2006/relationships/hyperlink" Target="https://aventis-advisors.com/msp-valuation-multiples/?sourcedoc=%7B4F3551C2-BFAB-4FA6-8AA9-0EFAF0448962%7D&amp;file=MSP-TSP-Obsolescence-Strategic-Report.docx&amp;action=default&amp;mobileredirect=true&amp;DefaultItemOpen=1" TargetMode="External"/><Relationship Id="rIdpuvqxx6npcoymp_6-zfmd" Type="http://schemas.openxmlformats.org/officeDocument/2006/relationships/hyperlink" Target="https://ciaops365e1-my.sharepoint.com/personal/admin_ciaops365_com/_layouts/15/Doc.aspx?sourcedoc=%7B39F667F4-87F1-42D9-A8CD-40D72A49A328%7D&amp;file=MSP-TSP-Business-Model-Strategic-Research-Report.docx&amp;action=default&amp;mobileredirect=true&amp;DefaultItemOpen=1" TargetMode="External"/><Relationship Id="rIdmub0n-sexj8z-4-vi9pu0" Type="http://schemas.openxmlformats.org/officeDocument/2006/relationships/hyperlink" Target="https://ciaops365e1-my.sharepoint.com/personal/admin_ciaops365_com/_layouts/15/Doc.aspx" TargetMode="External"/><Relationship Id="rIdfgwk61zxtzu8ouu0epoon" Type="http://schemas.openxmlformats.org/officeDocument/2006/relationships/hyperlink" Target="https://aventis-advisors.com/msp-valuation-multiples/?sourcedoc=%7B39F667F4-87F1-42D9-A8CD-40D72A49A328%7D&amp;file=MSP-TSP-Business-Model-Strategic-Research-Report.docx&amp;action=default&amp;mobileredirect=true&amp;DefaultItemOpen=1" TargetMode="External"/><Relationship Id="rIdnh7jw_jrov3h0jgcgufxo" Type="http://schemas.openxmlformats.org/officeDocument/2006/relationships/hyperlink" Target="https://ciaops365e1-my.sharepoint.com/personal/admin_ciaops365_com/_layouts/15/Doc.aspx" TargetMode="External"/><Relationship Id="rIdvrb4ljif-dq0aa9fbectn" Type="http://schemas.openxmlformats.org/officeDocument/2006/relationships/hyperlink" Target="https://www.mckinsey.com/industries/private-capital/our-insights/riding-the-hyperscaler-wave-the-investment-opportunity-in-cloud-ecosystems" TargetMode="External"/><Relationship Id="rId6" Type="http://schemas.openxmlformats.org/officeDocument/2006/relationships/customXml" Target="../customXml/item1.xml"/><Relationship Id="rId5" Type="http://schemas.openxmlformats.org/officeDocument/2006/relationships/comments" Target="comments.xml"/><Relationship Id="rIdit-girc84kp7ci5l9ndbt" Type="http://schemas.openxmlformats.org/officeDocument/2006/relationships/hyperlink" Target="https://www.cisco.com/c/dam/en_us/solutions/global-partners/deloitte-delivering-customer-outcomes-managed-services.pdf?sourcedoc=%7B4F3551C2-BFAB-4FA6-8AA9-0EFAF0448962%7D&amp;file=MSP-TSP-Obsolescence-Strategic-Report.docx&amp;action=default&amp;mobileredirect=true&amp;DefaultItemOpen=1&amp;EntityRepresentationId=03ebcdab-fbd5-4e86-afdf-83568f423778" TargetMode="External"/><Relationship Id="rIdiwdvun9swcikmwvyzs_da" Type="http://schemas.openxmlformats.org/officeDocument/2006/relationships/hyperlink" Target="https://ciaops365e1-my.sharepoint.com/personal/admin_ciaops365_com/_layouts/15/Doc.aspx" TargetMode="External"/><Relationship Id="rId8z0cz2hk5wsjqlqkvy7-1" Type="http://schemas.openxmlformats.org/officeDocument/2006/relationships/hyperlink" Target="https://www.microsoft.com/en-us/worklab/work-trend-index/2025-the-year-the-frontier-firm-is-born?sourcedoc=%7B4F3551C2-BFAB-4FA6-8AA9-0EFAF0448962%7D&amp;file=MSP-TSP-Obsolescence-Strategic-Report.docx&amp;action=default&amp;mobileredirect=true&amp;DefaultItemOpen=1" TargetMode="External"/><Relationship Id="rIdts3f0k7u4g_nl2qtimf5g" Type="http://schemas.openxmlformats.org/officeDocument/2006/relationships/hyperlink" Target="https://ciaops365e1-my.sharepoint.com/personal/admin_ciaops365_com/_layouts/15/Doc.aspx" TargetMode="External"/><Relationship Id="rIdkd0m-s56_cnw6riqhprbc" Type="http://schemas.openxmlformats.org/officeDocument/2006/relationships/hyperlink" Target="https://www.microsoft.com/investor/reports/ar25/index.html" TargetMode="External"/><Relationship Id="rIdtr01zlgyirq3w3vbyehty" Type="http://schemas.openxmlformats.org/officeDocument/2006/relationships/hyperlink" Target="https://www.mckinsey.com/industries/private-capital/our-insights/riding-the-hyperscaler-wave-the-investment-opportunity-in-cloud-ecosystems" TargetMode="External"/><Relationship Id="rId4" Type="http://schemas.openxmlformats.org/officeDocument/2006/relationships/settings" Target="settings.xml"/><Relationship Id="rIdpksennzizxtjcbr3ydf4j" Type="http://schemas.openxmlformats.org/officeDocument/2006/relationships/hyperlink" Target="https://www.marketsandmarkets.com/Market-Reports/managed-detection-and-response-market-168039027.html?sourcedoc=%7B39F667F4-87F1-42D9-A8CD-40D72A49A328%7D&amp;file=MSP-TSP-Business-Model-Strategic-Research-Report.docx&amp;action=default&amp;mobileredirect=true&amp;DefaultItemOpen=1" TargetMode="External"/><Relationship Id="rIdgc6p680sfero5b1yte_n7" Type="http://schemas.openxmlformats.org/officeDocument/2006/relationships/hyperlink" Target="https://ciaops365e1-my.sharepoint.com/personal/admin_ciaops365_com/_layouts/15/Doc.aspx?sourcedoc=%7B4F3551C2-BFAB-4FA6-8AA9-0EFAF0448962%7D&amp;file=MSP-TSP-Obsolescence-Strategic-Report.docx&amp;action=default&amp;mobileredirect=true&amp;DefaultItemOpen=1" TargetMode="External"/><Relationship Id="rIdaqk0ydec4z2v6wlenncg-" Type="http://schemas.openxmlformats.org/officeDocument/2006/relationships/hyperlink" Target="https://ciaops365e1-my.sharepoint.com/personal/admin_ciaops365_com/_layouts/15/Doc.aspx?sourcedoc=%7B39F667F4-87F1-42D9-A8CD-40D72A49A328%7D&amp;file=MSP-TSP-Business-Model-Strategic-Research-Report.docx&amp;action=default&amp;mobileredirect=true&amp;DefaultItemOpen=1" TargetMode="External"/><Relationship Id="rIdzttyi4j13rbvqnm4gnlyb" Type="http://schemas.openxmlformats.org/officeDocument/2006/relationships/hyperlink" Target="https://ciaops365e1-my.sharepoint.com/personal/admin_ciaops365_com/_layouts/15/Doc.aspx" TargetMode="External"/><Relationship Id="rIdof9qs--i73vzn_lqme2nn" Type="http://schemas.openxmlformats.org/officeDocument/2006/relationships/hyperlink" Target="https://blogs.microsoft.com/blog/2025/05/19/microsoft-build-2025-the-age-of-ai-agents-and-building-the-open-agentic-web/" TargetMode="External"/><Relationship Id="rIds2xmvottenxmshxrvynwf" Type="http://schemas.openxmlformats.org/officeDocument/2006/relationships/hyperlink" Target="https://partner.microsoft.com/en-us/blog/article/q3-2026-benefits" TargetMode="External"/><Relationship Id="rIdf6psrak9yyhkoj-hqhhz6" Type="http://schemas.openxmlformats.org/officeDocument/2006/relationships/hyperlink" Target="https://learn.microsoft.com/en-us/partner-center/benefits/benefits-faq-new" TargetMode="External"/><Relationship Id="rId8" Type="http://schemas.openxmlformats.org/officeDocument/2006/relationships/customXml" Target="../customXml/item3.xml"/><Relationship Id="rId3" Type="http://schemas.openxmlformats.org/officeDocument/2006/relationships/footnotes" Target="footnotes.xml"/><Relationship Id="rId7kmvzza8-vpntw0d_j30p" Type="http://schemas.openxmlformats.org/officeDocument/2006/relationships/hyperlink" Target="https://kpmg.com/xx/en/our-insights/transformation/managed-services-outlook.html?sourcedoc=%7BEAC3D49F-6A5F-470E-A29A-7281A4A09AD9%7D&amp;file=20260729%20-%20Researcher%20Council.docx&amp;action=default&amp;mobileredirect=true&amp;DefaultItemOpen=1" TargetMode="External"/></Relationships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5052F6358F814D992D28385EE1BE6B" ma:contentTypeVersion="3" ma:contentTypeDescription="Create a new document." ma:contentTypeScope="" ma:versionID="4e523ba7feac41abae5805bcdbcbfa3f">
  <xsd:schema xmlns:xsd="http://www.w3.org/2001/XMLSchema" xmlns:xs="http://www.w3.org/2001/XMLSchema" xmlns:p="http://schemas.microsoft.com/office/2006/metadata/properties" xmlns:ns2="d8963cbe-69d3-4a85-9255-9a8759bba65f" targetNamespace="http://schemas.microsoft.com/office/2006/metadata/properties" ma:root="true" ma:fieldsID="ee382c760e23cefc3e353db0c0990a48" ns2:_="">
    <xsd:import namespace="d8963cbe-69d3-4a85-9255-9a8759bba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3cbe-69d3-4a85-9255-9a8759bba6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EF195D7-8419-4856-B6BF-891AD6070506}"/>
</file>

<file path=customXml/itemProps2.xml><?xml version="1.0" encoding="utf-8"?>
<ds:datastoreItem xmlns:ds="http://schemas.openxmlformats.org/officeDocument/2006/customXml" ds:itemID="{FCDDF106-5D99-4C28-AB34-CD06617C593C}"/>
</file>

<file path=customXml/itemProps3.xml><?xml version="1.0" encoding="utf-8"?>
<ds:datastoreItem xmlns:ds="http://schemas.openxmlformats.org/officeDocument/2006/customXml" ds:itemID="{6183841E-9775-425E-8B44-57799BCDA74D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2026-07-29T22:33:27Z</dcterms:created>
  <dcterms:modified xsi:type="dcterms:W3CDTF">2026-07-29T22:33:27Z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0x0101001D5052F6358F814D992D28385EE1BE6B</vt:lpwstr>
  </property>
</Properties>
</file>