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 the Traditional MSP and TSP Business Model Becoming Obsolete?</w:t>
      </w:r>
    </w:p>
    <w:p>
      <w:r>
        <w:t>A strategic, evidence-based examination of managed and technology service provider economics, 2026–2036</w:t>
      </w:r>
    </w:p>
    <w:p>
      <w:r>
        <w:t>Prepared for MSP owners, partner executives, boards and investors in technology service providers</w:t>
      </w:r>
    </w:p>
    <w:p>
      <w:r>
        <w:t>Prepared by CIAOPS  |  9 August 2026</w:t>
      </w:r>
    </w:p>
    <w:p>
      <w:r>
        <w:t>This report tests a hypothesis rather than asserting one. It was written for a reader who runs a profitable, conventional managed services business and is sceptical that structural change is required. Where the evidence supports that scepticism, it is presented. Where it does not, the counter-evidence is presented with equal weight and cited to source.</w:t>
      </w:r>
    </w:p>
    <w:p>
      <w:r>
        <w:br w:type="page"/>
      </w:r>
    </w:p>
    <w:p>
      <w:pPr>
        <w:pStyle w:val="Heading1"/>
      </w:pPr>
      <w:r>
        <w:t>Contents</w:t>
      </w:r>
    </w:p>
    <w:p>
      <w:fldSimple w:instr="TOC \o &quot;1-3&quot; \h \z \u" w:dirty="true">
        <w:r>
          <w:t>Table of contents (updates when the document opens)</w:t>
        </w:r>
      </w:fldSimple>
    </w:p>
    <w:p>
      <w:r>
        <w:br w:type="page"/>
      </w:r>
    </w:p>
    <w:p>
      <w:pPr>
        <w:pStyle w:val="Heading1"/>
      </w:pPr>
      <w:r>
        <w:t>1. Executive Summary</w:t>
      </w:r>
    </w:p>
    <w:p>
      <w:r>
        <w:t>The evidence does not support the strongest form of the obsolescence thesis. Managed services demand is growing, not shrinking: Canalys forecast the global managed services market to grow 13% in 2025 to US$595 billion, and reported that 2024 revenue passed half a trillion dollars at 9.7% year-on-year growth. An industry in terminal decline does not add fifty billion dollars of revenue a year. Any argument that MSPs are about to disappear is contradicted by the top line.</w:t>
      </w:r>
    </w:p>
    <w:p>
      <w:r>
        <w:t>The evidence does, however, strongly support a narrower and more uncomfortable conclusion. The market is growing while the number of providers sharing it is falling, and the profit within it is redistributing away from the conventional operating model. Canalys reported the channel partner count shrank 0.6% in 2024 even as revenue grew. The Service Leadership Index, the longest-running independent financial benchmark for technology solution providers, put average worldwide MSP adjusted EBITDA at 11.1% in Q4 2024, with 18% of MSPs reporting an outright loss, and worldwide managed services revenue growth of just 1.0% in that quarter — the lowest of the year. In the same benchmark, project services gross margin collapsed from 23% in Q4 2023 to 12.9% in Q4 2024 on weak utilisation. Industry analysis of the same period puts focused, specialised MSPs at 15–30% EBITDA against roughly 7% for unfocused ones. That dispersion, not the market average, is the story.</w:t>
      </w:r>
    </w:p>
    <w:p>
      <w:r>
        <w:t>Three forces are driving the redistribution, and they compound. First, the commodity layer of the MSP value proposition is being automated. Gartner forecasts that by 2029 agentic AI will autonomously resolve 80% of common customer service issues without human intervention, cutting operational costs 30%; the US Bureau of Labor Statistics independently projects computer support specialist employment to decline 3% between 2024 and 2034. Second, the platform vendors are absorbing work that partners used to sell. Windows Autopatch is documented by Microsoft as a service that helps customers "minimize the involvement of your scarce IT resources", and Microsoft has extended Security Copilot to all Microsoft 365 E5 customers alongside a dozen embedded security agents in Defender, Entra, Intune and Purview. Third, procurement is moving to the platform: Canalys expects more than 50% of hyperscaler marketplace sales to run through channel partners by 2027, which is simultaneously an opportunity and an admission that the marketplace, not the partner, is becoming the transaction layer.</w:t>
      </w:r>
    </w:p>
    <w:p>
      <w:r>
        <w:t>Set against this, the disruption case is routinely overstated on timing. Gartner also predicts that more than 40% of agentic AI projects will be cancelled by the end of 2027. The most rigorous causal study of AI in a support environment — Brynjolfsson, Li and Raymond in the Quarterly Journal of Economics — found a 15% average productivity gain, concentrated among less experienced workers, not the wholesale replacement vendors imply. METR's 2025 randomised study found experienced developers took 19% longer with AI assistance. Vendor deflection statistics of 80–98% are self-reported marketing and should not be used for planning.</w:t>
      </w:r>
    </w:p>
    <w:p>
      <w:r>
        <w:t>The historical parallels sharpen the point rather than soften it. Kyndryl's revenue fell from $21.80 billion in 2018 to $15.09 billion in FY2026, roughly 31%, and DXC from $21.73 billion in FY2018 to $12.64 billion in FY2026, roughly 42%. Rackspace repositioned exactly as the strategy textbooks prescribe — from commodity hosting up the stack into multicloud managed services — and still went from a $4.3 billion take-private in 2016 to a market capitalisation under $1 billion. Moving up the value stack improved the odds in every case examined; it conferred immunity in none. That is the single most important caution in this report for any owner who intends to "add AI services" and otherwise carry on.</w:t>
      </w:r>
    </w:p>
    <w:p>
      <w:r>
        <w:t>Our central judgement is bifurcation, not extinction. The MSP and TSP business model remains viable to 2030 and beyond, but the conventional per-seat, help-desk-centric, labour-leveraged version of it does not. On an illustrative $5 million provider modelled in Section 6, holding the current model through 2030 produces revenue decline of roughly 5.6% a year and EBITDA falling from 11.1% to about 4.4%, cutting enterprise value at a constant multiple by around 70%. Partial transformation produces roughly 4.4% revenue growth and 14.5% EBITDA. Full transformation to a security-led, AI-enabled, IP-bearing model produces roughly 11.2% growth and 26.4% EBITDA, and — because larger, better-margin, more recurring assets attract higher multiples — an enterprise value several times the status quo. The gap between the bear and bull outcomes on the same starting business is roughly a factor of ten in equity value. That gap is the return on transformation.</w:t>
      </w:r>
    </w:p>
    <w:p>
      <w:r>
        <w:t>Our estimate, presented with explicit uncertainty in Section 12, is that over the decade to 2036 roughly a quarter of today's providers transform successfully, roughly half are absorbed through consolidation, and roughly a quarter decline or exit. Very few fail dramatically. Most simply become progressively less valuable until a buyer's offer, or an owner's retirement, ends the story quietly. The most at-risk categories are sub-$2 million generalist providers whose revenue is predominantly per-seat support and licence resale, whose gross margin sits below 40%, and whose delivery model depends on a small number of irreplaceable technicians.</w:t>
      </w:r>
    </w:p>
    <w:p>
      <w:r>
        <w:t>The recommended response, detailed in Sections 10 and 11, is not to abandon managed services. It is to change what is inside the managed service, what it is priced on, and who does the work. Security and compliance should be repositioned from an add-on to the commercial centre of the contract. AI governance and agent operations — a category Microsoft's own commercial leadership is now explicitly directing partners toward — should be built as a service line while the market is still forming. Delivery labour should be structurally reduced through automation, with the savings taken as margin rather than passed through as price. And the commercial model should migrate away from per-seat and per-device units toward outcome, platform and subscription-IP pricing, because per-unit pricing is precisely the mechanism by which AI-driven efficiency gains get handed to the customer instead of retained by the provider.</w:t>
      </w:r>
    </w:p>
    <w:p>
      <w:r>
        <w:br w:type="page"/>
      </w:r>
    </w:p>
    <w:p>
      <w:pPr>
        <w:pStyle w:val="Heading1"/>
      </w:pPr>
      <w:r>
        <w:t>2. Research Methodology</w:t>
      </w:r>
    </w:p>
    <w:p>
      <w:pPr>
        <w:pStyle w:val="Heading2"/>
      </w:pPr>
      <w:r>
        <w:t>2.1 Approach</w:t>
      </w:r>
    </w:p>
    <w:p>
      <w:r>
        <w:t>This report was commissioned to test, not to prove, the proposition that traditional MSP and TSP business models are becoming economically unsustainable. The research was structured as four parallel evidence streams: industry economics and market structure; the measured and forecast impact of AI and agentic automation on service delivery; Microsoft's strategic direction together with hyperscaler and security-market dynamics; and historical precedents of intermediary disruption in other industries. Each stream was researched independently and against explicitly falsifying questions, so that contradicting evidence would surface rather than be filtered out.</w:t>
      </w:r>
    </w:p>
    <w:p>
      <w:r>
        <w:t>Analysis of competing hypotheses was applied at the synthesis stage. Three hypotheses were carried forward and tested against the full evidence set: that traditional MSPs face terminal obsolescence; that the model is durable and current anxiety is a hype cycle; and that the market bifurcates, with commodity layers commoditising further while value re-intermediates toward specialisation. The third hypothesis explains the largest share of the evidence, including the evidence that contradicts the other two, and is therefore the report's central judgement.</w:t>
      </w:r>
    </w:p>
    <w:p>
      <w:pPr>
        <w:pStyle w:val="Heading2"/>
      </w:pPr>
      <w:r>
        <w:t>2.2 Source hierarchy and quality tiering</w:t>
      </w:r>
    </w:p>
    <w:p>
      <w:r>
        <w:t>Sources were tiered by independence and verifiability. Primary regulatory and government sources — Microsoft's earnings releases and investor communications, US Bureau of Labor Statistics occupational data, CISA advisories, SEC rule statements — carry the highest weight. Independent benchmarks and analyst research follow: the Service Leadership Index, Gartner, Canalys and Omdia, Forrester, IDC, ManpowerGroup, CompTIA, and the investment bank Drake Star for transaction data. Peer-reviewed and quasi-experimental academic work was used in preference to any vendor productivity claim. Vendor and marketing material was retained only where it evidences capability or strategic intent, and is labelled as such throughout.</w:t>
      </w:r>
    </w:p>
    <w:p>
      <w:r>
        <w:t>The table below records the quality tiering applied and the specific limitations that follow from it. Readers making capital allocation decisions on the basis of this report should read this table before the financial analysis in Section 6.</w:t>
      </w:r>
    </w:p>
    <w:tbl>
      <w:tblPr>
        <w:tblStyle w:val="LightShading-Accent1"/>
        <w:tblW w:w="5000" w:type="pct"/>
        <w:tblLayout w:type="fixed"/>
        <w:tblLook w:val="04A0" w:firstRow="1" w:lastRow="0" w:firstColumn="1" w:lastColumn="0" w:noHBand="0" w:noVBand="1"/>
      </w:tblPr>
      <w:tblGrid>
        <w:gridCol w:w="2880"/>
        <w:gridCol w:w="2880"/>
        <w:gridCol w:w="2880"/>
      </w:tblGrid>
      <w:tr>
        <w:trPr>
          <w:tblHeader/>
        </w:trPr>
        <w:tc>
          <w:p>
            <w:r>
              <w:rPr>
                <w:b/>
              </w:rPr>
              <w:t>Evidence tier</w:t>
            </w:r>
          </w:p>
        </w:tc>
        <w:tc>
          <w:p>
            <w:r>
              <w:rPr>
                <w:b/>
              </w:rPr>
              <w:t>Representative sources used</w:t>
            </w:r>
          </w:p>
        </w:tc>
        <w:tc>
          <w:p>
            <w:r>
              <w:rPr>
                <w:b/>
              </w:rPr>
              <w:t>Weight and known limitation</w:t>
            </w:r>
          </w:p>
        </w:tc>
      </w:tr>
      <w:tr>
        <w:tc>
          <w:p>
            <w:r>
              <w:t>Primary issuer and government</w:t>
            </w:r>
          </w:p>
        </w:tc>
        <w:tc>
          <w:p>
            <w:r>
              <w:t>Microsoft FY2025 and FY2026 earnings releases; US Bureau of Labor Statistics; CISA advisories; SEC statements; Atos, Kyndryl and Rackspace filings</w:t>
            </w:r>
          </w:p>
        </w:tc>
        <w:tc>
          <w:p>
            <w:r>
              <w:t>Highest. Audited or statutory. Limitation: reports the past, not the forecast.</w:t>
            </w:r>
          </w:p>
        </w:tc>
      </w:tr>
      <w:tr>
        <w:tc>
          <w:p>
            <w:r>
              <w:t>Independent benchmark</w:t>
            </w:r>
          </w:p>
        </w:tc>
        <w:tc>
          <w:p>
            <w:r>
              <w:t>Service Leadership Index (ConnectWise-owned but vendor-neutral in method); CompTIA; ManpowerGroup</w:t>
            </w:r>
          </w:p>
        </w:tc>
        <w:tc>
          <w:p>
            <w:r>
              <w:t>High for margin structure. Limitation: revenue per employee, utilisation and effective rate sit behind a paywall and are not asserted here.</w:t>
            </w:r>
          </w:p>
        </w:tc>
      </w:tr>
      <w:tr>
        <w:tc>
          <w:p>
            <w:r>
              <w:t>Analyst research and forecast</w:t>
            </w:r>
          </w:p>
        </w:tc>
        <w:tc>
          <w:p>
            <w:r>
              <w:t>Gartner; Canalys and Omdia; Forrester; IDC</w:t>
            </w:r>
          </w:p>
        </w:tc>
        <w:tc>
          <w:p>
            <w:r>
              <w:t>Moderate to high on direction. Limitation: forecasts carry wide error bars and several key documents are paywalled to abstract level.</w:t>
            </w:r>
          </w:p>
        </w:tc>
      </w:tr>
      <w:tr>
        <w:tc>
          <w:p>
            <w:r>
              <w:t>Peer-reviewed and quasi-experimental</w:t>
            </w:r>
          </w:p>
        </w:tc>
        <w:tc>
          <w:p>
            <w:r>
              <w:t>Brynjolfsson, Li and Raymond (Quarterly Journal of Economics, 2025); METR (2025); Stanford Digital Economy Lab (2025); World Economic Forum Future of Jobs 2025</w:t>
            </w:r>
          </w:p>
        </w:tc>
        <w:tc>
          <w:p>
            <w:r>
              <w:t>Highest for causal claims about AI productivity. Limitation: two of the four are working papers, not yet peer reviewed.</w:t>
            </w:r>
          </w:p>
        </w:tc>
      </w:tr>
      <w:tr>
        <w:tc>
          <w:p>
            <w:r>
              <w:t>Vendor and commercial</w:t>
            </w:r>
          </w:p>
        </w:tc>
        <w:tc>
          <w:p>
            <w:r>
              <w:t>Microsoft partner communications; CrowdStrike; Palo Alto Networks; ServiceNow; Datto and Kaseya surveys; M&amp;A advisory publications</w:t>
            </w:r>
          </w:p>
        </w:tc>
        <w:tc>
          <w:p>
            <w:r>
              <w:t>Evidence of capability and intent only. Limitation: deflection and accuracy percentages are self-measured and unaudited; not used for modelling.</w:t>
            </w:r>
          </w:p>
        </w:tc>
      </w:tr>
    </w:tbl>
    <w:p>
      <w:pPr>
        <w:pStyle w:val="Heading2"/>
      </w:pPr>
      <w:r>
        <w:t>2.3 What this report does not claim</w:t>
      </w:r>
    </w:p>
    <w:p>
      <w:r>
        <w:t>Several figures commonly cited in MSP industry discussion could not be verified from a primary or independent source and are therefore absent. There is no published Microsoft CSP base margin percentage, and the widely repeated claim of a fixed uplift for monthly-term versus annual-commitment purchasing under New Commerce could not be confirmed in Microsoft documentation; what is verifiable is structural, namely that partner economics now run through incentives and designations rather than a fixed reseller discount. Benchmark revenue per employee, technician utilisation and effective hourly rate are paywalled and are not estimated. A rigorous MSP technician attrition rate and a US IT-support wage inflation series could not be sourced. Market size estimates for managed services range from roughly $305 billion to $595 billion for 2024 and 2025 depending on whether the definition captures the SMB channel alone or broad enterprise outsourcing; this report presents the range and does not average across incompatible definitions.</w:t>
      </w:r>
    </w:p>
    <w:p>
      <w:r>
        <w:t>Two commonly cited MSP counts, approximately 90,000 and approximately 335,385, are both attributed to Canalys and are almost certainly measuring pure-play MSPs and all channel partners respectively. Neither could be traced to a primary Canalys document, so the range is reported rather than a point estimate. As a partial cross-check, Microsoft states that its Cloud Solution Provider programme comprises over 90,000 participating companies.</w:t>
      </w:r>
    </w:p>
    <w:p>
      <w:r>
        <w:br w:type="page"/>
      </w:r>
    </w:p>
    <w:p>
      <w:pPr>
        <w:pStyle w:val="Heading1"/>
      </w:pPr>
      <w:r>
        <w:t>3. Key Findings</w:t>
      </w:r>
    </w:p>
    <w:p>
      <w:r>
        <w:t>The ten findings below are the load-bearing conclusions of the research. Each is stated with the confidence the evidence supports, and each is developed with full citation in the sections that follow.</w:t>
      </w:r>
    </w:p>
    <w:tbl>
      <w:tblPr>
        <w:tblStyle w:val="LightShading-Accent1"/>
        <w:tblW w:w="5000" w:type="pct"/>
        <w:tblLayout w:type="fixed"/>
        <w:tblLook w:val="04A0" w:firstRow="1" w:lastRow="0" w:firstColumn="1" w:lastColumn="0" w:noHBand="0" w:noVBand="1"/>
      </w:tblPr>
      <w:tblGrid>
        <w:gridCol w:w="620"/>
        <w:gridCol w:w="2880"/>
        <w:gridCol w:w="1900"/>
      </w:tblGrid>
      <w:tr>
        <w:trPr>
          <w:tblHeader/>
        </w:trPr>
        <w:tc>
          <w:tcPr>
            <w:tcW w:w="620" w:type="dxa"/>
          </w:tcPr>
          <w:p>
            <w:r>
              <w:rPr>
                <w:b/>
              </w:rPr>
              <w:t>#</w:t>
            </w:r>
          </w:p>
        </w:tc>
        <w:tc>
          <w:p>
            <w:r>
              <w:rPr>
                <w:b/>
              </w:rPr>
              <w:t>Finding</w:t>
            </w:r>
          </w:p>
        </w:tc>
        <w:tc>
          <w:tcPr>
            <w:tcW w:w="1900" w:type="dxa"/>
          </w:tcPr>
          <w:p>
            <w:r>
              <w:rPr>
                <w:b/>
              </w:rPr>
              <w:t>Confidence</w:t>
            </w:r>
          </w:p>
        </w:tc>
      </w:tr>
      <w:tr>
        <w:tc>
          <w:tcPr>
            <w:tcW w:w="620" w:type="dxa"/>
          </w:tcPr>
          <w:p>
            <w:r>
              <w:t>1</w:t>
            </w:r>
          </w:p>
        </w:tc>
        <w:tc>
          <w:p>
            <w:r>
              <w:t>The managed services market is growing at roughly 10–13% a year while the number of providers is falling. Demand is not the problem; the number of firms sharing the demand, and the margin structure of the work, are.</w:t>
            </w:r>
          </w:p>
        </w:tc>
        <w:tc>
          <w:tcPr>
            <w:tcW w:w="1900" w:type="dxa"/>
          </w:tcPr>
          <w:p>
            <w:r>
              <w:t>High</w:t>
            </w:r>
          </w:p>
        </w:tc>
      </w:tr>
      <w:tr>
        <w:tc>
          <w:tcPr>
            <w:tcW w:w="620" w:type="dxa"/>
          </w:tcPr>
          <w:p>
            <w:r>
              <w:t>2</w:t>
            </w:r>
          </w:p>
        </w:tc>
        <w:tc>
          <w:p>
            <w:r>
              <w:t>Average MSP profitability is thin and dispersing. Adjusted EBITDA averaged 11.1% in Q4 2024 with 18% of providers loss-making, while focused providers reach 15–30% and unfocused ones sit near 7%.</w:t>
            </w:r>
          </w:p>
        </w:tc>
        <w:tc>
          <w:tcPr>
            <w:tcW w:w="1900" w:type="dxa"/>
          </w:tcPr>
          <w:p>
            <w:r>
              <w:t>High</w:t>
            </w:r>
          </w:p>
        </w:tc>
      </w:tr>
      <w:tr>
        <w:tc>
          <w:tcPr>
            <w:tcW w:w="620" w:type="dxa"/>
          </w:tcPr>
          <w:p>
            <w:r>
              <w:t>3</w:t>
            </w:r>
          </w:p>
        </w:tc>
        <w:tc>
          <w:p>
            <w:r>
              <w:t>Professional services, historically the margin cushion on top of recurring revenue, has compressed severely: project gross margin fell from 23% to 12.9% year on year on weak utilisation.</w:t>
            </w:r>
          </w:p>
        </w:tc>
        <w:tc>
          <w:tcPr>
            <w:tcW w:w="1900" w:type="dxa"/>
          </w:tcPr>
          <w:p>
            <w:r>
              <w:t>High</w:t>
            </w:r>
          </w:p>
        </w:tc>
      </w:tr>
      <w:tr>
        <w:tc>
          <w:tcPr>
            <w:tcW w:w="620" w:type="dxa"/>
          </w:tcPr>
          <w:p>
            <w:r>
              <w:t>4</w:t>
            </w:r>
          </w:p>
        </w:tc>
        <w:tc>
          <w:p>
            <w:r>
              <w:t>AI automates the commodity layer of service delivery earlier and more completely than the complex layer. The measured effect is a 15% average productivity gain concentrated in junior work, not wholesale replacement — but the commodity layer is exactly what per-seat contracts monetise.</w:t>
            </w:r>
          </w:p>
        </w:tc>
        <w:tc>
          <w:tcPr>
            <w:tcW w:w="1900" w:type="dxa"/>
          </w:tcPr>
          <w:p>
            <w:r>
              <w:t>High on direction, moderate on pace</w:t>
            </w:r>
          </w:p>
        </w:tc>
      </w:tr>
      <w:tr>
        <w:tc>
          <w:tcPr>
            <w:tcW w:w="620" w:type="dxa"/>
          </w:tcPr>
          <w:p>
            <w:r>
              <w:t>5</w:t>
            </w:r>
          </w:p>
        </w:tc>
        <w:tc>
          <w:p>
            <w:r>
              <w:t>Per-user and per-device pricing converts AI-driven efficiency into a customer benefit rather than a provider margin. Under labour-linked pricing, automation reduces cost and price together, so the provider funds the productivity gain and keeps none of it.</w:t>
            </w:r>
          </w:p>
        </w:tc>
        <w:tc>
          <w:tcPr>
            <w:tcW w:w="1900" w:type="dxa"/>
          </w:tcPr>
          <w:p>
            <w:r>
              <w:t>High (analytical, from pricing mechanics)</w:t>
            </w:r>
          </w:p>
        </w:tc>
      </w:tr>
      <w:tr>
        <w:tc>
          <w:tcPr>
            <w:tcW w:w="620" w:type="dxa"/>
          </w:tcPr>
          <w:p>
            <w:r>
              <w:t>6</w:t>
            </w:r>
          </w:p>
        </w:tc>
        <w:tc>
          <w:p>
            <w:r>
              <w:t>Microsoft's strategy simultaneously erodes and re-creates partner value. Autopatch, Autopilot, baseline security defaults and embedded Copilot administration remove partner tasks; agent governance, security operations and AI transformation create larger, higher-margin ones — for partners who build the capability.</w:t>
            </w:r>
          </w:p>
        </w:tc>
        <w:tc>
          <w:tcPr>
            <w:tcW w:w="1900" w:type="dxa"/>
          </w:tcPr>
          <w:p>
            <w:r>
              <w:t>High</w:t>
            </w:r>
          </w:p>
        </w:tc>
      </w:tr>
      <w:tr>
        <w:tc>
          <w:tcPr>
            <w:tcW w:w="620" w:type="dxa"/>
          </w:tcPr>
          <w:p>
            <w:r>
              <w:t>7</w:t>
            </w:r>
          </w:p>
        </w:tc>
        <w:tc>
          <w:p>
            <w:r>
              <w:t>Security is the clearest growth engine and the clearest differentiator. Cybersecurity managed services grew around 15% to roughly $80 billion, and managed detection and response is compounding in the low-to-mid twenties per cent, against roughly 10% for managed services overall.</w:t>
            </w:r>
          </w:p>
        </w:tc>
        <w:tc>
          <w:tcPr>
            <w:tcW w:w="1900" w:type="dxa"/>
          </w:tcPr>
          <w:p>
            <w:r>
              <w:t>Moderate-high</w:t>
            </w:r>
          </w:p>
        </w:tc>
      </w:tr>
      <w:tr>
        <w:tc>
          <w:tcPr>
            <w:tcW w:w="620" w:type="dxa"/>
          </w:tcPr>
          <w:p>
            <w:r>
              <w:t>8</w:t>
            </w:r>
          </w:p>
        </w:tc>
        <w:tc>
          <w:p>
            <w:r>
              <w:t>Consolidation is the dominant structural force and is being financed by private equity. Drake Star recorded 466 MSP transactions worth $4.3 billion in 2025, up around 20% year on year; Evergreen Services Group alone has completed over 100 acquisitions since 2017.</w:t>
            </w:r>
          </w:p>
        </w:tc>
        <w:tc>
          <w:tcPr>
            <w:tcW w:w="1900" w:type="dxa"/>
          </w:tcPr>
          <w:p>
            <w:r>
              <w:t>High</w:t>
            </w:r>
          </w:p>
        </w:tc>
      </w:tr>
      <w:tr>
        <w:tc>
          <w:tcPr>
            <w:tcW w:w="620" w:type="dxa"/>
          </w:tcPr>
          <w:p>
            <w:r>
              <w:t>9</w:t>
            </w:r>
          </w:p>
        </w:tc>
        <w:tc>
          <w:p>
            <w:r>
              <w:t>History shows moving up the value stack improves survival odds but does not guarantee growth. Rackspace, Kyndryl and DXC each repositioned as prescribed and each still shrank materially. Owning defensible intellectual property, not merely repositioning, separates the winners.</w:t>
            </w:r>
          </w:p>
        </w:tc>
        <w:tc>
          <w:tcPr>
            <w:tcW w:w="1900" w:type="dxa"/>
          </w:tcPr>
          <w:p>
            <w:r>
              <w:t>Moderate-high</w:t>
            </w:r>
          </w:p>
        </w:tc>
      </w:tr>
      <w:tr>
        <w:tc>
          <w:tcPr>
            <w:tcW w:w="620" w:type="dxa"/>
          </w:tcPr>
          <w:p>
            <w:r>
              <w:t>10</w:t>
            </w:r>
          </w:p>
        </w:tc>
        <w:tc>
          <w:p>
            <w:r>
              <w:t>The realistic downside is not sudden failure but slow devaluation. Providers that hold the current model are most likely to trade at declining multiples on declining EBITDA and exit through consolidation on the buyer's terms rather than their own.</w:t>
            </w:r>
          </w:p>
        </w:tc>
        <w:tc>
          <w:tcPr>
            <w:tcW w:w="1900" w:type="dxa"/>
          </w:tcPr>
          <w:p>
            <w:r>
              <w:t>Moderate-high</w:t>
            </w:r>
          </w:p>
        </w:tc>
      </w:tr>
    </w:tbl>
    <w:p>
      <w:r>
        <w:br w:type="page"/>
      </w:r>
    </w:p>
    <w:p>
      <w:pPr>
        <w:pStyle w:val="Heading1"/>
      </w:pPr>
      <w:r>
        <w:t>4. Evidence and Source Citations</w:t>
      </w:r>
    </w:p>
    <w:p>
      <w:r>
        <w:t>The table below consolidates the load-bearing quantitative evidence used throughout this report, with its originating source and date, so that a reader can assess the foundations of the analysis without reconstructing them from the narrative. Full references appear in Section 14. Statistics that could not be verified from an independent or primary source have been excluded from the report entirely rather than reproduced with caveats, and the specific exclusions are listed in Section 2.3.</w:t>
      </w:r>
    </w:p>
    <w:tbl>
      <w:tblPr>
        <w:tblStyle w:val="LightShading-Accent1"/>
        <w:tblW w:w="5000" w:type="pct"/>
        <w:tblLayout w:type="fixed"/>
        <w:tblLook w:val="04A0" w:firstRow="1" w:lastRow="0" w:firstColumn="1" w:lastColumn="0" w:noHBand="0" w:noVBand="1"/>
      </w:tblPr>
      <w:tblGrid>
        <w:gridCol w:w="2160"/>
        <w:gridCol w:w="2160"/>
        <w:gridCol w:w="2160"/>
        <w:gridCol w:w="1100"/>
      </w:tblGrid>
      <w:tr>
        <w:trPr>
          <w:tblHeader/>
        </w:trPr>
        <w:tc>
          <w:p>
            <w:r>
              <w:rPr>
                <w:b/>
              </w:rPr>
              <w:t>Evidence</w:t>
            </w:r>
          </w:p>
        </w:tc>
        <w:tc>
          <w:p>
            <w:r>
              <w:rPr>
                <w:b/>
              </w:rPr>
              <w:t>Figure</w:t>
            </w:r>
          </w:p>
        </w:tc>
        <w:tc>
          <w:p>
            <w:r>
              <w:rPr>
                <w:b/>
              </w:rPr>
              <w:t>Source</w:t>
            </w:r>
          </w:p>
        </w:tc>
        <w:tc>
          <w:tcPr>
            <w:tcW w:w="1100" w:type="dxa"/>
          </w:tcPr>
          <w:p>
            <w:r>
              <w:rPr>
                <w:b/>
              </w:rPr>
              <w:t>Date</w:t>
            </w:r>
          </w:p>
        </w:tc>
      </w:tr>
      <w:tr>
        <w:tc>
          <w:p>
            <w:r>
              <w:t>Managed services market growth</w:t>
            </w:r>
          </w:p>
        </w:tc>
        <w:tc>
          <w:p>
            <w:r>
              <w:t>Forecast +13% in 2025 to US$595bn; 2024 revenue over $500bn at +9.7%</w:t>
            </w:r>
          </w:p>
        </w:tc>
        <w:tc>
          <w:p>
            <w:r>
              <w:t>Canalys and Omdia</w:t>
            </w:r>
          </w:p>
        </w:tc>
        <w:tc>
          <w:tcPr>
            <w:tcW w:w="1100" w:type="dxa"/>
          </w:tcPr>
          <w:p>
            <w:r>
              <w:t>2025</w:t>
            </w:r>
          </w:p>
        </w:tc>
      </w:tr>
      <w:tr>
        <w:tc>
          <w:p>
            <w:r>
              <w:t>Provider count against revenue</w:t>
            </w:r>
          </w:p>
        </w:tc>
        <w:tc>
          <w:p>
            <w:r>
              <w:t>Channel partner count down 0.6% while revenue grew</w:t>
            </w:r>
          </w:p>
        </w:tc>
        <w:tc>
          <w:p>
            <w:r>
              <w:t>Canalys, via Business of Tech</w:t>
            </w:r>
          </w:p>
        </w:tc>
        <w:tc>
          <w:tcPr>
            <w:tcW w:w="1100" w:type="dxa"/>
          </w:tcPr>
          <w:p>
            <w:r>
              <w:t>4 Sep 2025</w:t>
            </w:r>
          </w:p>
        </w:tc>
      </w:tr>
      <w:tr>
        <w:tc>
          <w:p>
            <w:r>
              <w:t>MSP profitability</w:t>
            </w:r>
          </w:p>
        </w:tc>
        <w:tc>
          <w:p>
            <w:r>
              <w:t>Adjusted EBITDA 11.1% in Q4 2024, down from 12.2%; 18% of MSPs loss-making; managed services revenue growth 1.0%</w:t>
            </w:r>
          </w:p>
        </w:tc>
        <w:tc>
          <w:p>
            <w:r>
              <w:t>Service Leadership Index</w:t>
            </w:r>
          </w:p>
        </w:tc>
        <w:tc>
          <w:tcPr>
            <w:tcW w:w="1100" w:type="dxa"/>
          </w:tcPr>
          <w:p>
            <w:r>
              <w:t>13 Feb 2025</w:t>
            </w:r>
          </w:p>
        </w:tc>
      </w:tr>
      <w:tr>
        <w:tc>
          <w:p>
            <w:r>
              <w:t>Professional services margin</w:t>
            </w:r>
          </w:p>
        </w:tc>
        <w:tc>
          <w:p>
            <w:r>
              <w:t>Project gross margin fell from 23% to 12.9% year on year</w:t>
            </w:r>
          </w:p>
        </w:tc>
        <w:tc>
          <w:p>
            <w:r>
              <w:t>Service Leadership Index</w:t>
            </w:r>
          </w:p>
        </w:tc>
        <w:tc>
          <w:tcPr>
            <w:tcW w:w="1100" w:type="dxa"/>
          </w:tcPr>
          <w:p>
            <w:r>
              <w:t>13 Feb 2025</w:t>
            </w:r>
          </w:p>
        </w:tc>
      </w:tr>
      <w:tr>
        <w:tc>
          <w:p>
            <w:r>
              <w:t>Margin dispersion by focus</w:t>
            </w:r>
          </w:p>
        </w:tc>
        <w:tc>
          <w:p>
            <w:r>
              <w:t>Focused MSPs 15–30% EBITDA against roughly 7% for unfocused</w:t>
            </w:r>
          </w:p>
        </w:tc>
        <w:tc>
          <w:p>
            <w:r>
              <w:t>Canalys and industry data, via Business of Tech</w:t>
            </w:r>
          </w:p>
        </w:tc>
        <w:tc>
          <w:tcPr>
            <w:tcW w:w="1100" w:type="dxa"/>
          </w:tcPr>
          <w:p>
            <w:r>
              <w:t>4 Sep 2025</w:t>
            </w:r>
          </w:p>
        </w:tc>
      </w:tr>
      <w:tr>
        <w:tc>
          <w:p>
            <w:r>
              <w:t>Agentic automation forecast</w:t>
            </w:r>
          </w:p>
        </w:tc>
        <w:tc>
          <w:p>
            <w:r>
              <w:t>80% of common customer service issues autonomously resolved by 2029, with 30% lower operating cost</w:t>
            </w:r>
          </w:p>
        </w:tc>
        <w:tc>
          <w:p>
            <w:r>
              <w:t>Gartner</w:t>
            </w:r>
          </w:p>
        </w:tc>
        <w:tc>
          <w:tcPr>
            <w:tcW w:w="1100" w:type="dxa"/>
          </w:tcPr>
          <w:p>
            <w:r>
              <w:t>5 Mar 2025</w:t>
            </w:r>
          </w:p>
        </w:tc>
      </w:tr>
      <w:tr>
        <w:tc>
          <w:p>
            <w:r>
              <w:t>Agentic project failure forecast</w:t>
            </w:r>
          </w:p>
        </w:tc>
        <w:tc>
          <w:p>
            <w:r>
              <w:t>Over 40% of agentic AI projects cancelled by end of 2027</w:t>
            </w:r>
          </w:p>
        </w:tc>
        <w:tc>
          <w:p>
            <w:r>
              <w:t>Gartner</w:t>
            </w:r>
          </w:p>
        </w:tc>
        <w:tc>
          <w:tcPr>
            <w:tcW w:w="1100" w:type="dxa"/>
          </w:tcPr>
          <w:p>
            <w:r>
              <w:t>25 Jun 2025</w:t>
            </w:r>
          </w:p>
        </w:tc>
      </w:tr>
      <w:tr>
        <w:tc>
          <w:p>
            <w:r>
              <w:t>Measured AI productivity effect</w:t>
            </w:r>
          </w:p>
        </w:tc>
        <w:tc>
          <w:p>
            <w:r>
              <w:t>15% average support agent productivity gain, concentrated in less experienced workers</w:t>
            </w:r>
          </w:p>
        </w:tc>
        <w:tc>
          <w:p>
            <w:r>
              <w:t>Brynjolfsson, Li and Raymond, Quarterly Journal of Economics</w:t>
            </w:r>
          </w:p>
        </w:tc>
        <w:tc>
          <w:tcPr>
            <w:tcW w:w="1100" w:type="dxa"/>
          </w:tcPr>
          <w:p>
            <w:r>
              <w:t>2025</w:t>
            </w:r>
          </w:p>
        </w:tc>
      </w:tr>
      <w:tr>
        <w:tc>
          <w:p>
            <w:r>
              <w:t>Counter-evidence on AI gains</w:t>
            </w:r>
          </w:p>
        </w:tc>
        <w:tc>
          <w:p>
            <w:r>
              <w:t>Experienced developers took 19% longer with AI assistance</w:t>
            </w:r>
          </w:p>
        </w:tc>
        <w:tc>
          <w:p>
            <w:r>
              <w:t>METR randomised study</w:t>
            </w:r>
          </w:p>
        </w:tc>
        <w:tc>
          <w:tcPr>
            <w:tcW w:w="1100" w:type="dxa"/>
          </w:tcPr>
          <w:p>
            <w:r>
              <w:t>10 Jul 2025</w:t>
            </w:r>
          </w:p>
        </w:tc>
      </w:tr>
      <w:tr>
        <w:tc>
          <w:p>
            <w:r>
              <w:t>Support employment outlook</w:t>
            </w:r>
          </w:p>
        </w:tc>
        <w:tc>
          <w:p>
            <w:r>
              <w:t>Computer support specialist employment projected to decline 3% from 2024 to 2034 from a base of 882,300 jobs</w:t>
            </w:r>
          </w:p>
        </w:tc>
        <w:tc>
          <w:p>
            <w:r>
              <w:t>US Bureau of Labor Statistics</w:t>
            </w:r>
          </w:p>
        </w:tc>
        <w:tc>
          <w:tcPr>
            <w:tcW w:w="1100" w:type="dxa"/>
          </w:tcPr>
          <w:p>
            <w:r>
              <w:t>28 Aug 2025</w:t>
            </w:r>
          </w:p>
        </w:tc>
      </w:tr>
      <w:tr>
        <w:tc>
          <w:p>
            <w:r>
              <w:t>Microsoft scale and AI position</w:t>
            </w:r>
          </w:p>
        </w:tc>
        <w:tc>
          <w:p>
            <w:r>
              <w:t>FY2026 revenue $331.8bn (+18%); Azure past $100bn; Microsoft 365 Copilot over 30 million paid seats</w:t>
            </w:r>
          </w:p>
        </w:tc>
        <w:tc>
          <w:p>
            <w:r>
              <w:t>Microsoft FY2026 Q4 earnings release</w:t>
            </w:r>
          </w:p>
        </w:tc>
        <w:tc>
          <w:tcPr>
            <w:tcW w:w="1100" w:type="dxa"/>
          </w:tcPr>
          <w:p>
            <w:r>
              <w:t>29 Jul 2026</w:t>
            </w:r>
          </w:p>
        </w:tc>
      </w:tr>
      <w:tr>
        <w:tc>
          <w:p>
            <w:r>
              <w:t>Security services growth</w:t>
            </w:r>
          </w:p>
        </w:tc>
        <w:tc>
          <w:p>
            <w:r>
              <w:t>Cybersecurity managed services roughly $70bn in 2023 growing about 15%; total security services +13% to $163bn against products +10% to $87bn</w:t>
            </w:r>
          </w:p>
        </w:tc>
        <w:tc>
          <w:p>
            <w:r>
              <w:t>Canalys and Omdia</w:t>
            </w:r>
          </w:p>
        </w:tc>
        <w:tc>
          <w:tcPr>
            <w:tcW w:w="1100" w:type="dxa"/>
          </w:tcPr>
          <w:p>
            <w:r>
              <w:t>2025</w:t>
            </w:r>
          </w:p>
        </w:tc>
      </w:tr>
      <w:tr>
        <w:tc>
          <w:p>
            <w:r>
              <w:t>Managed detection and response growth</w:t>
            </w:r>
          </w:p>
        </w:tc>
        <w:tc>
          <w:p>
            <w:r>
              <w:t>$3.5bn (2023) to $15.3bn (2030), a 23.5% compound rate</w:t>
            </w:r>
          </w:p>
        </w:tc>
        <w:tc>
          <w:p>
            <w:r>
              <w:t>Grand View Research</w:t>
            </w:r>
          </w:p>
        </w:tc>
        <w:tc>
          <w:tcPr>
            <w:tcW w:w="1100" w:type="dxa"/>
          </w:tcPr>
          <w:p>
            <w:r>
              <w:t>2024</w:t>
            </w:r>
          </w:p>
        </w:tc>
      </w:tr>
      <w:tr>
        <w:tc>
          <w:p>
            <w:r>
              <w:t>Consolidation activity</w:t>
            </w:r>
          </w:p>
        </w:tc>
        <w:tc>
          <w:p>
            <w:r>
              <w:t>466 MSP transactions worth $4.3bn in 2025, volume up about 20% year on year</w:t>
            </w:r>
          </w:p>
        </w:tc>
        <w:tc>
          <w:p>
            <w:r>
              <w:t>Drake Star</w:t>
            </w:r>
          </w:p>
        </w:tc>
        <w:tc>
          <w:tcPr>
            <w:tcW w:w="1100" w:type="dxa"/>
          </w:tcPr>
          <w:p>
            <w:r>
              <w:t>27 Jan 2026</w:t>
            </w:r>
          </w:p>
        </w:tc>
      </w:tr>
    </w:tbl>
    <w:p>
      <w:pPr>
        <w:pStyle w:val="Heading1"/>
      </w:pPr>
      <w:r>
        <w:t>5. Market Analysis</w:t>
      </w:r>
    </w:p>
    <w:p>
      <w:r>
        <w:t>Two evidentiary principles governed the use of this material. Where a vendor and an independent source disagreed, the independent source was used and the vendor figure was reported separately as a claim. Where two independent sources disagreed, as with the market sizing and the provider counts, the range was reported and no point estimate was manufactured by averaging incompatible definitions.</w:t>
      </w:r>
    </w:p>
    <w:p>
      <w:r>
        <w:br w:type="page"/>
      </w:r>
    </w:p>
    <w:p>
      <w:pPr>
        <w:pStyle w:val="Heading2"/>
      </w:pPr>
      <w:r>
        <w:t>5.1 Is the traditional MSP model fundamentally broken?</w:t>
      </w:r>
    </w:p>
    <w:p>
      <w:r>
        <w:t>The honest answer is that it is not broken, it is being repriced. The distinction matters commercially. A broken model loses customers; a repriced model keeps them and earns progressively less from them. The available evidence describes the second condition. Canalys forecast managed services to grow 13% in 2025 to US$595 billion globally, and reported 2024 growth of 9.7% to more than half a trillion dollars. Broader market research places the same category at $401.2 billion in 2025 growing to $847.4 billion by 2033, a 9.9% compound rate, while Drake Star cites a narrower MSP definition at $305 billion in 2024. These are not competing estimates of the same thing; they measure different scopes, and averaging them would be an error. What they agree on is the direction and approximate rate: high single to low double digit growth, sustained.</w:t>
      </w:r>
    </w:p>
    <w:p>
      <w:r>
        <w:t>Underneath that growth, the profitability data is much less comfortable. Service Leadership, whose index is the longest-running independent financial benchmark for technology solution providers, reported average worldwide MSP adjusted EBITDA falling from 12.2% in Q3 2024 to 11.1% in Q4 2024, though still above the 10.3% recorded in Q4 2023. In the same quarter 18% of MSPs reported a loss, up from 14% a quarter earlier, and worldwide managed services revenue growth was only 1.0%, the weakest reading of the year. For context, VARs in the same index recorded 5.7% adjusted EBITDA. An industry average near 11% with almost one provider in five losing money is not a picture of structural health; it is a picture of a business model operating close to its break-even point, where a single bad quarter of utilisation removes the entire profit.</w:t>
      </w:r>
    </w:p>
    <w:p>
      <w:r>
        <w:t>That is precisely what happened to professional services. Project services gross margin in the Service Leadership Index fell from 23% in Q4 2023 to 12.9% in Q4 2024, attributed to lower project team utilisation. For most conventional MSPs, project work is the swing factor between an acceptable year and an unacceptable one, because recurring contract margin is largely fixed by the contract while project margin flexes with demand. A halving of project margin in twelve months, at an industry level, indicates that the discretionary spending which historically subsidised thin recurring margins can no longer be relied upon.</w:t>
      </w:r>
    </w:p>
    <w:p>
      <w:pPr>
        <w:pStyle w:val="Heading2"/>
      </w:pPr>
      <w:r>
        <w:t>5.2 Vulnerability by service line</w:t>
      </w:r>
    </w:p>
    <w:p>
      <w:r>
        <w:t>The obsolescence question is best answered service line by service line rather than for the model as a whole, because the exposure is highly uneven. The assessment below combines the margin evidence above with the automation evidence in Section 8 and the vendor-absorption evidence in Section 7.</w:t>
      </w:r>
    </w:p>
    <w:tbl>
      <w:tblPr>
        <w:tblStyle w:val="LightShading-Accent1"/>
        <w:tblW w:w="5000" w:type="pct"/>
        <w:tblLayout w:type="fixed"/>
        <w:tblLook w:val="04A0" w:firstRow="1" w:lastRow="0" w:firstColumn="1" w:lastColumn="0" w:noHBand="0" w:noVBand="1"/>
      </w:tblPr>
      <w:tblGrid>
        <w:gridCol w:w="2160"/>
        <w:gridCol w:w="2160"/>
        <w:gridCol w:w="2160"/>
        <w:gridCol w:w="2160"/>
      </w:tblGrid>
      <w:tr>
        <w:trPr>
          <w:tblHeader/>
        </w:trPr>
        <w:tc>
          <w:p>
            <w:r>
              <w:rPr>
                <w:b/>
              </w:rPr>
              <w:t>Service line</w:t>
            </w:r>
          </w:p>
        </w:tc>
        <w:tc>
          <w:p>
            <w:r>
              <w:rPr>
                <w:b/>
              </w:rPr>
              <w:t>Primary threat</w:t>
            </w:r>
          </w:p>
        </w:tc>
        <w:tc>
          <w:p>
            <w:r>
              <w:rPr>
                <w:b/>
              </w:rPr>
              <w:t>Exposure to 2030</w:t>
            </w:r>
          </w:p>
        </w:tc>
        <w:tc>
          <w:p>
            <w:r>
              <w:rPr>
                <w:b/>
              </w:rPr>
              <w:t>Evidence anchor</w:t>
            </w:r>
          </w:p>
        </w:tc>
      </w:tr>
      <w:tr>
        <w:tc>
          <w:p>
            <w:r>
              <w:t>Level 1 help desk</w:t>
            </w:r>
          </w:p>
        </w:tc>
        <w:tc>
          <w:p>
            <w:r>
              <w:t>Agentic automation and offshore arbitrage acting together</w:t>
            </w:r>
          </w:p>
        </w:tc>
        <w:tc>
          <w:p>
            <w:r>
              <w:t>Severe</w:t>
            </w:r>
          </w:p>
        </w:tc>
        <w:tc>
          <w:p>
            <w:r>
              <w:t>Gartner 80% of common issues autonomously resolved by 2029; BLS projects support employment down 3% to 2034</w:t>
            </w:r>
          </w:p>
        </w:tc>
      </w:tr>
      <w:tr>
        <w:tc>
          <w:p>
            <w:r>
              <w:t>Monitoring and alerting</w:t>
            </w:r>
          </w:p>
        </w:tc>
        <w:tc>
          <w:p>
            <w:r>
              <w:t>Platform-native telemetry and AIOps; commoditised tooling</w:t>
            </w:r>
          </w:p>
        </w:tc>
        <w:tc>
          <w:p>
            <w:r>
              <w:t>Severe</w:t>
            </w:r>
          </w:p>
        </w:tc>
        <w:tc>
          <w:p>
            <w:r>
              <w:t>AIOps platform market forecast from $11.7bn (2023) to $32.4bn (2028), a 22.7% compound rate</w:t>
            </w:r>
          </w:p>
        </w:tc>
      </w:tr>
      <w:tr>
        <w:tc>
          <w:p>
            <w:r>
              <w:t>Patching and endpoint management</w:t>
            </w:r>
          </w:p>
        </w:tc>
        <w:tc>
          <w:p>
            <w:r>
              <w:t>Absorbed into the platform at no incremental charge</w:t>
            </w:r>
          </w:p>
        </w:tc>
        <w:tc>
          <w:p>
            <w:r>
              <w:t>Severe</w:t>
            </w:r>
          </w:p>
        </w:tc>
        <w:tc>
          <w:p>
            <w:r>
              <w:t>Windows Autopatch documented to "minimize the involvement of your scarce IT resources"; extended to Business Premium and A3+ in April 2025</w:t>
            </w:r>
          </w:p>
        </w:tc>
      </w:tr>
      <w:tr>
        <w:tc>
          <w:p>
            <w:r>
              <w:t>Licence and product resale</w:t>
            </w:r>
          </w:p>
        </w:tc>
        <w:tc>
          <w:p>
            <w:r>
              <w:t>Marketplace procurement and incentive-dependent economics</w:t>
            </w:r>
          </w:p>
        </w:tc>
        <w:tc>
          <w:p>
            <w:r>
              <w:t>High</w:t>
            </w:r>
          </w:p>
        </w:tc>
        <w:tc>
          <w:p>
            <w:r>
              <w:t>Canalys expects over 50% of hyperscaler marketplace sales via partners by 2027; distribution gross margin runs at 6–7%</w:t>
            </w:r>
          </w:p>
        </w:tc>
      </w:tr>
      <w:tr>
        <w:tc>
          <w:p>
            <w:r>
              <w:t>Infrastructure management</w:t>
            </w:r>
          </w:p>
        </w:tc>
        <w:tc>
          <w:p>
            <w:r>
              <w:t>Continued migration of the underlying estate to cloud</w:t>
            </w:r>
          </w:p>
        </w:tc>
        <w:tc>
          <w:p>
            <w:r>
              <w:t>High</w:t>
            </w:r>
          </w:p>
        </w:tc>
        <w:tc>
          <w:p>
            <w:r>
              <w:t>Kyndryl revenue down roughly 31% since 2018; DXC down roughly 42% since FY2018</w:t>
            </w:r>
          </w:p>
        </w:tc>
      </w:tr>
      <w:tr>
        <w:tc>
          <w:p>
            <w:r>
              <w:t>Project and professional services</w:t>
            </w:r>
          </w:p>
        </w:tc>
        <w:tc>
          <w:p>
            <w:r>
              <w:t>Utilisation volatility and AI-assisted delivery deflation</w:t>
            </w:r>
          </w:p>
        </w:tc>
        <w:tc>
          <w:p>
            <w:r>
              <w:t>Moderate to high</w:t>
            </w:r>
          </w:p>
        </w:tc>
        <w:tc>
          <w:p>
            <w:r>
              <w:t>Project gross margin fell 23% to 12.9% year on year; large integrators report clients seeking 20–30% price reductions</w:t>
            </w:r>
          </w:p>
        </w:tc>
      </w:tr>
      <w:tr>
        <w:tc>
          <w:p>
            <w:r>
              <w:t>Security operations, MDR and compliance</w:t>
            </w:r>
          </w:p>
        </w:tc>
        <w:tc>
          <w:p>
            <w:r>
              <w:t>Capability and scale barriers; vendor competition at the top end</w:t>
            </w:r>
          </w:p>
        </w:tc>
        <w:tc>
          <w:p>
            <w:r>
              <w:t>Low to moderate; net growth</w:t>
            </w:r>
          </w:p>
        </w:tc>
        <w:tc>
          <w:p>
            <w:r>
              <w:t>Cybersecurity managed services grew around 15% to roughly $80bn in 2024; MDR compounding at roughly 23–25%</w:t>
            </w:r>
          </w:p>
        </w:tc>
      </w:tr>
      <w:tr>
        <w:tc>
          <w:p>
            <w:r>
              <w:t>Advisory, governance and AI transformation</w:t>
            </w:r>
          </w:p>
        </w:tc>
        <w:tc>
          <w:p>
            <w:r>
              <w:t>Talent scarcity and credibility, not demand</w:t>
            </w:r>
          </w:p>
        </w:tc>
        <w:tc>
          <w:p>
            <w:r>
              <w:t>Low; net growth</w:t>
            </w:r>
          </w:p>
        </w:tc>
        <w:tc>
          <w:p>
            <w:r>
              <w:t>Microsoft found 500,000 internal agents generating 65,000 responses a day and is directing partners at agent management and governance</w:t>
            </w:r>
          </w:p>
        </w:tc>
      </w:tr>
    </w:tbl>
    <w:p>
      <w:r>
        <w:t>The pattern is unambiguous. Every service line that is priced by unit of labour or unit of device is under severe or high pressure, and every service line that is priced by risk reduction, business outcome or expertise is stable or growing. A conventional MSP whose revenue mix is weighted toward the top half of that table is, in effect, holding a portfolio of declining annuities.</w:t>
      </w:r>
    </w:p>
    <w:p>
      <w:pPr>
        <w:pStyle w:val="Heading2"/>
      </w:pPr>
      <w:r>
        <w:t>5.3 Pricing: why per-user economics are the core structural flaw</w:t>
      </w:r>
    </w:p>
    <w:p>
      <w:r>
        <w:t>Per-user pricing has become the dominant commercial model in the channel, with market observation placing typical rates at $70–$150 per user per month at 1–50 seats and $100–$250 at 75–150 seats, while break-fix and monitoring-only contracts are described as fading. Per-seat pricing solved a real problem when it was adopted: it made revenue predictable and aligned price with the size of the estate. Its flaw only becomes visible when the cost of serving a seat falls sharply.</w:t>
      </w:r>
    </w:p>
    <w:p>
      <w:r>
        <w:t>The mechanism is straightforward. Under per-seat pricing the customer's bill is a function of headcount, and the provider's cost is a function of tickets and technician hours. When automation removes technician hours, the provider's cost falls but the customer's bill does not — briefly. Competitive tender then transfers the saving to the customer, because a competing provider with the same automation can quote a lower per-seat rate and still make the same margin. Per-seat pricing therefore does not protect the provider from the deflation it experiences; it guarantees the deflation is passed through. This is the same dynamic that turned telecommunications carriers into what the industry itself calls dumb pipes: traffic grew, the cost of carrying it fell, and the revenue attached to it migrated to the parties selling outcomes over the top.</w:t>
      </w:r>
    </w:p>
    <w:p>
      <w:r>
        <w:t>The strategic implication is that AI is not, on its own, a threat to MSP profitability. AI combined with per-unit pricing is. A provider that automates 50% of Level 1 effort and continues to sell seats has handed the customer a discount. A provider that automates the same work and sells a security outcome, a compliance position or a business result has converted the same automation into gross margin. Section 6 quantifies both paths.</w:t>
      </w:r>
    </w:p>
    <w:p>
      <w:pPr>
        <w:pStyle w:val="Heading2"/>
      </w:pPr>
      <w:r>
        <w:t>5.4 Labour dependence and the end of arbitrage</w:t>
      </w:r>
    </w:p>
    <w:p>
      <w:r>
        <w:t>The labour picture is frequently misdescribed in channel discussion as a uniform shortage. It is not. ManpowerGroup's 2024 study of 40,077 employers across 41 countries found 74% reporting difficulty filling roles, rising to 76% in information technology, and identified IT and data among the hardest skills to source. At the same time the US Bureau of Labor Statistics projects employment of computer support specialists to decline 3% between 2024 and 2034 from a 2024 base of 882,300 jobs, with median pay of $61,550, and notes that most of the roughly 50,500 annual openings arise from replacement rather than growth. CompTIA's analysis of the same labour market found technology unemployment at 2.9% in July 2025.</w:t>
      </w:r>
    </w:p>
    <w:p>
      <w:r>
        <w:t>Both statements are true and their combination is the finding. Skilled security, cloud and data engineering talent is genuinely scarce and expensive. Commodity Level 1 support talent faces declining demand. An MSP whose competitive advantage rests on employing technicians efficiently is therefore exposed on both flanks: it competes for the scarce people at rising cost, and it employs the abundant people in a category the labour market itself expects to shrink.</w:t>
      </w:r>
    </w:p>
    <w:p>
      <w:r>
        <w:t>Offshore arbitrage does not resolve this. Vendor-published fully loaded rates place technical support at roughly $12–$22 per hour in India and $13–$23 in the Philippines against $50–$80 in the United States, implying offshore delivery at something like a fifth to a half of onshore cost. These figures come from a business process outsourcing vendor and should be treated as indicative rather than audited. The strategic problem is that arbitrage is a cost advantage available to every competitor and to the platform vendors themselves, and it is being overtaken by automation: an automated resolution costs materially less than even the cheapest human one, and the gap widens each year. Labour arbitrage is a decade-old advantage arriving at the end of its useful life, not a defence against what comes next.</w:t>
      </w:r>
    </w:p>
    <w:p>
      <w:pPr>
        <w:pStyle w:val="Heading2"/>
      </w:pPr>
      <w:r>
        <w:t>5.5 Customer buying behaviour</w:t>
      </w:r>
    </w:p>
    <w:p>
      <w:r>
        <w:t>Buyers are moving toward outcomes and away from inputs, and the analyst community is explicit that providers are misreading this. Gartner's position is that "a mistaken belief that buyers care only about price is blinding tech services leaders to opportunities to shift the conversation away from price toward outcomes enabled by innovation, speed and industry expertise", and it publishes separate guidance on aligning IT services contracts with business outcomes through outcome-based pricing and commercials. Canalys similarly reports that buyers now expect clear outcomes with baseline security built into the service rather than added later.</w:t>
      </w:r>
    </w:p>
    <w:p>
      <w:r>
        <w:t>This is the most encouraging finding in the report for a well-run provider, and it deserves to be read carefully by a sceptical owner. The commoditisation of managed services is not being imposed by customers demanding lower prices. It is substantially self-inflicted by providers selling an input — seats, devices, tickets, hours — that invites comparison shopping, when the same customers are willing to buy an outcome that does not. The buyer who will not pay a dollar more per seat will pay for demonstrable reduction in cyber risk, for a passed audit, for a regulatory obligation discharged, or for a measurable business process improvement. The constraint is the provider's ability to define, evidence and stand behind such an outcome.</w:t>
      </w:r>
    </w:p>
    <w:p>
      <w:pPr>
        <w:pStyle w:val="Heading2"/>
      </w:pPr>
      <w:r>
        <w:t>5.6 Consolidation, valuation and the M&amp;A supercycle</w:t>
      </w:r>
    </w:p>
    <w:p>
      <w:r>
        <w:t>Consolidation is the visible consequence of the economics described above. Drake Star recorded 466 MSP transactions worth $4.3 billion of disclosed value in 2025, with deal volume up around 20% year on year, 113 deals in the fourth quarter alone and 58% of those in Europe. In the first quarter of 2025 the same source recorded 107 transactions worth over $1 billion against $927 million a year earlier, with IT consulting service providers accounting for 77% of activity. Evergreen Services Group, backed by Alpine Investors, has completed over 100 acquisitions since its founding in 2017, growing from $6 million to over $600 million in annual revenue, with 47 deals in 2025 including 33 MSPs. N-able's chief executive summarised the effect memorably: what was seventeen MSPs a year ago is now one MSP.</w:t>
      </w:r>
    </w:p>
    <w:p>
      <w:r>
        <w:t>Valuation is a direct function of scale and revenue quality. Advisory guidance places sub-$1 million adjusted EBITDA providers at roughly three to five times, $1–$5 million at five to eight times, and platform-scale $5 million-plus assets at eight times and above. The stated value drivers are high net revenue retention, service gross margin above 50%, contract terms of 36 months or more, a recurring-to-project mix above 85%, and no single client exceeding 10% of revenue; the stated discounts are key-person dependency and client concentration. Most large buyers will only consider providers above roughly $5 million in annual revenue. These multiples come from a firm with a commercial interest in transactions and should be treated as indicative, but the structure of the incentive — scale and recurring quality command premium multiples, sub-scale generalists do not — is corroborated by the deal data.</w:t>
      </w:r>
    </w:p>
    <w:p>
      <w:r>
        <w:t>For an owner, this produces an uncomfortable but clarifying conclusion. If the intention is eventually to sell, the transformation described in this report is not an alternative to an exit strategy; it is the exit strategy, because it moves the business across the thresholds that determine whether the exit happens at three times or at eight times. If the intention is never to sell, the same transformation is what prevents the business being competitively outrun by consolidated platforms that can afford twenty-four hour security operations, dedicated compliance staff and automation investment that a fifteen-person firm cannot.</w:t>
      </w:r>
    </w:p>
    <w:p>
      <w:r>
        <w:br w:type="page"/>
      </w:r>
    </w:p>
    <w:p>
      <w:pPr>
        <w:pStyle w:val="Heading1"/>
      </w:pPr>
      <w:r>
        <w:t>6. Financial Analysis</w:t>
      </w:r>
    </w:p>
    <w:p>
      <w:pPr>
        <w:pStyle w:val="Heading2"/>
      </w:pPr>
      <w:r>
        <w:t>6.1 Model construction and stated assumptions</w:t>
      </w:r>
    </w:p>
    <w:p>
      <w:r>
        <w:t>The model below is illustrative and its purpose is to show the direction and approximate magnitude of the effects described in this report, not to forecast any individual business. It is calibrated so that the starting position reproduces the independently benchmarked industry average: a $5 million provider with 11.1% adjusted EBITDA, matching the Service Leadership Index reading for Q4 2024, and with project services gross margin set at the benchmarked 12.9%. Revenue mix, the remaining gross margins and the operating expense ratio are stated assumptions chosen to be representative rather than benchmarked, because the relevant benchmark data on revenue per employee, utilisation and effective rate is paywalled and this report does not estimate figures it cannot source.</w:t>
      </w:r>
    </w:p>
    <w:p>
      <w:r>
        <w:t>The bear case assumes the provider makes no structural change and holds per-seat pricing through 2030, with annual erosion of 4% in managed services revenue, 9% in projects, 6% in resale and 15% in break-fix, and gross margin decay in each line as competition transmits automation savings to customers. The base case assumes partial transformation: security grown to a substantial second service line, an AI and automation advisory practice established, resale deliberately de-emphasised, and automation lifting managed services gross margin. The bull case assumes full transformation including subscription intellectual property at software-like margin and outcome-based commercial terms. All arithmetic was computed programmatically; no figure in the tables below was calculated by hand.</w:t>
      </w:r>
    </w:p>
    <w:p>
      <w:pPr>
        <w:pStyle w:val="Heading2"/>
      </w:pPr>
      <w:r>
        <w:t>6.2 Baseline: the conventional provider today</w:t>
      </w:r>
    </w:p>
    <w:tbl>
      <w:tblPr>
        <w:tblStyle w:val="LightShading-Accent1"/>
        <w:tblW w:w="5000" w:type="pct"/>
        <w:tblLayout w:type="fixed"/>
        <w:tblLook w:val="04A0" w:firstRow="1" w:lastRow="0" w:firstColumn="1" w:lastColumn="0" w:noHBand="0" w:noVBand="1"/>
      </w:tblPr>
      <w:tblGrid>
        <w:gridCol w:w="1728"/>
        <w:gridCol w:w="1728"/>
        <w:gridCol w:w="1728"/>
        <w:gridCol w:w="1728"/>
        <w:gridCol w:w="1728"/>
      </w:tblGrid>
      <w:tr>
        <w:trPr>
          <w:tblHeader/>
        </w:trPr>
        <w:tc>
          <w:p>
            <w:r>
              <w:rPr>
                <w:b/>
              </w:rPr>
              <w:t>Revenue line</w:t>
            </w:r>
          </w:p>
        </w:tc>
        <w:tc>
          <w:p>
            <w:r>
              <w:rPr>
                <w:b/>
              </w:rPr>
              <w:t>Revenue</w:t>
            </w:r>
          </w:p>
        </w:tc>
        <w:tc>
          <w:p>
            <w:r>
              <w:rPr>
                <w:b/>
              </w:rPr>
              <w:t>Mix</w:t>
            </w:r>
          </w:p>
        </w:tc>
        <w:tc>
          <w:p>
            <w:r>
              <w:rPr>
                <w:b/>
              </w:rPr>
              <w:t>Gross margin</w:t>
            </w:r>
          </w:p>
        </w:tc>
        <w:tc>
          <w:p>
            <w:r>
              <w:rPr>
                <w:b/>
              </w:rPr>
              <w:t>Gross profit</w:t>
            </w:r>
          </w:p>
        </w:tc>
      </w:tr>
      <w:tr>
        <w:tc>
          <w:p>
            <w:r>
              <w:t>Managed services (per-user)</w:t>
            </w:r>
          </w:p>
        </w:tc>
        <w:tc>
          <w:p>
            <w:r>
              <w:t>$3,000,000</w:t>
            </w:r>
          </w:p>
        </w:tc>
        <w:tc>
          <w:p>
            <w:r>
              <w:t>60.0%</w:t>
            </w:r>
          </w:p>
        </w:tc>
        <w:tc>
          <w:p>
            <w:r>
              <w:t>52.0%</w:t>
            </w:r>
          </w:p>
        </w:tc>
        <w:tc>
          <w:p>
            <w:r>
              <w:t>$1,560,000</w:t>
            </w:r>
          </w:p>
        </w:tc>
      </w:tr>
      <w:tr>
        <w:tc>
          <w:p>
            <w:r>
              <w:t>Projects and professional services</w:t>
            </w:r>
          </w:p>
        </w:tc>
        <w:tc>
          <w:p>
            <w:r>
              <w:t>$900,000</w:t>
            </w:r>
          </w:p>
        </w:tc>
        <w:tc>
          <w:p>
            <w:r>
              <w:t>18.0%</w:t>
            </w:r>
          </w:p>
        </w:tc>
        <w:tc>
          <w:p>
            <w:r>
              <w:t>12.9%</w:t>
            </w:r>
          </w:p>
        </w:tc>
        <w:tc>
          <w:p>
            <w:r>
              <w:t>$116,100</w:t>
            </w:r>
          </w:p>
        </w:tc>
      </w:tr>
      <w:tr>
        <w:tc>
          <w:p>
            <w:r>
              <w:t>Product and licence resale</w:t>
            </w:r>
          </w:p>
        </w:tc>
        <w:tc>
          <w:p>
            <w:r>
              <w:t>$900,000</w:t>
            </w:r>
          </w:p>
        </w:tc>
        <w:tc>
          <w:p>
            <w:r>
              <w:t>18.0%</w:t>
            </w:r>
          </w:p>
        </w:tc>
        <w:tc>
          <w:p>
            <w:r>
              <w:t>12.0%</w:t>
            </w:r>
          </w:p>
        </w:tc>
        <w:tc>
          <w:p>
            <w:r>
              <w:t>$108,000</w:t>
            </w:r>
          </w:p>
        </w:tc>
      </w:tr>
      <w:tr>
        <w:tc>
          <w:p>
            <w:r>
              <w:t>Break-fix and time and materials</w:t>
            </w:r>
          </w:p>
        </w:tc>
        <w:tc>
          <w:p>
            <w:r>
              <w:t>$200,000</w:t>
            </w:r>
          </w:p>
        </w:tc>
        <w:tc>
          <w:p>
            <w:r>
              <w:t>4.0%</w:t>
            </w:r>
          </w:p>
        </w:tc>
        <w:tc>
          <w:p>
            <w:r>
              <w:t>55.0%</w:t>
            </w:r>
          </w:p>
        </w:tc>
        <w:tc>
          <w:p>
            <w:r>
              <w:t>$110,000</w:t>
            </w:r>
          </w:p>
        </w:tc>
      </w:tr>
      <w:tr>
        <w:tc>
          <w:p>
            <w:r>
              <w:t>Total revenue and gross profit</w:t>
            </w:r>
          </w:p>
        </w:tc>
        <w:tc>
          <w:p>
            <w:r>
              <w:t>$5,000,000</w:t>
            </w:r>
          </w:p>
        </w:tc>
        <w:tc>
          <w:p>
            <w:r>
              <w:t>100.0%</w:t>
            </w:r>
          </w:p>
        </w:tc>
        <w:tc>
          <w:p>
            <w:r>
              <w:t>37.9%</w:t>
            </w:r>
          </w:p>
        </w:tc>
        <w:tc>
          <w:p>
            <w:r>
              <w:t>$1,894,100</w:t>
            </w:r>
          </w:p>
        </w:tc>
      </w:tr>
      <w:tr>
        <w:tc>
          <w:p>
            <w:r>
              <w:t>Operating expense 26.8% of revenue; resulting adjusted EBITDA</w:t>
            </w:r>
          </w:p>
        </w:tc>
        <w:tc>
          <w:p>
            <w:r>
              <w:t>$1,340,000</w:t>
            </w:r>
          </w:p>
        </w:tc>
        <w:tc>
          <w:p/>
        </w:tc>
        <w:tc>
          <w:p>
            <w:r>
              <w:t>11.1%</w:t>
            </w:r>
          </w:p>
        </w:tc>
        <w:tc>
          <w:p>
            <w:r>
              <w:t>$554,100</w:t>
            </w:r>
          </w:p>
        </w:tc>
      </w:tr>
    </w:tbl>
    <w:p>
      <w:r>
        <w:t>The baseline exposes the first uncomfortable fact. Of $1.89 million of gross profit, $1.56 million comes from a single line — per-user managed services — which is also the line most exposed to automation and price competition. Resale and projects together account for 36% of revenue and 12% of gross profit. The business looks diversified by revenue and is highly concentrated by profit, and the concentration sits precisely where the pressure is.</w:t>
      </w:r>
    </w:p>
    <w:p>
      <w:pPr>
        <w:pStyle w:val="Heading2"/>
      </w:pPr>
      <w:r>
        <w:t>6.3 Three futures for the same business</w:t>
      </w:r>
    </w:p>
    <w:tbl>
      <w:tblPr>
        <w:tblStyle w:val="LightShading-Accent1"/>
        <w:tblW w:w="5000" w:type="pct"/>
        <w:tblLayout w:type="fixed"/>
        <w:tblLook w:val="04A0" w:firstRow="1" w:lastRow="0" w:firstColumn="1" w:lastColumn="0" w:noHBand="0" w:noVBand="1"/>
      </w:tblPr>
      <w:tblGrid>
        <w:gridCol w:w="2160"/>
        <w:gridCol w:w="2160"/>
        <w:gridCol w:w="2160"/>
        <w:gridCol w:w="2160"/>
      </w:tblGrid>
      <w:tr>
        <w:trPr>
          <w:tblHeader/>
        </w:trPr>
        <w:tc>
          <w:p>
            <w:r>
              <w:rPr>
                <w:b/>
              </w:rPr>
              <w:t>Measure (2030)</w:t>
            </w:r>
          </w:p>
        </w:tc>
        <w:tc>
          <w:p>
            <w:r>
              <w:rPr>
                <w:b/>
              </w:rPr>
              <w:t>Bear: no transformation</w:t>
            </w:r>
          </w:p>
        </w:tc>
        <w:tc>
          <w:p>
            <w:r>
              <w:rPr>
                <w:b/>
              </w:rPr>
              <w:t>Base: partial transformation</w:t>
            </w:r>
          </w:p>
        </w:tc>
        <w:tc>
          <w:p>
            <w:r>
              <w:rPr>
                <w:b/>
              </w:rPr>
              <w:t>Bull: full transformation</w:t>
            </w:r>
          </w:p>
        </w:tc>
      </w:tr>
      <w:tr>
        <w:tc>
          <w:p>
            <w:r>
              <w:t>Revenue</w:t>
            </w:r>
          </w:p>
        </w:tc>
        <w:tc>
          <w:p>
            <w:r>
              <w:t>$3,757,002</w:t>
            </w:r>
          </w:p>
        </w:tc>
        <w:tc>
          <w:p>
            <w:r>
              <w:t>$6,200,000</w:t>
            </w:r>
          </w:p>
        </w:tc>
        <w:tc>
          <w:p>
            <w:r>
              <w:t>$8,500,000</w:t>
            </w:r>
          </w:p>
        </w:tc>
      </w:tr>
      <w:tr>
        <w:tc>
          <w:p>
            <w:r>
              <w:t>Revenue CAGR from 2025</w:t>
            </w:r>
          </w:p>
        </w:tc>
        <w:tc>
          <w:p>
            <w:r>
              <w:t>-5.6%</w:t>
            </w:r>
          </w:p>
        </w:tc>
        <w:tc>
          <w:p>
            <w:r>
              <w:t>+4.4%</w:t>
            </w:r>
          </w:p>
        </w:tc>
        <w:tc>
          <w:p>
            <w:r>
              <w:t>+11.2%</w:t>
            </w:r>
          </w:p>
        </w:tc>
      </w:tr>
      <w:tr>
        <w:tc>
          <w:p>
            <w:r>
              <w:t>Gross profit</w:t>
            </w:r>
          </w:p>
        </w:tc>
        <w:tc>
          <w:p>
            <w:r>
              <w:t>$1,236,272</w:t>
            </w:r>
          </w:p>
        </w:tc>
        <w:tc>
          <w:p>
            <w:r>
              <w:t>$2,943,000</w:t>
            </w:r>
          </w:p>
        </w:tc>
        <w:tc>
          <w:p>
            <w:r>
              <w:t>$5,051,000</w:t>
            </w:r>
          </w:p>
        </w:tc>
      </w:tr>
      <w:tr>
        <w:tc>
          <w:p>
            <w:r>
              <w:t>Gross margin</w:t>
            </w:r>
          </w:p>
        </w:tc>
        <w:tc>
          <w:p>
            <w:r>
              <w:t>32.9%</w:t>
            </w:r>
          </w:p>
        </w:tc>
        <w:tc>
          <w:p>
            <w:r>
              <w:t>47.5%</w:t>
            </w:r>
          </w:p>
        </w:tc>
        <w:tc>
          <w:p>
            <w:r>
              <w:t>59.4%</w:t>
            </w:r>
          </w:p>
        </w:tc>
      </w:tr>
      <w:tr>
        <w:tc>
          <w:p>
            <w:r>
              <w:t>Adjusted EBITDA</w:t>
            </w:r>
          </w:p>
        </w:tc>
        <w:tc>
          <w:p>
            <w:r>
              <w:t>$165,526</w:t>
            </w:r>
          </w:p>
        </w:tc>
        <w:tc>
          <w:p>
            <w:r>
              <w:t>$897,000</w:t>
            </w:r>
          </w:p>
        </w:tc>
        <w:tc>
          <w:p>
            <w:r>
              <w:t>$2,246,000</w:t>
            </w:r>
          </w:p>
        </w:tc>
      </w:tr>
      <w:tr>
        <w:tc>
          <w:p>
            <w:r>
              <w:t>EBITDA margin</w:t>
            </w:r>
          </w:p>
        </w:tc>
        <w:tc>
          <w:p>
            <w:r>
              <w:t>4.4%</w:t>
            </w:r>
          </w:p>
        </w:tc>
        <w:tc>
          <w:p>
            <w:r>
              <w:t>14.5%</w:t>
            </w:r>
          </w:p>
        </w:tc>
        <w:tc>
          <w:p>
            <w:r>
              <w:t>26.4%</w:t>
            </w:r>
          </w:p>
        </w:tc>
      </w:tr>
      <w:tr>
        <w:tc>
          <w:p>
            <w:r>
              <w:t>Indicative enterprise value at the multiple the asset would attract</w:t>
            </w:r>
          </w:p>
        </w:tc>
        <w:tc>
          <w:p>
            <w:r>
              <w:t>$0.66m at 4x</w:t>
            </w:r>
          </w:p>
        </w:tc>
        <w:tc>
          <w:p>
            <w:r>
              <w:t>$5.38m at 6x</w:t>
            </w:r>
          </w:p>
        </w:tc>
        <w:tc>
          <w:p>
            <w:r>
              <w:t>$17.97m at 8x</w:t>
            </w:r>
          </w:p>
        </w:tc>
      </w:tr>
    </w:tbl>
    <w:p>
      <w:r>
        <w:t>The valuation row is where the argument for change becomes financially concrete. Today's business, at $554,100 of EBITDA and a mid-market multiple of five times, is worth roughly $2.8 million. Held unchanged to 2030 it plausibly declines to under $1 million, because it loses EBITDA and simultaneously slips into the multiple band that sub-scale, undifferentiated assets attract. Partially transformed it roughly doubles. Fully transformed it is worth on the order of $18 million, a figure driven as much by the multiple re-rating that comes with scale, recurring quality and margin as by the EBITDA growth itself. The spread between the bear and bull outcomes on the same starting business is roughly twenty-seven times.</w:t>
      </w:r>
    </w:p>
    <w:p>
      <w:r>
        <w:t>It is important to be precise about what this does and does not show. It does not show that transformation is easy, cheap or certain; the bull case implicitly assumes several years of investment in capability the business does not currently have, and a meaningful proportion of providers attempting it will not reach it. It does show that the cost of inaction is not a flat line. The conventional model is not a safe default that preserves value while the owner waits for clarity. On these assumptions it destroys roughly seventy per cent of enterprise value over five years while continuing, right up to the end, to look like a functioning business with satisfied customers.</w:t>
      </w:r>
    </w:p>
    <w:p>
      <w:pPr>
        <w:pStyle w:val="Heading2"/>
      </w:pPr>
      <w:r>
        <w:t>6.4 Unit economics of automation</w:t>
      </w:r>
    </w:p>
    <w:p>
      <w:r>
        <w:t>The aggregate model conceals the mechanism, which is best seen at ticket level. Taking a provider handling 24,000 tickets a year with 55% classified as Level 1, an average handling time of eighteen minutes and a fully loaded technician cost of $48 an hour, the Level 1 pool represents 3,960 technician hours and about $190,000 of direct cost annually. Deflecting 30% of that work saves roughly $57,000; deflecting 50% saves roughly $95,000; deflecting 70% saves roughly $133,000. On a $5 million business those savings are worth between one and two and a half points of EBITDA margin — material, but not transformational on their own.</w:t>
      </w:r>
    </w:p>
    <w:p>
      <w:r>
        <w:t>The unit cost comparison is more revealing than the aggregate saving. At a US onshore rate of $65 an hour, an eighteen-minute Level 1 ticket costs $19.50 to resolve. Offshore at $17 an hour it costs $5.10. Onshore with AI assistance at the measured 15% productivity improvement it costs $16.96. In other words, the best independently evidenced AI productivity gain applied to onshore labour does not come close to closing the offshore gap, while genuine autonomous resolution costs a fraction of either. A provider defending Level 1 delivery on the basis of AI-assisted onshore technicians is defending the most expensive of the three options.</w:t>
      </w:r>
    </w:p>
    <w:p>
      <w:r>
        <w:t>This is why the report treats Level 1 automation as a cost-defence measure rather than a growth strategy. It protects margin on work that is being repriced downward. Growth has to come from the service lines in the lower half of the vulnerability table in Section 5.2, where the buyer is purchasing risk reduction or business outcome rather than labour.</w:t>
      </w:r>
    </w:p>
    <w:p>
      <w:pPr>
        <w:pStyle w:val="Heading2"/>
      </w:pPr>
      <w:r>
        <w:t>6.5 Implications for EBITDA, valuation and M&amp;A</w:t>
      </w:r>
    </w:p>
    <w:p>
      <w:r>
        <w:t>Three financial conclusions follow. First, gross margin is the leading indicator that matters, ahead of revenue growth. In the model, the transformed business grows revenue by roughly seventy per cent while growing gross profit by roughly one hundred and sixty-seven per cent, because the mix shifts toward lines that carry 55–80% margins rather than 10–13%. Any provider tracking only top-line growth and contract count will miss the deterioration until it reaches EBITDA, which is typically two to three years too late to respond cheaply.</w:t>
      </w:r>
    </w:p>
    <w:p>
      <w:r>
        <w:t>Second, the multiple is not exogenous. Buyers pay for scale, recurring quality above 85%, service gross margin above 50%, long contract terms and the absence of key-person and client concentration risk. Each of those is a decision the owner controls, and each is improved by the same transformation that improves EBITDA. A provider that improves EBITDA without improving those characteristics captures only part of the available value; a provider that improves both is re-rated twice.</w:t>
      </w:r>
    </w:p>
    <w:p>
      <w:r>
        <w:t>Third, the consolidation wave sets a deadline that is commercial rather than technological. With 466 transactions recorded in 2025 and platforms actively targeting thirty to forty acquisitions a year each, the pool of independent providers is shrinking while the acquirers are becoming larger, better capitalised and better automated. A provider that begins transformation in 2029 will be negotiating against competitors who began in 2026 and against buyers who have already priced the difference.</w:t>
      </w:r>
    </w:p>
    <w:p>
      <w:r>
        <w:br w:type="page"/>
      </w:r>
    </w:p>
    <w:p>
      <w:pPr>
        <w:pStyle w:val="Heading1"/>
      </w:pPr>
      <w:r>
        <w:t>7. Microsoft Strategy Analysis</w:t>
      </w:r>
    </w:p>
    <w:p>
      <w:pPr>
        <w:pStyle w:val="Heading2"/>
      </w:pPr>
      <w:r>
        <w:t>7.1 The scale and direction of the platform</w:t>
      </w:r>
    </w:p>
    <w:p>
      <w:r>
        <w:t>Microsoft's own reporting establishes both the scale of the shift and its direction. For the fiscal year ended 30 June 2026 Microsoft reported revenue of $331.8 billion, up 18%, with full-year Microsoft Cloud revenue surpassing $214 billion, Azure passing $100 billion in revenue for the first time, Azure and other cloud services growing 43%, and commercial remaining performance obligation up 84% to $678 billion. Satya Nadella reported Microsoft 365 Copilot reaching over 30 million paid seats. A year earlier, FY2025 revenue was $281.7 billion, up 15%, with Azure surpassing $75 billion. In January 2025 Microsoft disclosed an AI business run rate above $13 billion, up 175% year on year, and stated it was on track to invest approximately $80 billion in AI-enabled datacentres in FY2025.</w:t>
      </w:r>
    </w:p>
    <w:p>
      <w:r>
        <w:t>The strategic framing is equally explicit. At Build 2025 Nadella described an open, scalable agentic web and a platform and systems approach across every layer of the stack. At Ignite 2025 Microsoft stated that "the future of work will be shaped by Frontier Firms — organizations that are human-led and agent-operated", reported that more than 90% of the Fortune 500 use Microsoft 365 Copilot, and introduced Agent Factory to help organisations build agents using Foundry and Copilot Studio and deploy them anywhere with no upfront licensing and provisioning required. Agent 365 was positioned as the control plane for agents, alongside an IDC projection of 1.3 billion agents by 2028 — a figure produced in a Microsoft-sponsored study and treated here as directional only.</w:t>
      </w:r>
    </w:p>
    <w:p>
      <w:pPr>
        <w:pStyle w:val="Heading2"/>
      </w:pPr>
      <w:r>
        <w:t>7.2 Where Microsoft removes partner value</w:t>
      </w:r>
    </w:p>
    <w:p>
      <w:r>
        <w:t>Several Microsoft capabilities directly absorb work that partners have historically sold. Windows Autopatch is documented by Microsoft as a cloud service that automates Windows, Microsoft 365 Apps, Edge and Teams updates, with the stated benefit that it lets IT professionals "optimize your IT admin resources" and "minimize the involvement of your scarce IT resources"; in April 2025 Microsoft removed feature activation and made the capability available to Business Premium and A3 and above licences. At Ignite 2025 Microsoft announced a dozen new and enhanced Security Copilot agents across Defender, Entra, Intune and Purview, made Security Copilot available to all Microsoft 365 E5 customers, and made Baseline Security Mode generally available using Microsoft-recommended settings to mitigate legacy risks.</w:t>
      </w:r>
    </w:p>
    <w:p>
      <w:r>
        <w:t>Each of these is individually reasonable and collectively significant. Patch management, baseline security configuration, identity hygiene and first-line security triage are among the most commonly sold components of an SMB managed services contract. When the platform performs them by default, included in a licence the customer already holds, the partner's ability to charge separately for them does not disappear overnight, but its defensibility does. The partner is then charging for supervision of an automated process, which is a legitimate service and a much harder one to price at the previous rate.</w:t>
      </w:r>
    </w:p>
    <w:p>
      <w:r>
        <w:t>The partner programme changes point the same way. The AI Cloud Partner Program replaced the legacy Silver, Gold and Action Pack structure, with 21 January 2025 the final day to purchase or renew legacy benefits, and the replacement Partner Benefits packages carry no CSP rebate or co-op incentives. Incentives are now unlocked by Solutions Partner designations: Azure rebate and co-op require an Azure Solutions Partner designation, and Copilot incentives require a Modern Work specialisation. The direction is unambiguous — Microsoft is redirecting partner economics away from transacting licences and toward demonstrated capability in the areas Microsoft is investing in.</w:t>
      </w:r>
    </w:p>
    <w:p>
      <w:pPr>
        <w:pStyle w:val="Heading2"/>
      </w:pPr>
      <w:r>
        <w:t>7.3 Where Microsoft creates partner value</w:t>
      </w:r>
    </w:p>
    <w:p>
      <w:r>
        <w:t>The counter-case is made most directly by Microsoft's own commercial leadership, and it deserves to be taken seriously rather than dismissed as partner-facing encouragement. Judson Althoff has said that after running Agent 365 internally Microsoft found 500,000 AI agents generating 65,000 responses a day, and that "the opportunity for partners around delivering a managed service to help customers get value out of their agents, tune their agents, secure their agents and govern and manage them is massive". Notably, a Microsoft partner quoted in the same coverage conceded that the AI era might commoditise the traditional MSP model as conventional IT processes become automated through agents. Both statements are true simultaneously, and together they describe the bifurcation this report identifies.</w:t>
      </w:r>
    </w:p>
    <w:p>
      <w:r>
        <w:t>Microsoft-sponsored IDC research surveying roughly 640 partners found that for every dollar of Microsoft revenue, Microsoft MSPs made $8.45 and ISVs $10.93, that partner revenues from Microsoft-related sales grew 31% in 2023, and that partners achieved gross margins of 30.7%. These figures come from a Microsoft-commissioned study and should be read as directional. What is analytically useful in them is the gap between the MSP and ISV multipliers: partners who own software and intellectual property capture materially more value per dollar of platform revenue than partners who deliver services around it. That is the same conclusion the historical analysis in Section 9 reaches by a different route.</w:t>
      </w:r>
    </w:p>
    <w:p>
      <w:pPr>
        <w:pStyle w:val="Heading2"/>
      </w:pPr>
      <w:r>
        <w:t>7.4 Net assessment of Microsoft's direction</w:t>
      </w:r>
    </w:p>
    <w:p>
      <w:r>
        <w:t>Microsoft's strategy decreases the value of traditional MSP services and increases the value of specialised partner services, and it does both deliberately. Microsoft is enabling customers to self-manage more of their environment — that is the explicit stated benefit of Autopatch, of baseline security defaults and of Copilot-driven administration. It is simultaneously creating a category of work, agent governance and security at scale, which most customers cannot self-manage and which most current MSPs cannot yet deliver. A partner whose offering is defined by the tasks Microsoft is automating faces a shrinking addressable role. A partner whose offering is defined by the outcomes Microsoft is enabling faces an expanding one, with the caveat that the expansion requires capability the partner must acquire and Microsoft will not supply.</w:t>
      </w:r>
    </w:p>
    <w:p>
      <w:pPr>
        <w:pStyle w:val="Heading2"/>
      </w:pPr>
      <w:r>
        <w:t>7.5 Hyperscaler and SaaS disintermediation beyond Microsoft</w:t>
      </w:r>
    </w:p>
    <w:p>
      <w:r>
        <w:t>The same dynamic operates across the hyperscalers, and procurement is the clearest evidence of it. Canalys and Omdia describe the growth of AWS, Azure and Google Cloud marketplaces as reshaping enterprise procurement behaviour, vendor go-to-market strategy and channel models, and forecast that more than half of hyperscaler marketplace sales will run through channel partners by 2027 as private offer models expand. The same analysis identifies distribution as facing a growing threat from those marketplaces. Reported marketplace spend of roughly $45 billion in 2025 is projected to reach $163 billion by 2030.</w:t>
      </w:r>
    </w:p>
    <w:p>
      <w:r>
        <w:t>There are two readings of this and both are defensible. The optimistic reading is that partners remain in the transaction, since the majority of marketplace sales are expected to flow through them. The pessimistic reading is that the marketplace has become the commercial infrastructure, the customer's committed cloud spend has become the currency, and the partner's role has narrowed from owning the commercial relationship to fulfilling within someone else's. AWS and Google both now sell professional services and certified managed security partners directly through their marketplaces, which places vendor-delivered services in the same catalogue, at the same moment of purchase, as partner-delivered ones. A partner whose differentiation is procurement convenience has very little left to differentiate.</w:t>
      </w:r>
    </w:p>
    <w:p>
      <w:pPr>
        <w:pStyle w:val="Heading2"/>
      </w:pPr>
      <w:r>
        <w:t>7.6 Security as a managed service</w:t>
      </w:r>
    </w:p>
    <w:p>
      <w:r>
        <w:t>Security is the strongest single growth argument available to a service provider, and the data supports it clearly. Canalys and Omdia sized cybersecurity managed services at approximately US$70 billion in 2023 with forecast growth of around 15% in 2024, and total cybersecurity services growing 13% to $163 billion in 2024 against 10% growth to $87 billion for security products — services are outgrowing product. Managed detection and response is growing considerably faster than the managed services market as a whole: Grand View Research puts MDR at $3.5 billion in 2023 rising to $15.3 billion by 2030 at a 23.5% compound rate, and other estimates run to 25%. Gartner defines MDR as remotely delivered, human-led, turnkey modern security operations centre functions delivering cyberattack disruption and containment, and predicts that by 2028 half of MDR findings will focus on or include threat exposures.</w:t>
      </w:r>
    </w:p>
    <w:p>
      <w:r>
        <w:t>Regulation is converting this demand from discretionary to obligatory. The SEC's rules effective December 2023 require public companies to disclose material cybersecurity incidents within four business days. NIS2 required EU transposition from October 2024 across roughly eighteen sectors, and DORA has applied to financial entities' ICT third-party risk since 17 January 2025. CMMC governs the US defence supply chain and the Essential Eight sets the baseline expectation in Australia. Compliance obligations of this kind create recurring, non-deferrable, board-visible demand — which is precisely the demand profile that supports premium pricing and long contracts.</w:t>
      </w:r>
    </w:p>
    <w:p>
      <w:r>
        <w:t>Two cautions apply. First, the vendors are entering this space directly: Microsoft's Defender Experts Suite provides human-led, AI-powered managed extended detection and response with proactive incident response and designated security advisors, and Microsoft is now an approved incident response partner of the specialist insurer Beazley. Generalist MSPs adding a light security wrapper will compete against that. Second, MSPs are themselves a documented attack surface. The July 2021 Kaseya VSA compromise affected as many as 1,500 small businesses through their providers, with a ransom demand of approximately $70 million, and in May 2022 the Five Eyes agencies issued a joint advisory noting increased malicious activity targeting managed service providers and urging specific contractual cybersecurity measures. Selling security while being a concentrated point of failure is a commercial position that requires genuine investment to hold.</w:t>
      </w:r>
    </w:p>
    <w:p>
      <w:r>
        <w:t>On the balance of evidence, security-focused providers should be expected to outperform generalist MSPs over the next decade on growth, margin and valuation. The market is growing roughly twice as fast, the demand is regulatory rather than discretionary, the buyer is more senior, and the capability barrier deters the undifferentiated competition that has commoditised general managed services. The qualification is that security is a capability business, not a product-attach business, and providers that treat it as the latter will find themselves reselling tooling at distribution margins while carrying incident response liability.</w:t>
      </w:r>
    </w:p>
    <w:p>
      <w:r>
        <w:br w:type="page"/>
      </w:r>
    </w:p>
    <w:p>
      <w:pPr>
        <w:pStyle w:val="Heading1"/>
      </w:pPr>
      <w:r>
        <w:t>8. AI Impact Analysis</w:t>
      </w:r>
    </w:p>
    <w:p>
      <w:pPr>
        <w:pStyle w:val="Heading2"/>
      </w:pPr>
      <w:r>
        <w:t>8.1 What the evidence actually shows</w:t>
      </w:r>
    </w:p>
    <w:p>
      <w:r>
        <w:t>The AI discussion in the channel suffers from a systematic problem: the most confident numbers come from the least independent sources. This section separates the three tiers deliberately. Gartner's headline forecast, made in March 2025, is that by 2029 agentic AI will autonomously resolve 80% of common customer service issues without human intervention, leading to a 30% reduction in operational costs. The qualifier "common" is doing significant work in that sentence: the claim concerns routine, high-volume interactions, not complex ones. Gartner's own counter-forecast, issued three months later, is that more than 40% of agentic AI projects will be cancelled by the end of 2027. Both come from the same firm and both should be carried forward.</w:t>
      </w:r>
    </w:p>
    <w:p>
      <w:r>
        <w:t>The most rigorous causal evidence available is a field experiment published in the Quarterly Journal of Economics in 2025 by Brynjolfsson, Li and Raymond, which found that AI assistance increased the productivity of support agents by 15% on average, with less experienced and lower-skilled workers improving in both speed and quality. That is a substantial and reliable effect, and it is roughly one fifth of what vendor material implies. In the opposite direction, METR's 2025 randomised study of experienced open-source developers found they took 19% longer with AI assistance, contradicting the widespread assumption that measured gains generalise to expert work. Microsoft's own controlled study of Security Copilot found professionals were 22% faster and 7% more accurate — a vendor-run study, but a properly constructed one, and its magnitudes are consistent with the academic literature rather than with marketing.</w:t>
      </w:r>
    </w:p>
    <w:p>
      <w:r>
        <w:t>Vendor claims occupy the third tier and should not be used for planning. CrowdStrike reports Charlotte AI achieving over 98% accuracy and eliminating more than forty hours of manual work per week; Palo Alto Networks reports an 80% reduction in alerts with XSIAM; ServiceNow reports Now Assist annual contract value surpassing $600 million and more than doubling year on year, which measures demand rather than deflection. The clearest publicly stated link between deflection and headcount comes from Salesforce, whose chief executive said support was reduced from 9,000 people to about 5,000, with interactions now split evenly between agents and humans, and that the company no longer actively backfills support engineer roles. That is a real data point about a very large, highly instrumented support organisation, and it should be read as an upper bound on what is currently achievable rather than as a template.</w:t>
      </w:r>
    </w:p>
    <w:p>
      <w:r>
        <w:t>Counter-evidence is significant and is reported here at full weight. MIT's NANDA research found that approximately 95% of organisations were getting zero return on generative AI pilots, a finding that is methodologically contested but directionally consistent with Gartner placing generative AI in the trough of disillusionment while AI agents sit at the peak of inflated expectations. IDC forecasts worldwide AI spending to more than double to $632 billion by 2028 at a 29% compound rate, which quantifies commitment rather than realised value.</w:t>
      </w:r>
    </w:p>
    <w:p>
      <w:pPr>
        <w:pStyle w:val="Heading2"/>
      </w:pPr>
      <w:r>
        <w:t>8.2 Automation exposure by delivery function</w:t>
      </w:r>
    </w:p>
    <w:tbl>
      <w:tblPr>
        <w:tblStyle w:val="LightShading-Accent1"/>
        <w:tblW w:w="5000" w:type="pct"/>
        <w:tblLayout w:type="fixed"/>
        <w:tblLook w:val="04A0" w:firstRow="1" w:lastRow="0" w:firstColumn="1" w:lastColumn="0" w:noHBand="0" w:noVBand="1"/>
      </w:tblPr>
      <w:tblGrid>
        <w:gridCol w:w="2160"/>
        <w:gridCol w:w="2160"/>
        <w:gridCol w:w="2160"/>
        <w:gridCol w:w="2160"/>
      </w:tblGrid>
      <w:tr>
        <w:trPr>
          <w:tblHeader/>
        </w:trPr>
        <w:tc>
          <w:p>
            <w:r>
              <w:rPr>
                <w:b/>
              </w:rPr>
              <w:t>Delivery function</w:t>
            </w:r>
          </w:p>
        </w:tc>
        <w:tc>
          <w:p>
            <w:r>
              <w:rPr>
                <w:b/>
              </w:rPr>
              <w:t>Realistic automation by 2030</w:t>
            </w:r>
          </w:p>
        </w:tc>
        <w:tc>
          <w:p>
            <w:r>
              <w:rPr>
                <w:b/>
              </w:rPr>
              <w:t>Basis</w:t>
            </w:r>
          </w:p>
        </w:tc>
        <w:tc>
          <w:p>
            <w:r>
              <w:rPr>
                <w:b/>
              </w:rPr>
              <w:t>Residual human role</w:t>
            </w:r>
          </w:p>
        </w:tc>
      </w:tr>
      <w:tr>
        <w:tc>
          <w:p>
            <w:r>
              <w:t>Level 1 support</w:t>
            </w:r>
          </w:p>
        </w:tc>
        <w:tc>
          <w:p>
            <w:r>
              <w:t>High — majority of routine, high-volume tickets</w:t>
            </w:r>
          </w:p>
        </w:tc>
        <w:tc>
          <w:p>
            <w:r>
              <w:t>Gartner 80% of common issues by 2029; Salesforce halving of human-handled interactions</w:t>
            </w:r>
          </w:p>
        </w:tc>
        <w:tc>
          <w:p>
            <w:r>
              <w:t>Exception handling, escalation judgement, relationship</w:t>
            </w:r>
          </w:p>
        </w:tc>
      </w:tr>
      <w:tr>
        <w:tc>
          <w:p>
            <w:r>
              <w:t>Level 2 support</w:t>
            </w:r>
          </w:p>
        </w:tc>
        <w:tc>
          <w:p>
            <w:r>
              <w:t>Moderate — assistive rather than autonomous</w:t>
            </w:r>
          </w:p>
        </w:tc>
        <w:tc>
          <w:p>
            <w:r>
              <w:t>Measured 15% average productivity gain, concentrated in less experienced staff</w:t>
            </w:r>
          </w:p>
        </w:tc>
        <w:tc>
          <w:p>
            <w:r>
              <w:t>Diagnosis of novel faults, vendor escalation, change risk</w:t>
            </w:r>
          </w:p>
        </w:tc>
      </w:tr>
      <w:tr>
        <w:tc>
          <w:p>
            <w:r>
              <w:t>Monitoring and triage</w:t>
            </w:r>
          </w:p>
        </w:tc>
        <w:tc>
          <w:p>
            <w:r>
              <w:t>High</w:t>
            </w:r>
          </w:p>
        </w:tc>
        <w:tc>
          <w:p>
            <w:r>
              <w:t>AIOps growing at 22.7% compound; alert reduction is the primary vendor claim</w:t>
            </w:r>
          </w:p>
        </w:tc>
        <w:tc>
          <w:p>
            <w:r>
              <w:t>Tuning, suppression governance, accountability for misses</w:t>
            </w:r>
          </w:p>
        </w:tc>
      </w:tr>
      <w:tr>
        <w:tc>
          <w:p>
            <w:r>
              <w:t>Documentation</w:t>
            </w:r>
          </w:p>
        </w:tc>
        <w:tc>
          <w:p>
            <w:r>
              <w:t>High</w:t>
            </w:r>
          </w:p>
        </w:tc>
        <w:tc>
          <w:p>
            <w:r>
              <w:t>Generative summarisation is among the most reliably delivered capabilities</w:t>
            </w:r>
          </w:p>
        </w:tc>
        <w:tc>
          <w:p>
            <w:r>
              <w:t>Accuracy verification and currency</w:t>
            </w:r>
          </w:p>
        </w:tc>
      </w:tr>
      <w:tr>
        <w:tc>
          <w:p>
            <w:r>
              <w:t>User onboarding and offboarding</w:t>
            </w:r>
          </w:p>
        </w:tc>
        <w:tc>
          <w:p>
            <w:r>
              <w:t>High</w:t>
            </w:r>
          </w:p>
        </w:tc>
        <w:tc>
          <w:p>
            <w:r>
              <w:t>Workflow automation plus identity platform capability, including Entra Agent ID</w:t>
            </w:r>
          </w:p>
        </w:tc>
        <w:tc>
          <w:p>
            <w:r>
              <w:t>Policy design, joiner-mover-leaver governance, audit evidence</w:t>
            </w:r>
          </w:p>
        </w:tc>
      </w:tr>
      <w:tr>
        <w:tc>
          <w:p>
            <w:r>
              <w:t>User training and adoption</w:t>
            </w:r>
          </w:p>
        </w:tc>
        <w:tc>
          <w:p>
            <w:r>
              <w:t>Moderate</w:t>
            </w:r>
          </w:p>
        </w:tc>
        <w:tc>
          <w:p>
            <w:r>
              <w:t>Content generation automates; behaviour change does not</w:t>
            </w:r>
          </w:p>
        </w:tc>
        <w:tc>
          <w:p>
            <w:r>
              <w:t>Change management, executive sponsorship, measurement</w:t>
            </w:r>
          </w:p>
        </w:tc>
      </w:tr>
      <w:tr>
        <w:tc>
          <w:p>
            <w:r>
              <w:t>Security operations</w:t>
            </w:r>
          </w:p>
        </w:tc>
        <w:tc>
          <w:p>
            <w:r>
              <w:t>Moderate — triage automates, response and accountability do not</w:t>
            </w:r>
          </w:p>
        </w:tc>
        <w:tc>
          <w:p>
            <w:r>
              <w:t>Microsoft Security Copilot measured at 22% faster and 7% more accurate; a dozen embedded security agents shipped</w:t>
            </w:r>
          </w:p>
        </w:tc>
        <w:tc>
          <w:p>
            <w:r>
              <w:t>Containment decisions, forensics, regulatory notification, liability</w:t>
            </w:r>
          </w:p>
        </w:tc>
      </w:tr>
      <w:tr>
        <w:tc>
          <w:p>
            <w:r>
              <w:t>Advisory, governance and architecture</w:t>
            </w:r>
          </w:p>
        </w:tc>
        <w:tc>
          <w:p>
            <w:r>
              <w:t>Low</w:t>
            </w:r>
          </w:p>
        </w:tc>
        <w:tc>
          <w:p>
            <w:r>
              <w:t>Requires accountability, context and trust that cannot currently be delegated to an agent</w:t>
            </w:r>
          </w:p>
        </w:tc>
        <w:tc>
          <w:p>
            <w:r>
              <w:t>The entire function</w:t>
            </w:r>
          </w:p>
        </w:tc>
      </w:tr>
    </w:tbl>
    <w:p>
      <w:pPr>
        <w:pStyle w:val="Heading2"/>
      </w:pPr>
      <w:r>
        <w:t>8.3 Revenue, margin and staffing consequences</w:t>
      </w:r>
    </w:p>
    <w:p>
      <w:r>
        <w:t>The IT services sector is already demonstrating what happens when AI meets labour-linked pricing, and it is doing so at a scale that removes any doubt about the mechanism. Tata Consultancy Services announced a workforce reduction of about 2%, more than 12,200 jobs, explicitly linked to AI deployment, while HFS Research reported clients demanding price reductions of 20–30%. Forrester's review of ten major services firms found a mixed picture, with Accenture's new bookings down 7% in local currency while Wipro's rose 51%, Accenture recording $900 million in generative AI bookings in a single quarter and TCS securing $100 million in AI deals, and advised buyers to maintain pricing rigour — which is analyst language for expecting AI-driven price deflation. Gartner's 2026 forecast places IT services growth at 5.3% against software at 15.5%, within total IT spending of $6.37 trillion growing 14.2%.</w:t>
      </w:r>
    </w:p>
    <w:p>
      <w:r>
        <w:t>The pattern in that data is the single most important signal in this report for a labour-based provider. Where the buyer purchases effort, AI reduces the price. Where the buyer purchases capability embedded in a product, AI increases the price. Services grow at a third of the rate of software in the same market, in the same year, driven by the same technology. The MSP that responds to AI by making its technicians more efficient is optimising the side of that equation that is deflating.</w:t>
      </w:r>
    </w:p>
    <w:p>
      <w:r>
        <w:t>The employment evidence points the same way and is now visible in official statistics rather than forecasts. The Bureau of Labor Statistics projects computer support specialist employment to decline 3% from 2024 to 2034. Stanford's Digital Economy Lab found a 16% relative decline in employment for workers aged 22 to 25 in AI-exposed occupations. The World Economic Forum's Future of Jobs 2025 projects churn equivalent to 22% of today's jobs over 2025 to 2030, with 170 million created and 92 million displaced for net growth of 78 million, and reports that 86% of employers expect AI and information processing to transform their business. For an MSP, the operational consequence is that the traditional apprenticeship pipeline — hire juniors onto the service desk, promote them into engineering — is being removed at the entry point, at the same time that senior security and cloud talent becomes more expensive.</w:t>
      </w:r>
    </w:p>
    <w:p>
      <w:pPr>
        <w:pStyle w:val="Heading2"/>
      </w:pPr>
      <w:r>
        <w:t>8.4 Best case and worst case for an individual provider</w:t>
      </w:r>
    </w:p>
    <w:p>
      <w:r>
        <w:t>In the best case, a provider deploys automation internally first, retains the resulting savings by moving customers off per-unit pricing before the market forces the price down, redeploys the freed capacity into security and advisory work at 50–80% gross margin, and reaches something close to the bull case modelled in Section 6.3: revenue growth in the low teens, EBITDA in the mid-twenties, and a re-rated valuation multiple. The evidence supports this being achievable; nothing in the research suggests it is common.</w:t>
      </w:r>
    </w:p>
    <w:p>
      <w:r>
        <w:t>In the worst case, a provider deploys automation in response to competitive pressure rather than ahead of it, retains per-seat pricing, and discovers that its cost savings are competed away within a year while its differentiation — responsiveness, familiarity, local presence — is progressively matched by consolidated competitors with better tooling. Its EBITDA declines toward the low single digits, its project revenue continues to compress, and the exit multiple falls into the three-to-five times band at exactly the point when its EBITDA is smallest. That is the bear case, and it is the default outcome of doing nothing rather than a pessimistic extreme.</w:t>
      </w:r>
    </w:p>
    <w:p>
      <w:r>
        <w:br w:type="page"/>
      </w:r>
    </w:p>
    <w:p>
      <w:pPr>
        <w:pStyle w:val="Heading1"/>
      </w:pPr>
      <w:r>
        <w:t>9. Future Industry Scenarios</w:t>
      </w:r>
    </w:p>
    <w:p>
      <w:pPr>
        <w:pStyle w:val="Heading2"/>
      </w:pPr>
      <w:r>
        <w:t>9.1 What other industries teach</w:t>
      </w:r>
    </w:p>
    <w:p>
      <w:r>
        <w:t>The most valuable evidence for the MSP question comes from outside the MSP industry, because the platform shift has already run to completion elsewhere. The consistent finding across the cases examined is value migration rather than value destruction: demand kept growing in almost every case, but the economic rent moved from the intermediary to the platform that owned the customer relationship and the intellectual property.</w:t>
      </w:r>
    </w:p>
    <w:tbl>
      <w:tblPr>
        <w:tblStyle w:val="LightShading-Accent1"/>
        <w:tblW w:w="5000" w:type="pct"/>
        <w:tblLayout w:type="fixed"/>
        <w:tblLook w:val="04A0" w:firstRow="1" w:lastRow="0" w:firstColumn="1" w:lastColumn="0" w:noHBand="0" w:noVBand="1"/>
      </w:tblPr>
      <w:tblGrid>
        <w:gridCol w:w="2880"/>
        <w:gridCol w:w="2880"/>
        <w:gridCol w:w="2880"/>
      </w:tblGrid>
      <w:tr>
        <w:trPr>
          <w:tblHeader/>
        </w:trPr>
        <w:tc>
          <w:p>
            <w:r>
              <w:rPr>
                <w:b/>
              </w:rPr>
              <w:t>Precedent</w:t>
            </w:r>
          </w:p>
        </w:tc>
        <w:tc>
          <w:p>
            <w:r>
              <w:rPr>
                <w:b/>
              </w:rPr>
              <w:t>Quantified outcome</w:t>
            </w:r>
          </w:p>
        </w:tc>
        <w:tc>
          <w:p>
            <w:r>
              <w:rPr>
                <w:b/>
              </w:rPr>
              <w:t>Relevance to MSPs</w:t>
            </w:r>
          </w:p>
        </w:tc>
      </w:tr>
      <w:tr>
        <w:tc>
          <w:p>
            <w:r>
              <w:t>Telecommunications carriers</w:t>
            </w:r>
          </w:p>
        </w:tc>
        <w:tc>
          <w:p>
            <w:r>
              <w:t>Ovum forecast US$386bn of operator losses over 2012–2018 to over-the-top VoIP; Juniper forecast over $3bn of business SMS revenue lost to OTT channels; traffic soared while ARPU stayed flat to down</w:t>
            </w:r>
          </w:p>
        </w:tc>
        <w:tc>
          <w:p>
            <w:r>
              <w:t>The canonical case of owning the delivery mechanism while someone else monetises the outcome. Per-seat support is the MSP equivalent of the metered minute.</w:t>
            </w:r>
          </w:p>
        </w:tc>
      </w:tr>
      <w:tr>
        <w:tc>
          <w:p>
            <w:r>
              <w:t>Web hosting (Rackspace)</w:t>
            </w:r>
          </w:p>
        </w:tc>
        <w:tc>
          <w:p>
            <w:r>
              <w:t>Revenue peaked at $3.12bn in 2022 and fell to $2.69bn by 2025; taken private at $4.3bn in 2016, re-listed at $21.00 in 2020, market capitalisation under $1bn by 2026</w:t>
            </w:r>
          </w:p>
        </w:tc>
        <w:tc>
          <w:p>
            <w:r>
              <w:t>The most important case in this report. Rackspace moved up the stack into multicloud managed services exactly as prescribed — and still declined.</w:t>
            </w:r>
          </w:p>
        </w:tc>
      </w:tr>
      <w:tr>
        <w:tc>
          <w:p>
            <w:r>
              <w:t>VARs and distribution</w:t>
            </w:r>
          </w:p>
        </w:tc>
        <w:tc>
          <w:p>
            <w:r>
              <w:t>TD Synnex gross margin has ranged between roughly 6.0% and 7.0% over five years; CDW gross margin fell from 21.6% to 21.0% year on year and later to 20.1% on hardware mix</w:t>
            </w:r>
          </w:p>
        </w:tc>
        <w:tc>
          <w:p>
            <w:r>
              <w:t>Product resale margin has a hard ceiling. Services attach is the only thing holding CDW at twenty per cent.</w:t>
            </w:r>
          </w:p>
        </w:tc>
      </w:tr>
      <w:tr>
        <w:tc>
          <w:p>
            <w:r>
              <w:t>Managed print</w:t>
            </w:r>
          </w:p>
        </w:tc>
        <w:tc>
          <w:p>
            <w:r>
              <w:t>Print volumes at approximately 55% of pre-pandemic levels while 76% of respondents still called print important</w:t>
            </w:r>
          </w:p>
        </w:tc>
        <w:tc>
          <w:p>
            <w:r>
              <w:t>Customers can regard a service as important and still buy far less of it. Satisfaction is not a defence against volume decline.</w:t>
            </w:r>
          </w:p>
        </w:tc>
      </w:tr>
      <w:tr>
        <w:tc>
          <w:p>
            <w:r>
              <w:t>Infrastructure outsourcers</w:t>
            </w:r>
          </w:p>
        </w:tc>
        <w:tc>
          <w:p>
            <w:r>
              <w:t>Kyndryl fell from $21.80bn (2018) to $15.09bn (FY2026); DXC from $21.73bn (FY2018) to $12.64bn (FY2026); Atos revenue fell 5.4% organically in FY2024 with headcount down 17.9% and free cash flow of minus €2,233m, requiring a €2.1bn debt reduction</w:t>
            </w:r>
          </w:p>
        </w:tc>
        <w:tc>
          <w:p>
            <w:r>
              <w:t>Scale, brand and enterprise relationships did not protect infrastructure management revenue from the cloud transition.</w:t>
            </w:r>
          </w:p>
        </w:tc>
      </w:tr>
      <w:tr>
        <w:tc>
          <w:p>
            <w:r>
              <w:t>Retail intermediaries</w:t>
            </w:r>
          </w:p>
        </w:tc>
        <w:tc>
          <w:p>
            <w:r>
              <w:t>US travel agents fell 47% from 124,000 (2000) to 65,000 (2012) before stabilising near 81,000; bank teller employment down nearly 30% since 2010 with postings down almost two thirds</w:t>
            </w:r>
          </w:p>
        </w:tc>
        <w:tc>
          <w:p>
            <w:r>
              <w:t>Intermediaries rarely vanish. They shrink to the portion of demand that genuinely needs expertise, then stabilise.</w:t>
            </w:r>
          </w:p>
        </w:tc>
      </w:tr>
    </w:tbl>
    <w:p>
      <w:r>
        <w:t>Two conclusions follow, and they pull in opposite directions, which is why both must be stated. The optimistic one is that intermediaries almost never disappear; travel agent employment stabilised at roughly two thirds of its peak once the segment of demand that valued expertise had separated from the segment that valued convenience. McKinsey's work on digital disruption found that incumbents which are more than twenty per cent digital and are launching new digital businesses while transforming the core are twice as likely to achieve organic revenue growth above 25%, hold about twenty per cent of their core markets against fifteen per cent for traditional incumbents, and see roughly twice the returns from new digital plays as from digitising the core.</w:t>
      </w:r>
    </w:p>
    <w:p>
      <w:r>
        <w:t>The pessimistic one is that repositioning is necessary but demonstrably not sufficient. Rackspace, Kyndryl and DXC all executed the standard prescription — move up the value stack, sell managed services and outcomes rather than infrastructure — and all three still lost between thirty and forty per cent of revenue. What separates the cases that grew from the cases that merely survived is ownership of defensible intellectual property or a platform, rather than the intermediation of someone else's. This is the same conclusion the Microsoft-sponsored partner economics reach from the other direction, where ISVs capture $10.93 per platform dollar against $8.45 for MSPs.</w:t>
      </w:r>
    </w:p>
    <w:p>
      <w:r>
        <w:t>There is one encouraging precedent specific to this industry. The transition from break-fix to managed services in the 2000s was a comparable business model shift, and the industry navigated it successfully into what is now a market of $400 billion or more. Break-fix is reported to represent only about 13% of MSP revenue today, though that figure comes from a vendor whitepaper and no rigorous independent count of how many firms made the transition, or how long it took them, could be located. The precedent is real and it should be weighed; it should not be leaned on quantitatively.</w:t>
      </w:r>
    </w:p>
    <w:p>
      <w:pPr>
        <w:pStyle w:val="Heading2"/>
      </w:pPr>
      <w:r>
        <w:t>9.2 Scenarios to 2030 and 2036</w:t>
      </w:r>
    </w:p>
    <w:p>
      <w:pPr>
        <w:pStyle w:val="Heading3"/>
      </w:pPr>
      <w:r>
        <w:t>9.2.1 Bull case: the model remains viable and most providers adapt</w:t>
      </w:r>
    </w:p>
    <w:p>
      <w:r>
        <w:t>In this scenario agentic automation follows the pattern of every previous productivity technology in IT services: it raises expectations of what a managed service includes rather than reducing what customers pay. Gartner's prediction that over 40% of agentic AI projects will be cancelled by 2027 proves the better guide than the 80% resolution forecast; enterprise disillusionment slows adoption; and the complexity of AI itself — governance, identity for agents, data protection, cost control — creates more billable work than automation removes. Regulatory pressure from NIS2, DORA, CMMC and equivalent regimes drives compliance demand that only providers can service. Consolidation continues but functions as an orderly market for retiring owners rather than as forced selling. Most providers add security and AI services incrementally, margins recover toward the mid teens, and the industry looks in 2030 much as it does now, with better tooling. We assess this at roughly 20% likelihood.</w:t>
      </w:r>
    </w:p>
    <w:p>
      <w:pPr>
        <w:pStyle w:val="Heading3"/>
      </w:pPr>
      <w:r>
        <w:t>9.2.2 Base case: bifurcation</w:t>
      </w:r>
    </w:p>
    <w:p>
      <w:r>
        <w:t>In the central scenario, which we assess at roughly 55% likelihood, both things happen at once. Commodity service lines — Level 1 support, monitoring, patching, resale — continue to deflate at high single digit rates annually through a combination of automation, platform absorption and offshore competition. Security, compliance, data and AI enablement grow at double the market rate. The gap between focused and unfocused providers, already 15–30% against 7% EBITDA, widens further. Consolidation accelerates and provider counts fall steadily, but the aggregate market continues to grow at high single digits. By 2030 the term MSP describes at least three distinct businesses — the automated commodity operator competing on scale and price, the security-led specialist, and the transformation advisory firm — that share a name and very little else.</w:t>
      </w:r>
    </w:p>
    <w:p>
      <w:pPr>
        <w:pStyle w:val="Heading3"/>
      </w:pPr>
      <w:r>
        <w:t>9.2.3 Bear case: rapid disintermediation</w:t>
      </w:r>
    </w:p>
    <w:p>
      <w:r>
        <w:t>In the downside scenario, assessed at roughly 25% likelihood, agentic capability matures faster than the sceptics expect and the platform vendors ship it as an included capability rather than a premium one. Microsoft's trajectory makes this credible: Security Copilot was extended to all Microsoft 365 E5 customers, Autopatch was extended to Business Premium and A3, and baseline security configuration became a default. If the same pattern extends to AI-driven administration, monitoring and first-line support, the SMB customer's need for an external provider narrows sharply within a single licensing cycle. Per-seat rates compress by twenty to thirty per cent in competitive tenders, mirroring the 20–30% price reductions large enterprise buyers are already demanding of the global integrators. Sub-scale generalist providers become unsellable rather than merely cheap, and consolidation shifts from opportunistic to distressed.</w:t>
      </w:r>
    </w:p>
    <w:p>
      <w:r>
        <w:br w:type="page"/>
      </w:r>
    </w:p>
    <w:p>
      <w:pPr>
        <w:pStyle w:val="Heading1"/>
      </w:pPr>
      <w:r>
        <w:t>10. Transformation Framework</w:t>
      </w:r>
    </w:p>
    <w:p>
      <w:pPr>
        <w:pStyle w:val="Heading2"/>
      </w:pPr>
      <w:r>
        <w:t>10.1 Ranking the opportunities</w:t>
      </w:r>
    </w:p>
    <w:p>
      <w:r>
        <w:t>The opportunities below are ranked by a composite of urgency, revenue potential, margin potential and competitive defensibility. Urgency reflects how quickly the window closes; defensibility reflects how hard the capability is for a competitor, a platform vendor or an automated substitute to replicate. Margin estimates are the modelling assumptions used in Section 6 and are illustrative rather than benchmarked.</w:t>
      </w:r>
    </w:p>
    <w:tbl>
      <w:tblPr>
        <w:tblStyle w:val="LightShading-Accent1"/>
        <w:tblW w:w="5000" w:type="pct"/>
        <w:tblLayout w:type="fixed"/>
        <w:tblLook w:val="04A0" w:firstRow="1" w:lastRow="0" w:firstColumn="1" w:lastColumn="0" w:noHBand="0" w:noVBand="1"/>
      </w:tblPr>
      <w:tblGrid>
        <w:gridCol w:w="480"/>
        <w:gridCol w:w="2600"/>
        <w:gridCol w:w="1440"/>
        <w:gridCol w:w="1440"/>
        <w:gridCol w:w="1440"/>
        <w:gridCol w:w="1440"/>
      </w:tblGrid>
      <w:tr>
        <w:trPr>
          <w:tblHeader/>
        </w:trPr>
        <w:tc>
          <w:tcPr>
            <w:tcW w:w="480" w:type="dxa"/>
          </w:tcPr>
          <w:p>
            <w:r>
              <w:rPr>
                <w:b/>
              </w:rPr>
              <w:t>#</w:t>
            </w:r>
          </w:p>
        </w:tc>
        <w:tc>
          <w:tcPr>
            <w:tcW w:w="2600" w:type="dxa"/>
          </w:tcPr>
          <w:p>
            <w:r>
              <w:rPr>
                <w:b/>
              </w:rPr>
              <w:t>Opportunity</w:t>
            </w:r>
          </w:p>
        </w:tc>
        <w:tc>
          <w:p>
            <w:r>
              <w:rPr>
                <w:b/>
              </w:rPr>
              <w:t>Urgency</w:t>
            </w:r>
          </w:p>
        </w:tc>
        <w:tc>
          <w:p>
            <w:r>
              <w:rPr>
                <w:b/>
              </w:rPr>
              <w:t>Revenue potential</w:t>
            </w:r>
          </w:p>
        </w:tc>
        <w:tc>
          <w:p>
            <w:r>
              <w:rPr>
                <w:b/>
              </w:rPr>
              <w:t>Margin potential</w:t>
            </w:r>
          </w:p>
        </w:tc>
        <w:tc>
          <w:p>
            <w:r>
              <w:rPr>
                <w:b/>
              </w:rPr>
              <w:t>Defensibility</w:t>
            </w:r>
          </w:p>
        </w:tc>
      </w:tr>
      <w:tr>
        <w:tc>
          <w:tcPr>
            <w:tcW w:w="480" w:type="dxa"/>
          </w:tcPr>
          <w:p>
            <w:r>
              <w:t>1</w:t>
            </w:r>
          </w:p>
        </w:tc>
        <w:tc>
          <w:tcPr>
            <w:tcW w:w="2600" w:type="dxa"/>
          </w:tcPr>
          <w:p>
            <w:r>
              <w:t>Security operations, managed detection and response, and identity protection as the commercial centre of the contract</w:t>
            </w:r>
          </w:p>
        </w:tc>
        <w:tc>
          <w:p>
            <w:r>
              <w:t>Immediate</w:t>
            </w:r>
          </w:p>
        </w:tc>
        <w:tc>
          <w:p>
            <w:r>
              <w:t>Very high</w:t>
            </w:r>
          </w:p>
        </w:tc>
        <w:tc>
          <w:p>
            <w:r>
              <w:t>High (55–58%)</w:t>
            </w:r>
          </w:p>
        </w:tc>
        <w:tc>
          <w:p>
            <w:r>
              <w:t>High — capability and accreditation barriers deter entrants</w:t>
            </w:r>
          </w:p>
        </w:tc>
      </w:tr>
      <w:tr>
        <w:tc>
          <w:tcPr>
            <w:tcW w:w="480" w:type="dxa"/>
          </w:tcPr>
          <w:p>
            <w:r>
              <w:t>2</w:t>
            </w:r>
          </w:p>
        </w:tc>
        <w:tc>
          <w:tcPr>
            <w:tcW w:w="2600" w:type="dxa"/>
          </w:tcPr>
          <w:p>
            <w:r>
              <w:t>Compliance and regulatory attestation services (NIS2, DORA, CMMC, Essential Eight, cyber insurance requirements)</w:t>
            </w:r>
          </w:p>
        </w:tc>
        <w:tc>
          <w:p>
            <w:r>
              <w:t>Immediate</w:t>
            </w:r>
          </w:p>
        </w:tc>
        <w:tc>
          <w:p>
            <w:r>
              <w:t>High</w:t>
            </w:r>
          </w:p>
        </w:tc>
        <w:tc>
          <w:p>
            <w:r>
              <w:t>High (50–60%)</w:t>
            </w:r>
          </w:p>
        </w:tc>
        <w:tc>
          <w:p>
            <w:r>
              <w:t>High — non-deferrable, recurring, board-visible demand</w:t>
            </w:r>
          </w:p>
        </w:tc>
      </w:tr>
      <w:tr>
        <w:tc>
          <w:tcPr>
            <w:tcW w:w="480" w:type="dxa"/>
          </w:tcPr>
          <w:p>
            <w:r>
              <w:t>3</w:t>
            </w:r>
          </w:p>
        </w:tc>
        <w:tc>
          <w:tcPr>
            <w:tcW w:w="2600" w:type="dxa"/>
          </w:tcPr>
          <w:p>
            <w:r>
              <w:t>AI governance and agent operations — identity, security, lifecycle and cost control for autonomous agents</w:t>
            </w:r>
          </w:p>
        </w:tc>
        <w:tc>
          <w:p>
            <w:r>
              <w:t>High — window open now, will close</w:t>
            </w:r>
          </w:p>
        </w:tc>
        <w:tc>
          <w:p>
            <w:r>
              <w:t>High and growing</w:t>
            </w:r>
          </w:p>
        </w:tc>
        <w:tc>
          <w:p>
            <w:r>
              <w:t>High (50–55%)</w:t>
            </w:r>
          </w:p>
        </w:tc>
        <w:tc>
          <w:p>
            <w:r>
              <w:t>Moderate to high — first-mover advantage in a forming category</w:t>
            </w:r>
          </w:p>
        </w:tc>
      </w:tr>
      <w:tr>
        <w:tc>
          <w:tcPr>
            <w:tcW w:w="480" w:type="dxa"/>
          </w:tcPr>
          <w:p>
            <w:r>
              <w:t>4</w:t>
            </w:r>
          </w:p>
        </w:tc>
        <w:tc>
          <w:tcPr>
            <w:tcW w:w="2600" w:type="dxa"/>
          </w:tcPr>
          <w:p>
            <w:r>
              <w:t>Internal automation of Level 1 and monitoring, with savings retained as margin</w:t>
            </w:r>
          </w:p>
        </w:tc>
        <w:tc>
          <w:p>
            <w:r>
              <w:t>High — window is open now</w:t>
            </w:r>
          </w:p>
        </w:tc>
        <w:tc>
          <w:p>
            <w:r>
              <w:t>None directly — margin defence</w:t>
            </w:r>
          </w:p>
        </w:tc>
        <w:tc>
          <w:p>
            <w:r>
              <w:t>Protects existing margin</w:t>
            </w:r>
          </w:p>
        </w:tc>
        <w:tc>
          <w:p>
            <w:r>
              <w:t>Low — every competitor will do this; the advantage is timing</w:t>
            </w:r>
          </w:p>
        </w:tc>
      </w:tr>
      <w:tr>
        <w:tc>
          <w:tcPr>
            <w:tcW w:w="480" w:type="dxa"/>
          </w:tcPr>
          <w:p>
            <w:r>
              <w:t>5</w:t>
            </w:r>
          </w:p>
        </w:tc>
        <w:tc>
          <w:tcPr>
            <w:tcW w:w="2600" w:type="dxa"/>
          </w:tcPr>
          <w:p>
            <w:r>
              <w:t>Commercial migration from per-seat and per-device to outcome and platform pricing</w:t>
            </w:r>
          </w:p>
        </w:tc>
        <w:tc>
          <w:p>
            <w:r>
              <w:t>High — must precede automation savings reaching the market</w:t>
            </w:r>
          </w:p>
        </w:tc>
        <w:tc>
          <w:p>
            <w:r>
              <w:t>None directly; defends margin</w:t>
            </w:r>
          </w:p>
        </w:tc>
        <w:tc>
          <w:p>
            <w:r>
              <w:t>Protects existing margin</w:t>
            </w:r>
          </w:p>
        </w:tc>
        <w:tc>
          <w:p>
            <w:r>
              <w:t>Low — all competitors will do this; advantage is timing</w:t>
            </w:r>
          </w:p>
        </w:tc>
      </w:tr>
      <w:tr>
        <w:tc>
          <w:tcPr>
            <w:tcW w:w="480" w:type="dxa"/>
          </w:tcPr>
          <w:p>
            <w:r>
              <w:t>6</w:t>
            </w:r>
          </w:p>
        </w:tc>
        <w:tc>
          <w:tcPr>
            <w:tcW w:w="2600" w:type="dxa"/>
          </w:tcPr>
          <w:p>
            <w:r>
              <w:t>Business process automation and data services for a chosen vertical</w:t>
            </w:r>
          </w:p>
        </w:tc>
        <w:tc>
          <w:p>
            <w:r>
              <w:t>High — must precede automation savings reaching the market</w:t>
            </w:r>
          </w:p>
        </w:tc>
        <w:tc>
          <w:p>
            <w:r>
              <w:t>High</w:t>
            </w:r>
          </w:p>
        </w:tc>
        <w:tc>
          <w:p>
            <w:r>
              <w:t>High (50–55%)</w:t>
            </w:r>
          </w:p>
        </w:tc>
        <w:tc>
          <w:p>
            <w:r>
              <w:t>High — vertical knowledge compounds and does not transfer</w:t>
            </w:r>
          </w:p>
        </w:tc>
      </w:tr>
      <w:tr>
        <w:tc>
          <w:tcPr>
            <w:tcW w:w="480" w:type="dxa"/>
          </w:tcPr>
          <w:p>
            <w:r>
              <w:t>7</w:t>
            </w:r>
          </w:p>
        </w:tc>
        <w:tc>
          <w:tcPr>
            <w:tcW w:w="2600" w:type="dxa"/>
          </w:tcPr>
          <w:p>
            <w:r>
              <w:t>Subscription intellectual property — productised accelerators, templates, monitoring content or vertical software</w:t>
            </w:r>
          </w:p>
        </w:tc>
        <w:tc>
          <w:p>
            <w:r>
              <w:t>Medium to long term</w:t>
            </w:r>
          </w:p>
        </w:tc>
        <w:tc>
          <w:p>
            <w:r>
              <w:t>Moderate initially</w:t>
            </w:r>
          </w:p>
        </w:tc>
        <w:tc>
          <w:p>
            <w:r>
              <w:t>Very high (80%+)</w:t>
            </w:r>
          </w:p>
        </w:tc>
        <w:tc>
          <w:p>
            <w:r>
              <w:t>Very high — the only category the historical evidence shows to be durable</w:t>
            </w:r>
          </w:p>
        </w:tc>
      </w:tr>
    </w:tbl>
    <w:p>
      <w:r>
        <w:t>The ranking deliberately places internal automation fourth rather than first, which is counter-intuitive for most operators. Automation is urgent and necessary, but it is not a source of advantage because every competitor has access to the same tools on the same timeline. It defends margin on work whose price is falling. The three opportunities ranked above it change what the customer is buying, which is the only durable form of defence the historical evidence supports.</w:t>
      </w:r>
    </w:p>
    <w:p>
      <w:pPr>
        <w:pStyle w:val="Heading2"/>
      </w:pPr>
      <w:r>
        <w:t>10.2 Sequencing</w:t>
      </w:r>
    </w:p>
    <w:p>
      <w:r>
        <w:t>The order in which these moves are made matters more than the moves themselves, and one sequencing error is common and expensive: automating delivery before repricing the contract. A provider that reduces its cost to serve while still selling seats has created a temporary margin gain that competitive tendering will remove, and has simultaneously reduced its own leverage in the repricing conversation, because the customer can see that the work has become easier. Repricing should lead automation, or at minimum accompany it.</w:t>
      </w:r>
    </w:p>
    <w:p>
      <w:r>
        <w:t>The second sequencing principle is that security should be repositioned before it is expanded. Most conventional providers already deliver meaningful security work inside a bundled per-seat fee, where it is invisible, unpriced and undefended. Separating it into its own commercial line, with its own outcome definition and its own price, converts existing delivery into a defensible revenue stream without requiring new capability on day one — and it establishes the commercial precedent that makes subsequent expansion into managed detection and compliance a price increase rather than a new sale.</w:t>
      </w:r>
    </w:p>
    <w:p>
      <w:r>
        <w:br w:type="page"/>
      </w:r>
    </w:p>
    <w:p>
      <w:pPr>
        <w:pStyle w:val="Heading1"/>
      </w:pPr>
      <w:r>
        <w:t>11. Recommended Actions</w:t>
      </w:r>
    </w:p>
    <w:p>
      <w:pPr>
        <w:pStyle w:val="Heading2"/>
      </w:pPr>
      <w:r>
        <w:t>11.1 Service evolution</w:t>
      </w:r>
    </w:p>
    <w:p>
      <w:r>
        <w:t>Reposition security from an attached product to the commercial centre of the customer relationship within the next twelve months. In practice this means unbundling the security content of existing contracts into a separately priced service with a defined outcome, establishing or partnering for genuine managed detection and response capability rather than reselling a tool, and building a compliance practice around whichever regime binds your customer base. The market data supports the priority: cybersecurity managed services grew around 15% to roughly $80 billion while managed detection and response compounds in the low-to-mid twenties, against roughly 10% for managed services overall.</w:t>
      </w:r>
    </w:p>
    <w:p>
      <w:r>
        <w:t>Establish an AI advisory, governance and implementation practice while the category is still forming. The specific opportunity is not building agents, which customers and vendors will increasingly do themselves, but governing them: identity for agents, access control, data protection, cost management, lifecycle and decommissioning, and auditability. Microsoft's own internal experience of 500,000 agents generating 65,000 responses a day, and its introduction of Agent 365 as a control plane and Entra Agent ID as a first-class agent identity, define the shape of the problem. This is the closest available analogue to the position MSPs held when unmanaged Windows estates first needed professional management, and the window in which the capability is scarce is measured in a small number of years.</w:t>
      </w:r>
    </w:p>
    <w:p>
      <w:r>
        <w:t>Choose one vertical and build data and business process automation capability inside it. Vertical knowledge is the one asset in this list that cannot be bought as a product, replicated by an agent, or absorbed by a platform vendor, and it compounds with every engagement. Gartner's guidance that providers should shift the conversation toward outcomes enabled by innovation, speed and industry expertise is, in practical terms, an instruction to specialise.</w:t>
      </w:r>
    </w:p>
    <w:p>
      <w:r>
        <w:t>Begin productising. Any repeatable asset the business has built — a security baseline, an onboarding automation, a compliance evidence pack, a monitoring content set, a vertical workflow — should be developed toward a subscription product with software economics. The historical evidence is unusually clear on this point: across telecommunications, hosting, distribution and infrastructure outsourcing, the firms that merely moved up the value stack shrank, and the ones that owned defensible intellectual property did not.</w:t>
      </w:r>
    </w:p>
    <w:p>
      <w:pPr>
        <w:pStyle w:val="Heading2"/>
      </w:pPr>
      <w:r>
        <w:t>11.2 Operational evolution</w:t>
      </w:r>
    </w:p>
    <w:p>
      <w:r>
        <w:t>Adopt AI internally before selling it externally, and instrument the result honestly. The measurable target is confirmed resolution, not deflection, and not the vendor's accuracy claim: a ticket that an agent closes and that does not return within thirty days. Expect the evidence-based range rather than the marketing range — the peer-reviewed average is a 15% productivity improvement concentrated in less experienced staff, and Microsoft's own controlled study of security work found 22% faster and 7% more accurate. Plan the business on those numbers and treat anything better as upside.</w:t>
      </w:r>
    </w:p>
    <w:p>
      <w:r>
        <w:t>Rebuild the workforce model around a smaller, more senior core. The traditional pyramid — a wide base of junior service desk staff feeding a narrow engineering apex — is being undermined at the base by automation and at the apex by the cost of security and cloud talent. The Bureau of Labor Statistics projects support specialist employment to fall 3% to 2034 while Stanford finds a 16% relative employment decline for workers aged 22 to 25 in AI-exposed roles. Providers should plan for fewer, better-paid people whose work is judgement, accountability and relationship, supported by automation, and should recognise that this removes the traditional training pipeline and requires a deliberate replacement for it.</w:t>
      </w:r>
    </w:p>
    <w:p>
      <w:r>
        <w:t>Track gross margin by service line monthly and treat it as the primary health metric. In the model in Section 6, the transformed business grows gross profit two and a half times faster than revenue, and the untransformed one loses gross margin four full points before the effect is visible in EBITDA. Contract count and revenue growth will both look acceptable for two to three years after the underlying economics have turned.</w:t>
      </w:r>
    </w:p>
    <w:p>
      <w:pPr>
        <w:pStyle w:val="Heading2"/>
      </w:pPr>
      <w:r>
        <w:t>11.3 Commercial evolution</w:t>
      </w:r>
    </w:p>
    <w:p>
      <w:r>
        <w:t>The commercial recommendation is the single most consequential item in this report, and it is the one most likely to be deferred. Migrate away from per-user, per-device and ticket-linked pricing, because each of those units ties the provider's revenue to a quantity of labour that is deflating. Migrate toward outcome-based pricing tied to a defined result, platform pricing for a whole environment regardless of unit count, subscription intellectual property priced on value, and managed AI offerings priced on capability rather than seats. Gartner publishes explicit guidance on aligning IT services contracts with business outcomes through outcome-based pricing and commercials, and its position that buyers do not in fact care only about price is directly relevant to the objection most owners raise here.</w:t>
      </w:r>
    </w:p>
    <w:p>
      <w:r>
        <w:t>The realistic path is a staged one rather than a wholesale repapering. New customers should be sold on the new model from the next quarter, which establishes the reference price and the delivery pattern without renegotiating anything. Renewals should be migrated in sequence over eighteen to thirty-six months, starting with the customers where the security and compliance argument is strongest, since those are the conversations where an outcome frame is most natural and least likely to be reduced to a per-seat comparison. Contract terms should lengthen toward thirty-six months as the frame changes, which improves both the revenue quality and, per the valuation criteria in Section 5.6, the multiple.</w:t>
      </w:r>
    </w:p>
    <w:p>
      <w:pPr>
        <w:pStyle w:val="Heading2"/>
      </w:pPr>
      <w:r>
        <w:t>11.4 The first ninety days</w:t>
      </w:r>
    </w:p>
    <w:tbl>
      <w:tblPr>
        <w:tblStyle w:val="LightList-Accent1"/>
        <w:tblW w:w="5000" w:type="pct"/>
        <w:tblLayout w:type="fixed"/>
        <w:tblLook w:val="04A0" w:firstRow="1" w:lastRow="0" w:firstColumn="1" w:lastColumn="0" w:noHBand="0" w:noVBand="1"/>
      </w:tblPr>
      <w:tblGrid>
        <w:gridCol w:w="1150"/>
        <w:gridCol w:w="2880"/>
        <w:gridCol w:w="2880"/>
      </w:tblGrid>
      <w:tr>
        <w:trPr>
          <w:tblHeader/>
        </w:trPr>
        <w:tc>
          <w:tcPr>
            <w:tcW w:w="1150" w:type="dxa"/>
          </w:tcPr>
          <w:p>
            <w:r>
              <w:rPr>
                <w:b/>
              </w:rPr>
              <w:t>Timing</w:t>
            </w:r>
          </w:p>
        </w:tc>
        <w:tc>
          <w:p>
            <w:r>
              <w:rPr>
                <w:b/>
              </w:rPr>
              <w:t>Action</w:t>
            </w:r>
          </w:p>
        </w:tc>
        <w:tc>
          <w:p>
            <w:r>
              <w:rPr>
                <w:b/>
              </w:rPr>
              <w:t>Purpose</w:t>
            </w:r>
          </w:p>
        </w:tc>
      </w:tr>
      <w:tr>
        <w:tc>
          <w:tcPr>
            <w:tcW w:w="1150" w:type="dxa"/>
          </w:tcPr>
          <w:p>
            <w:r>
              <w:t>Weeks 1–2</w:t>
            </w:r>
          </w:p>
        </w:tc>
        <w:tc>
          <w:p>
            <w:r>
              <w:t>Produce a gross margin analysis by service line and by customer, and identify what proportion of gross profit comes from lines rated severe or high in the vulnerability table</w:t>
            </w:r>
          </w:p>
        </w:tc>
        <w:tc>
          <w:p>
            <w:r>
              <w:t>Establishes the actual exposure rather than the assumed one</w:t>
            </w:r>
          </w:p>
        </w:tc>
      </w:tr>
      <w:tr>
        <w:tc>
          <w:tcPr>
            <w:tcW w:w="1150" w:type="dxa"/>
          </w:tcPr>
          <w:p>
            <w:r>
              <w:t>Weeks 3–4</w:t>
            </w:r>
          </w:p>
        </w:tc>
        <w:tc>
          <w:p>
            <w:r>
              <w:t>Classify twelve months of ticket history by resolution complexity and calculate the labour cost of the routine tier</w:t>
            </w:r>
          </w:p>
        </w:tc>
        <w:tc>
          <w:p>
            <w:r>
              <w:t>Quantifies the automation exposure and the size of the margin at risk</w:t>
            </w:r>
          </w:p>
        </w:tc>
      </w:tr>
      <w:tr>
        <w:tc>
          <w:tcPr>
            <w:tcW w:w="1150" w:type="dxa"/>
          </w:tcPr>
          <w:p>
            <w:r>
              <w:t>Weeks 5–6</w:t>
            </w:r>
          </w:p>
        </w:tc>
        <w:tc>
          <w:p>
            <w:r>
              <w:t>Price the security content already being delivered inside existing bundled contracts</w:t>
            </w:r>
          </w:p>
        </w:tc>
        <w:tc>
          <w:p>
            <w:r>
              <w:t>Converts invisible delivery into a defensible priced service line</w:t>
            </w:r>
          </w:p>
        </w:tc>
      </w:tr>
      <w:tr>
        <w:tc>
          <w:tcPr>
            <w:tcW w:w="1150" w:type="dxa"/>
          </w:tcPr>
          <w:p>
            <w:r>
              <w:t>Weeks 7–8</w:t>
            </w:r>
          </w:p>
        </w:tc>
        <w:tc>
          <w:p>
            <w:r>
              <w:t>Assess client concentration, key-person dependency, recurring-to-project mix and contract length against the buyer criteria in Section 5.6</w:t>
            </w:r>
          </w:p>
        </w:tc>
        <w:tc>
          <w:p>
            <w:r>
              <w:t>Identifies which valuation discounts are self-inflicted and fixable</w:t>
            </w:r>
          </w:p>
        </w:tc>
      </w:tr>
      <w:tr>
        <w:tc>
          <w:tcPr>
            <w:tcW w:w="1150" w:type="dxa"/>
          </w:tcPr>
          <w:p>
            <w:r>
              <w:t>Weeks 9–12</w:t>
            </w:r>
          </w:p>
        </w:tc>
        <w:tc>
          <w:p>
            <w:r>
              <w:t>Design and sell one outcome-priced offer to two or three existing customers, and deploy internal automation on the single highest-volume ticket category</w:t>
            </w:r>
          </w:p>
        </w:tc>
        <w:tc>
          <w:p>
            <w:r>
              <w:t>Tests both the commercial and the operational hypothesis at low risk</w:t>
            </w:r>
          </w:p>
        </w:tc>
      </w:tr>
      <w:tr>
        <w:tc>
          <w:tcPr>
            <w:tcW w:w="1150" w:type="dxa"/>
          </w:tcPr>
          <w:p>
            <w:r>
              <w:t>Ongoing</w:t>
            </w:r>
          </w:p>
        </w:tc>
        <w:tc>
          <w:p>
            <w:r>
              <w:t>Report gross margin by service line to the board monthly alongside revenue</w:t>
            </w:r>
          </w:p>
        </w:tc>
        <w:tc>
          <w:p>
            <w:r>
              <w:t>Ensures deterioration is detected while it is still cheap to correct</w:t>
            </w:r>
          </w:p>
        </w:tc>
      </w:tr>
    </w:tbl>
    <w:p>
      <w:r>
        <w:br w:type="page"/>
      </w:r>
    </w:p>
    <w:p>
      <w:pPr>
        <w:pStyle w:val="Heading1"/>
      </w:pPr>
      <w:r>
        <w:t>12. Risks and Counterarguments</w:t>
      </w:r>
    </w:p>
    <w:p>
      <w:pPr>
        <w:pStyle w:val="Heading2"/>
      </w:pPr>
      <w:r>
        <w:t>12.1 The case that MSPs will continue to thrive</w:t>
      </w:r>
    </w:p>
    <w:p>
      <w:r>
        <w:t>The strongest argument against this report's thesis is the market data itself. Managed services grew 9.7% in 2024 and were forecast to grow 13% in 2025 to $595 billion. Providers are not losing customers; average EBITDA at 11.1% in Q4 2024 was higher than the 10.3% recorded a year earlier. A sceptical owner is entitled to point out that the industry has been told it faces extinction repeatedly — by the cloud, by direct vendor sales, by offshore outsourcing — and has grown through each of them.</w:t>
      </w:r>
    </w:p>
    <w:p>
      <w:r>
        <w:t>The second argument is that complexity reliably outruns automation. Every technology that promised to reduce IT management burden has increased it, because each layer of abstraction adds configuration, integration, security and governance work. AI is the largest such layer yet, and Microsoft's discovery of 500,000 agents in its own environment is a preview of a management problem that did not exist three years ago. Gartner's prediction that over 40% of agentic AI projects will be cancelled by the end of 2027, MIT's finding that around 95% of organisations saw zero return on generative AI pilots, and METR's finding that experienced developers were 19% slower with AI assistance all suggest the technology is considerably further from autonomous operation than vendor material implies.</w:t>
      </w:r>
    </w:p>
    <w:p>
      <w:r>
        <w:t>The third argument is relational rather than technical. Small and mid-sized businesses do not want to manage technology, and would not do so even if the tooling made it feasible. Trust, accountability and a named person who answers the phone are not features that a platform vendor sells. The travel agent precedent supports this: the occupation fell 47% but then stabilised around 81,000 in the United States rather than disappearing, as the segment of demand that valued expertise separated from the segment that valued convenience.</w:t>
      </w:r>
    </w:p>
    <w:p>
      <w:pPr>
        <w:pStyle w:val="Heading2"/>
      </w:pPr>
      <w:r>
        <w:t>12.2 The case that many MSPs will fail</w:t>
      </w:r>
    </w:p>
    <w:p>
      <w:r>
        <w:t>The counterweight begins with the observation that the reassuring statistics are industry averages, and the industry average is not available to the individual firm. Provider counts fell 0.6% while revenue grew, meaning the average provider's growth is partly the arithmetic of fewer providers dividing more revenue. Eighteen per cent of providers reported a loss in a quarter in which the industry average was profitable. Project services margin halved in a single year. Focused providers earn 15–30% EBITDA and unfocused ones earn about 7%: the average of 11.1% describes almost nobody.</w:t>
      </w:r>
    </w:p>
    <w:p>
      <w:r>
        <w:t>The second point is that the complexity argument, though correct, does not guarantee that the complexity is billable by the incumbent provider. Cloud complexity was real, and it accrued substantially to hyperscalers and specialist cloud consultancies rather than to the infrastructure outsourcers who managed the previous generation. Kyndryl and DXC operated in a growing IT market throughout the period in which they lost roughly a third and roughly two fifths of their revenue respectively. Being adjacent to growing complexity is not the same as capturing it.</w:t>
      </w:r>
    </w:p>
    <w:p>
      <w:r>
        <w:t>The third and most uncomfortable point is Rackspace. It is the closest available analogue to a managed service provider facing a platform shift, it did what strategy advice prescribes, and it went from a $4.3 billion take-private valuation to a market capitalisation under $1 billion. Transformation improved its odds and did not save its valuation. Any owner reading this report should assume that adding an AI service line to an otherwise unchanged business produces a Rackspace outcome rather than a bull case.</w:t>
      </w:r>
    </w:p>
    <w:p>
      <w:pPr>
        <w:pStyle w:val="Heading2"/>
      </w:pPr>
      <w:r>
        <w:t>12.3 Most likely outcome</w:t>
      </w:r>
    </w:p>
    <w:p>
      <w:r>
        <w:t>The estimates below are the report's judgement rather than sourced data, derived from the observed consolidation rate, the margin dispersion, the historical base rates in comparable disruptions, and the buyer scale thresholds. They are stated with deliberate imprecision because the underlying provider counts are themselves uncertain by a factor of three.</w:t>
      </w:r>
    </w:p>
    <w:tbl>
      <w:tblPr>
        <w:tblStyle w:val="LightShading-Accent1"/>
        <w:tblW w:w="5000" w:type="pct"/>
        <w:tblLayout w:type="fixed"/>
        <w:tblLook w:val="04A0" w:firstRow="1" w:lastRow="0" w:firstColumn="1" w:lastColumn="0" w:noHBand="0" w:noVBand="1"/>
      </w:tblPr>
      <w:tblGrid>
        <w:gridCol w:w="2880"/>
        <w:gridCol w:w="2880"/>
        <w:gridCol w:w="2880"/>
      </w:tblGrid>
      <w:tr>
        <w:trPr>
          <w:tblHeader/>
        </w:trPr>
        <w:tc>
          <w:p>
            <w:r>
              <w:rPr>
                <w:b/>
              </w:rPr>
              <w:t>Outcome by 2036</w:t>
            </w:r>
          </w:p>
        </w:tc>
        <w:tc>
          <w:p>
            <w:r>
              <w:rPr>
                <w:b/>
              </w:rPr>
              <w:t>Estimated share of today's providers</w:t>
            </w:r>
          </w:p>
        </w:tc>
        <w:tc>
          <w:p>
            <w:r>
              <w:rPr>
                <w:b/>
              </w:rPr>
              <w:t>Characteristics</w:t>
            </w:r>
          </w:p>
        </w:tc>
      </w:tr>
      <w:tr>
        <w:tc>
          <w:p>
            <w:r>
              <w:t>Transform successfully</w:t>
            </w:r>
          </w:p>
        </w:tc>
        <w:tc>
          <w:p>
            <w:r>
              <w:t>Roughly 20–25%</w:t>
            </w:r>
          </w:p>
        </w:tc>
        <w:tc>
          <w:p>
            <w:r>
              <w:t>Security-led or vertically specialised, outcome-priced, automated delivery, some owned intellectual property, EBITDA above 20%</w:t>
            </w:r>
          </w:p>
        </w:tc>
      </w:tr>
      <w:tr>
        <w:tc>
          <w:p>
            <w:r>
              <w:t>Absorbed through consolidation</w:t>
            </w:r>
          </w:p>
        </w:tc>
        <w:tc>
          <w:p>
            <w:r>
              <w:t>Roughly 45–55%</w:t>
            </w:r>
          </w:p>
        </w:tc>
        <w:tc>
          <w:p>
            <w:r>
              <w:t>Viable businesses acquired by platforms; owners exit at multiples determined by how much transformation they completed first</w:t>
            </w:r>
          </w:p>
        </w:tc>
      </w:tr>
      <w:tr>
        <w:tc>
          <w:p>
            <w:r>
              <w:t>Decline into marginal viability</w:t>
            </w:r>
          </w:p>
        </w:tc>
        <w:tc>
          <w:p>
            <w:r>
              <w:t>Roughly 20–25%</w:t>
            </w:r>
          </w:p>
        </w:tc>
        <w:tc>
          <w:p>
            <w:r>
              <w:t>Continue operating at low single digit margins, shrinking client bases, effectively unsellable; wind down with the owner</w:t>
            </w:r>
          </w:p>
        </w:tc>
      </w:tr>
      <w:tr>
        <w:tc>
          <w:p>
            <w:r>
              <w:t>Fail outright</w:t>
            </w:r>
          </w:p>
        </w:tc>
        <w:tc>
          <w:p>
            <w:r>
              <w:t>Under 10%</w:t>
            </w:r>
          </w:p>
        </w:tc>
        <w:tc>
          <w:p>
            <w:r>
              <w:t>Typically triggered by a security incident, a key-person loss or a concentrated client departure rather than by gradual decline</w:t>
            </w:r>
          </w:p>
        </w:tc>
      </w:tr>
    </w:tbl>
    <w:p>
      <w:r>
        <w:t>The categories most at risk are readily identified. Generalist providers below roughly $2 million in revenue face the sharpest exposure, since they sit beneath the threshold most acquirers will consider and cannot fund the security and automation investment required to compete. Providers whose revenue is predominantly per-seat support and licence resale are exposed on both the pricing and the platform-absorption dimension. Providers with service gross margin below 40%, with a single client above 10% of revenue, or with delivery dependent on two or three irreplaceable technicians carry the specific characteristics that acquirers discount and that operational shocks expose. Conversely, providers that are security-led, vertically focused, above roughly $5 million in revenue, or in possession of genuine intellectual property are comparatively well placed regardless of how the AI timeline resolves.</w:t>
      </w:r>
    </w:p>
    <w:p>
      <w:pPr>
        <w:pStyle w:val="Heading2"/>
      </w:pPr>
      <w:r>
        <w:t>12.4 What would falsify this report</w:t>
      </w:r>
    </w:p>
    <w:p>
      <w:r>
        <w:t>Intellectual honesty requires stating what evidence would overturn these conclusions. If Service Leadership Index data through 2027 and 2028 shows average MSP EBITDA rising above thirteen per cent with the gap between focused and unfocused providers narrowing rather than widening, the bifurcation thesis is wrong. If agentic AI resolution rates in production service desks plateau below thirty per cent by 2028, the automation pressure on Level 1 is materially overstated and the timeline extends well beyond this report's window. If Microsoft reverses direction and begins charging separately for capabilities it currently includes, the platform-absorption argument weakens considerably. And if MSP transaction multiples for sub-$5 million generalist providers hold at 2025 levels through 2028, the urgency argument in Section 6.5 is overstated. Each of these is observable within two to three years, and each should be monitored rather than assumed.</w:t>
      </w:r>
    </w:p>
    <w:p>
      <w:r>
        <w:br w:type="page"/>
      </w:r>
    </w:p>
    <w:p>
      <w:pPr>
        <w:pStyle w:val="Heading1"/>
      </w:pPr>
      <w:r>
        <w:t>13. Final Conclusions</w:t>
      </w:r>
    </w:p>
    <w:p>
      <w:r>
        <w:t>The question this report was asked to answer is whether the traditional MSP and TSP business model is becoming obsolete. On the evidence gathered, the answer is that the industry is not becoming obsolete but the traditional model within it is, and the distinction is the difference between a market problem and a strategy problem. Managed services demand is growing at high single to low double digit rates and shows no sign of reversing. What is failing is a specific configuration of that business: labour-leveraged delivery, per-unit pricing, help-desk-centric value, and undifferentiated positioning in a market where the platform vendor increasingly performs the underlying task for free.</w:t>
      </w:r>
    </w:p>
    <w:p>
      <w:r>
        <w:t>Is the model likely to remain viable by 2030? For providers who change what they sell, how they price it and who performs the work, yes, and on better economics than they enjoy today — the base and bull cases in Section 6 produce fourteen and a half and twenty-six per cent EBITDA respectively against an eleven per cent industry average. For providers who do not, the answer is that viability erodes rather than ends. The modelled bear case is a business still operating in 2030, still serving satisfied customers, and worth roughly a third of what it is worth today. That is the realistic downside, and its danger lies in how comfortable it feels while it is happening.</w:t>
      </w:r>
    </w:p>
    <w:p>
      <w:r>
        <w:t>Three findings deserve to survive the rest of this document. First, per-unit pricing is the structural flaw, not AI. Automation only destroys provider margin when the provider has agreed to be paid by the unit of labour that automation removes; change the pricing basis and the same automation becomes gross margin. Second, security and compliance are the highest-confidence opportunity available, growing at roughly twice the rate of general managed services, driven by regulation rather than discretion, and protected by a capability barrier that has so far deterred the commoditising competition. Third, and most soberly, the historical record shows that moving up the value stack improves survival odds without conferring immunity; Rackspace, Kyndryl and DXC each did what was prescribed and each still shrank by a third or more. What separated durable outcomes from merely survivable ones, in every case examined, was ownership of defensible intellectual property rather than the intermediation of someone else's platform.</w:t>
      </w:r>
    </w:p>
    <w:p>
      <w:r>
        <w:t>For the owner of a successful conventional managed services business who began this report sceptical, the closing argument is not that the business is failing. It is that the business is currently priced, staffed and positioned for a market that is measurably ending, and that the cost of that position compounds quietly. The evidence assembled here does not support panic. It does not support the alternative either. The window in which transformation can be funded out of a profitable existing business, rather than attempted from a position of decline, is open now and is bounded by the pace of consolidation and by how long the current pricing model holds. On the evidence, that window is a small number of years rather than a decade.</w:t>
      </w:r>
    </w:p>
    <w:p>
      <w:r>
        <w:br w:type="page"/>
      </w:r>
    </w:p>
    <w:p>
      <w:pPr>
        <w:pStyle w:val="Heading1"/>
      </w:pPr>
      <w:r>
        <w:t>14. Complete Reference List</w:t>
      </w:r>
    </w:p>
    <w:p>
      <w:r>
        <w:t>All sources were accessed during research conducted to 9 August 2026. Sources are grouped by category. Where a source is vendor-produced, vendor-sponsored or commercially interested, this is noted, consistent with the tiering described in Section 2.2.</w:t>
      </w:r>
    </w:p>
    <w:p>
      <w:pPr>
        <w:pStyle w:val="Heading2"/>
      </w:pPr>
      <w:r>
        <w:t>Industry analysts and market research</w:t>
      </w:r>
    </w:p>
    <w:p>
      <w:r>
        <w:t>Gartner, Gartner Predicts Agentic AI Will Autonomously Resolve 80% of Common Customer Service Issues Without Human Intervention by 2029, 5 March 2025. https://www.gartner.com/en/newsroom/press-releases/2025-03-05-gartner-predicts-agentic-ai-will-autonomously-resolve-80-percent-of-common-customer-service-issues-without-human-intervention-by-20290</w:t>
      </w:r>
    </w:p>
    <w:p>
      <w:r>
        <w:t>Gartner, Gartner Predicts Over 40% of Agentic AI Projects Will Be Canceled by End of 2027, 25 June 2025. https://www.gartner.com/en/newsroom/press-releases/2025-06-25-gartner-predicts-over-40-percent-of-agentic-ai-projects-will-be-canceled-by-end-of-2027</w:t>
      </w:r>
    </w:p>
    <w:p>
      <w:r>
        <w:t>Gartner, Hype Cycle for Artificial Intelligence, 8 July 2025. https://www.gartner.com/en/articles/hype-cycle-for-artificial-intelligence</w:t>
      </w:r>
    </w:p>
    <w:p>
      <w:r>
        <w:t>Gartner, Fight Commoditization in Services by Competing on Outcomes, Not Price, 3 June 2026. https://www.gartner.com/en/documents/7954073</w:t>
      </w:r>
    </w:p>
    <w:p>
      <w:r>
        <w:t>Gartner, Maximize IT Services Value With Outcome-Based Pricing and Commercials, 17 February 2026. https://www.gartner.com/en/documents/7451326</w:t>
      </w:r>
    </w:p>
    <w:p>
      <w:r>
        <w:t>Gartner, Market Guide for Managed Detection and Response Services, document 7010398. https://www.gartner.com/en/documents/7010398</w:t>
      </w:r>
    </w:p>
    <w:p>
      <w:r>
        <w:t>Gartner worldwide IT spending forecast for 2026, reported by The New Indian Express and IANS, 27 July 2026. https://www.newindianexpress.com/business/2026/Jul/27/global-it-spending-to-rise-14-to-637-trillion-in-2026-as-ai-drives-investment-gartner</w:t>
      </w:r>
    </w:p>
    <w:p>
      <w:r>
        <w:t>Canalys and Omdia, MSP Trends and Predictions 2025. https://omdia.tech.informa.com/insights/2025/canalys-msp-trends-and-predictions-2025</w:t>
      </w:r>
    </w:p>
    <w:p>
      <w:r>
        <w:t>Canalys and Omdia, Now and Next for Hyperscaler Marketplaces, 2025. https://omdia.tech.informa.com/insights/2025/now-and-next-for-hyperscaler-marketplaces</w:t>
      </w:r>
    </w:p>
    <w:p>
      <w:r>
        <w:t>Canalys and Omdia, Now and Next for Cybersecurity Managed Services, 2025. https://omdia.tech.informa.com/insights/2025/now-and-next-for-cybersecurity-managed-services</w:t>
      </w:r>
    </w:p>
    <w:p>
      <w:r>
        <w:t>Forrester, The AI Effect: What Q2 2025 Technology Services Earnings Mean for Technology Executives, 3 October 2025. https://www.forrester.com/blogs/the-ai-effect-what-q2-2025-technology-services-earnings-mean-for-technology-executives/</w:t>
      </w:r>
    </w:p>
    <w:p>
      <w:r>
        <w:t>IDC, Worldwide Spending on Artificial Intelligence Forecast to Reach $632 Billion in 2028, 19 August 2024. https://www.businesswire.com/news/home/20240819177906/en/Worldwide-Spending-on-Artificial-Intelligence-Forecast-to-Reach-%24632-Billion-in-2028-According-to-a-New-IDC-Spending-Guide</w:t>
      </w:r>
    </w:p>
    <w:p>
      <w:r>
        <w:t>Grand View Research, Managed Services Market Size and Share Report 2026 to 2033. https://www.grandviewresearch.com/industry-analysis/managed-services-market</w:t>
      </w:r>
    </w:p>
    <w:p>
      <w:r>
        <w:t>Grand View Research, Managed Detection and Response Market Report. https://www.grandviewresearch.com/industry-analysis/managed-detection-response-market-report</w:t>
      </w:r>
    </w:p>
    <w:p>
      <w:r>
        <w:t>Precedence Research, Managed Services Market, updated 27 July 2026. https://www.precedenceresearch.com/managed-services-market</w:t>
      </w:r>
    </w:p>
    <w:p>
      <w:r>
        <w:t>MarketsandMarkets, AIOps Platform Market. https://www.marketsandmarkets.com/Market-Reports/aiops-platform-market-251128836.html</w:t>
      </w:r>
    </w:p>
    <w:p>
      <w:r>
        <w:t>McKinsey and Company, Mastering the Duality of Digital: How Companies Withstand Disruption, 16 September 2019. https://www.mckinsey.com/capabilities/tech-and-ai/our-insights/mastering-the-duality-of-digital-how-companies-withstand-disruption</w:t>
      </w:r>
    </w:p>
    <w:p>
      <w:r>
        <w:t>PwC, Global Telecom Outlook 2025 to 2029. https://www.pwc.com/gx/en/1/industries/technology-media-telecom/telecom-outlook-perspectives.html</w:t>
      </w:r>
    </w:p>
    <w:p>
      <w:r>
        <w:t>Quocirca, Managed Print Services Landscape 2024, excerpt via Xerox. https://www.xerox.com/downloads/usa/en/services/report/Quocirca-MPS-2024-Excerpt-Report-Xerox.pdf</w:t>
      </w:r>
    </w:p>
    <w:p>
      <w:pPr>
        <w:pStyle w:val="Heading2"/>
      </w:pPr>
      <w:r>
        <w:t>Industry benchmarks and channel data</w:t>
      </w:r>
    </w:p>
    <w:p>
      <w:r>
        <w:t>Service Leadership, Inc. (a ConnectWise company), Service Leadership Index Q4 2024 data, 13 February 2025. https://www.connectwise.com/company/press/releases/service-leadership-index-q4-data</w:t>
      </w:r>
    </w:p>
    <w:p>
      <w:r>
        <w:t>Drake Star, MSP Market Update Q1 2025, 13 May 2025. https://www.drakestar.com/news/msp-market-update-q1-2025</w:t>
      </w:r>
    </w:p>
    <w:p>
      <w:r>
        <w:t>Drake Star, 2025 MSP M&amp;A Report, 27 January 2026. https://www.drakestar.com/news/2025-msp-ma-report-launch</w:t>
      </w:r>
    </w:p>
    <w:p>
      <w:r>
        <w:t>Business of Tech (Dave Sobel), MSP Market Expands to $500B as Provider Count Shrinks Amid Rapid Consolidation, 4 September 2025. https://businessof.tech/2025/09/04/msp-market-expands-to-500b-as-provider-count-shrinks-amid-rapid-consolidation/</w:t>
      </w:r>
    </w:p>
    <w:p>
      <w:r>
        <w:t>CompTIA, analysis of Bureau of Labor Statistics and Lightcast technology employment data, 1 August 2025. https://www.comptia.org/en-us/about-us/news/press-releases/latest-tech-employment-data-elicits-more-questions-while-answer-clarity-remains-elusive-comptia-analysis-finds/</w:t>
      </w:r>
    </w:p>
    <w:p>
      <w:r>
        <w:t>Datto and Kaseya, State of the MSP 2025 Look Ahead (vendor survey). https://www.datto.com/wp-content/uploads/dlm_uploads/DAT-2024-State-of-the-MSP-Report-1.pdf</w:t>
      </w:r>
    </w:p>
    <w:p>
      <w:r>
        <w:t>NUOPTIMA, How Much Private Equity is Paying for MSPs: Valuation Guide, updated 2 July 2026 (M&amp;A advisory; commercial interest). https://nuoptima.com/private-equity-msp-valuation-guide</w:t>
      </w:r>
    </w:p>
    <w:p>
      <w:r>
        <w:t>Gui Carlos, CFA, Evergreen Services Group Acquisition Profile, 28 March 2026. https://www.guicarlos.com/msp-ma/buyers/evergreen-services-acquisition-profile</w:t>
      </w:r>
    </w:p>
    <w:p>
      <w:r>
        <w:t>flamingo.run, MSP Pricing Models 2026 Playbook, citing the Kaseya MSP Benchmark Survey (channel media). https://www.flamingo.run/blog/msp-pricing-models</w:t>
      </w:r>
    </w:p>
    <w:p>
      <w:r>
        <w:t>Globalify, BPO Pricing 2026 (outsourcing vendor; indicative rates only). https://globalify.com/bpo-pricing</w:t>
      </w:r>
    </w:p>
    <w:p>
      <w:r>
        <w:t>Pulseway, Moving From the Break-Fix Model whitepaper (vendor source; used only with an explicit reliability caveat). https://pulseway.s3.amazonaws.com/website/pwy_msp_moving_fr_bk_fix_mdl_whitepaper.pdf</w:t>
      </w:r>
    </w:p>
    <w:p>
      <w:pPr>
        <w:pStyle w:val="Heading2"/>
      </w:pPr>
      <w:r>
        <w:t>Microsoft, hyperscalers and vendor sources</w:t>
      </w:r>
    </w:p>
    <w:p>
      <w:r>
        <w:t>Microsoft, FY2026 Fourth Quarter Earnings Release and Webcast, 29 July 2026. https://www.microsoft.com/en-us/Investor/earnings/FY-2026-Q4/press-release-webcast</w:t>
      </w:r>
    </w:p>
    <w:p>
      <w:r>
        <w:t>Microsoft, Microsoft Cloud and AI Strength Fuels Fourth Quarter Results, 30 July 2025. https://news.microsoft.com/source/2025/07/30/microsoft-cloud-and-ai-strength-fuels-fourth-quarter-results/</w:t>
      </w:r>
    </w:p>
    <w:p>
      <w:r>
        <w:t>Microsoft, FY2025 Second Quarter Earnings Release, 29 January 2025. https://www.microsoft.com/en-us/investor/earnings/fy-2025-q2/press-release-webcast</w:t>
      </w:r>
    </w:p>
    <w:p>
      <w:r>
        <w:t>Brad Smith, Microsoft, The Golden Opportunity for American AI, 3 January 2025. https://blogs.microsoft.com/on-the-issues/2025/01/03/the-golden-opportunity-for-american-ai/</w:t>
      </w:r>
    </w:p>
    <w:p>
      <w:r>
        <w:t>Microsoft, The Next Chapter of the Microsoft-OpenAI Partnership, 28 October 2025. https://blogs.microsoft.com/blog/2025/10/28/the-next-chapter-of-the-microsoft-openai-partnership/</w:t>
      </w:r>
    </w:p>
    <w:p>
      <w:r>
        <w:t>Microsoft 365 Blog, Microsoft Ignite 2025: Copilot and Agents Built to Power the Frontier Firm, 18 November 2025. https://www.microsoft.com/en-us/microsoft-365/blog/2025/11/18/microsoft-ignite-2025-copilot-and-agents-built-to-power-the-frontier-firm/</w:t>
      </w:r>
    </w:p>
    <w:p>
      <w:r>
        <w:t>Microsoft Security Blog, Ambient and Autonomous Security for the Agentic Era, 18 November 2025. https://www.microsoft.com/en-us/security/blog/2025/11/18/ambient-and-autonomous-security-for-the-agentic-era/</w:t>
      </w:r>
    </w:p>
    <w:p>
      <w:r>
        <w:t>Microsoft Learn, Windows Autopatch overview. https://learn.microsoft.com/en-us/windows/deployment/windows-autopatch/overview/windows-autopatch-overview</w:t>
      </w:r>
    </w:p>
    <w:p>
      <w:r>
        <w:t>Microsoft Learn, Microsoft Entra: What's New at Ignite 2025. https://learn.microsoft.com/en-us/entra/fundamentals/whats-new-ignite-2025</w:t>
      </w:r>
    </w:p>
    <w:p>
      <w:r>
        <w:t>Microsoft Learn, Partner Center: New Commerce license-based overview and commercial marketplace margins. https://learn.microsoft.com/en-us/partner-center/customers/new-commerce-license-based</w:t>
      </w:r>
    </w:p>
    <w:p>
      <w:r>
        <w:t>Microsoft Partner Network, New Commerce Experience and CSP programme scale. https://partner.microsoft.com/en-us/partnership/new-commerce</w:t>
      </w:r>
    </w:p>
    <w:p>
      <w:r>
        <w:t>Microsoft and IDC, AI value for partners study (Microsoft-sponsored), reported by Redmond Channel Partner, 24 September 2024. https://rcpmag.com/articles/2024/09/24/partners-microsoft-ai.aspx</w:t>
      </w:r>
    </w:p>
    <w:p>
      <w:r>
        <w:t>CRN, Microsoft Build 2025: Nadella Takes Platform and Systems Approach to the Agentic Web, 20 May 2025. https://www.crn.com/news/ai/2025/microsoft-build-2025-ceo-nadella-takes-platform-systems-approach-to-the-agentic-web</w:t>
      </w:r>
    </w:p>
    <w:p>
      <w:r>
        <w:t>CRN, Microsoft's Judson Althoff to Partners: Managed Services Are Your AI Superpower, 27 May 2026. https://www.crn.com/news/cover-story/microsoft-s-judson-althoff-to-partners-managed-services-are-your-ai-superpower</w:t>
      </w:r>
    </w:p>
    <w:p>
      <w:r>
        <w:t>ChannelE2E and TD SYNNEX, FY25 Changes in Microsoft Partner Benefits and Important Dates for Legacy Partners, 19 November 2024. https://www.channele2e.com/native/fy25-changes-in-microsoft-partner-benefits-and-important-dates-for-legacy-partners</w:t>
      </w:r>
    </w:p>
    <w:p>
      <w:r>
        <w:t>Microsoft, Microsoft Copilot for Security randomised productivity study, January 2024 (vendor-conducted, controlled design). https://www.microsoft.com/content/dam/microsoft/final/en-us/microsoft-product-and-services/microsoft-dynamics-365/pdf/Microsoft-Copilot-for-Security-productivity-findings-Whitepaper-Jan2024.pdf</w:t>
      </w:r>
    </w:p>
    <w:p>
      <w:r>
        <w:t>Amazon Web Services, AWS Marketplace Professional Services. https://aws.amazon.com/marketplace/partners/professional-services</w:t>
      </w:r>
    </w:p>
    <w:p>
      <w:r>
        <w:t>Google Cloud, Purchase Professional Services on Google Cloud Marketplace. https://cloud.google.com/blog/topics/partners/purchase-professional-services-on-google-cloud-marketplace/</w:t>
      </w:r>
    </w:p>
    <w:p>
      <w:r>
        <w:t>CrowdStrike, Charlotte AI Detection Triage press release, 13 February 2025 (vendor claim). https://www.crowdstrike.com/en-us/press-releases/crowdstrike-delivers-next-breakthrough-in-ai-powered-agentic-cybersecurity-with-charlotte-ai-detection-triage/</w:t>
      </w:r>
    </w:p>
    <w:p>
      <w:r>
        <w:t>Palo Alto Networks, Cortex XSIAM general availability announcement, 12 October 2022 (vendor claim). https://www.paloaltonetworks.com/company/press/2022/palo-alto-networks-ushers-in-the-next-generation-security-operations-center-with-general-availability-of-cortex-xsiam---the-autonomous-security-operations-platform</w:t>
      </w:r>
    </w:p>
    <w:p>
      <w:r>
        <w:t>ServiceNow, Q4 2025 earnings call transcript, 28 January 2026. https://www.fool.com/earnings/call-transcripts/2026/01/28/servicenow-now-q4-2025-earnings-call-transcript/</w:t>
      </w:r>
    </w:p>
    <w:p>
      <w:r>
        <w:t>Salesforce, support metrics and Agentforce effectiveness framework, 11 December 2025. https://www.salesforce.com/blog/support-metrics-agentforce/</w:t>
      </w:r>
    </w:p>
    <w:p>
      <w:pPr>
        <w:pStyle w:val="Heading2"/>
      </w:pPr>
      <w:r>
        <w:t>Academic, government and multilateral sources</w:t>
      </w:r>
    </w:p>
    <w:p>
      <w:r>
        <w:t>Erik Brynjolfsson, Danielle Li and Lindsey Raymond, Generative AI at Work, Quarterly Journal of Economics, volume 140 issue 2, 2025. https://academic.oup.com/qje/article/140/2/889/7990658</w:t>
      </w:r>
    </w:p>
    <w:p>
      <w:r>
        <w:t>METR, Measuring the Impact of Early-2025 AI on Experienced Open-Source Developer Productivity, 10 July 2025. https://metr.org/blog/2025-07-10-early-2025-ai-experienced-os-dev-study/</w:t>
      </w:r>
    </w:p>
    <w:p>
      <w:r>
        <w:t>Stanford Digital Economy Lab, Canaries in the Coal Mine: Six Facts About the Recent Employment Effects of Artificial Intelligence, 13 November 2025 (working paper). https://digitaleconomy.stanford.edu/publication/canaries-in-the-coal-mine-six-facts-about-the-recent-employment-effects-of-artificial-intelligence/</w:t>
      </w:r>
    </w:p>
    <w:p>
      <w:r>
        <w:t>Sida Peng and colleagues, Microsoft Research, The Impact of AI on Developer Productivity: Evidence from GitHub Copilot, February 2023. https://www.microsoft.com/en-us/research/publication/the-impact-of-ai-on-developer-productivity-evidence-from-github-copilot/</w:t>
      </w:r>
    </w:p>
    <w:p>
      <w:r>
        <w:t>GitHub, Quantifying GitHub Copilot's Impact in the Enterprise with Accenture, 13 May 2024. https://github.blog/news-insights/research/research-quantifying-github-copilots-impact-in-the-enterprise-with-accenture/</w:t>
      </w:r>
    </w:p>
    <w:p>
      <w:r>
        <w:t>MIT NANDA, The GenAI Divide: State of AI in Business, July 2025 (methodologically contested; reported with that caveat). https://aiwiki.ai/wiki/mit_genai_divide_report</w:t>
      </w:r>
    </w:p>
    <w:p>
      <w:r>
        <w:t>World Economic Forum, The Future of Jobs Report 2025, 7 January 2025. https://www.weforum.org/publications/the-future-of-jobs-report-2025/digest/</w:t>
      </w:r>
    </w:p>
    <w:p>
      <w:r>
        <w:t>US Bureau of Labor Statistics, Occupational Outlook Handbook: Computer Support Specialists, data May 2024, page modified 28 August 2025. https://www.bls.gov/ooh/computer-and-information-technology/computer-support-specialists.htm</w:t>
      </w:r>
    </w:p>
    <w:p>
      <w:r>
        <w:t>US Bureau of Labor Statistics, Occupational Employment and Wage Statistics: Travel Agents, May 2023. https://www.bls.gov/oes/2023/may/oes413041.htm</w:t>
      </w:r>
    </w:p>
    <w:p>
      <w:r>
        <w:t>ManpowerGroup, Global Talent Shortage 2024 (survey of 40,077 employers across 41 countries). https://go.manpowergroup.com/talent-shortage-2024</w:t>
      </w:r>
    </w:p>
    <w:p>
      <w:r>
        <w:t>Burning Glass Institute, The Case of the Vanishing Teller: How Banking's Entry-Level Jobs Are Transforming. https://www.burningglassinstitute.org/bginsights/the-case-of-the-vanishing-teller-how-bankings-entry-level-jobs-are-transforming</w:t>
      </w:r>
    </w:p>
    <w:p>
      <w:pPr>
        <w:pStyle w:val="Heading2"/>
      </w:pPr>
      <w:r>
        <w:t>Regulatory, security and incident sources</w:t>
      </w:r>
    </w:p>
    <w:p>
      <w:r>
        <w:t>US Securities and Exchange Commission, statement on cybersecurity disclosure requirements, 14 December 2023. https://www.sec.gov/newsroom/speeches-statements/gerding-cybersecurity-disclosure-20231214</w:t>
      </w:r>
    </w:p>
    <w:p>
      <w:r>
        <w:t>CISA, Kaseya Ransomware Attack: Guidance for Affected MSPs and Their Customers, 12 July 2021. https://www.cisa.gov/news-events/news/kaseya-ransomware-attack-guidance-affected-msps-and-their-customers</w:t>
      </w:r>
    </w:p>
    <w:p>
      <w:r>
        <w:t>CISA and Five Eyes partners, Joint Advisory AA22-131A: Protecting Against Cyber Threats to Managed Service Providers and Their Customers, 11 May 2022. https://www.cisa.gov/sites/default/files/publications/AA22-131A_Protecting_Against_Cyber_Threats_to_MSPs_and_their_Customers.pdf</w:t>
      </w:r>
    </w:p>
    <w:p>
      <w:r>
        <w:t>CBS News, reporting on the Kaseya ransomware incident scope and ransom demand, July 2021. https://www.cbsnews.com/news/ransomware-attack-hackers-70-million-demand-1500-businesses/</w:t>
      </w:r>
    </w:p>
    <w:p>
      <w:r>
        <w:t>Third Party Risk Institute, How DORA, NIS2 and SEC Rules Are Reshaping Third-Party Cyber Risk Management. https://thirdpartyriskinstitute.com/how-dora-nis2-and-sec-rules-are-reshaping-third-party-cyber-risk-management/</w:t>
      </w:r>
    </w:p>
    <w:p>
      <w:pPr>
        <w:pStyle w:val="Heading2"/>
      </w:pPr>
      <w:r>
        <w:t>Financial filings and comparable-industry sources</w:t>
      </w:r>
    </w:p>
    <w:p>
      <w:r>
        <w:t>Rackspace Technology, Fourth Quarter and Full Year 2024 Results, investor relations. https://ir.rackspace.com/news-releases/news-release-details/rackspace-technology-reports-fourth-quarter-and-full-year-2024</w:t>
      </w:r>
    </w:p>
    <w:p>
      <w:r>
        <w:t>StockAnalysis, Rackspace Technology (RXT) revenue history, aggregating public filings. https://stockanalysis.com/stocks/rxt/revenue/</w:t>
      </w:r>
    </w:p>
    <w:p>
      <w:r>
        <w:t>TechCrunch, Rackspace to Go Private After $4.3B Acquisition by Apollo, 26 August 2016. https://techcrunch.com/2016/08/26/rackspace-to-go-private-after-4-3b-acquisition-by-private-equity-firm-apollo/</w:t>
      </w:r>
    </w:p>
    <w:p>
      <w:r>
        <w:t>StockAnalysis, Kyndryl Holdings (KD) revenue history. https://stockanalysis.com/stocks/kd/revenue/</w:t>
      </w:r>
    </w:p>
    <w:p>
      <w:r>
        <w:t>CRN, Kyndryl Discloses Declining Revenue as Spin-Off From IBM Proceeds. https://www.crn.com/news/managed-services/kyndryl-discloses-declining-revenue-spin-off-from-ibm-still-planned-by-end-of-year</w:t>
      </w:r>
    </w:p>
    <w:p>
      <w:r>
        <w:t>StockAnalysis, DXC Technology (DXC) revenue history. https://stockanalysis.com/stocks/dxc/revenue/</w:t>
      </w:r>
    </w:p>
    <w:p>
      <w:r>
        <w:t>Atos, FY2024 Results, March 2025. https://atos.net/wp-content/uploads/2025/03/PR-Atos-FY-2024-results.pdf</w:t>
      </w:r>
    </w:p>
    <w:p>
      <w:r>
        <w:t>Atos, Successful Closing of the Financial Restructuring, 19 December 2024. https://atos.net/wp-content/uploads/2024/12/PR-Atos-Successful-closing-of-the-financial-restructuring-19-December-2024.pdf</w:t>
      </w:r>
    </w:p>
    <w:p>
      <w:r>
        <w:t>CDW Corporation, quarterly results, investor relations. https://investor.cdw.com/financials/quarterly-results/</w:t>
      </w:r>
    </w:p>
    <w:p>
      <w:r>
        <w:t>Macrotrends, TD SYNNEX profit margin history. https://www.macrotrends.net/stocks/charts/SNX/td-synnex/profit-margins</w:t>
      </w:r>
    </w:p>
    <w:p>
      <w:r>
        <w:t>Juniper Research, Operators to Lose $3bn in SMS Business Messaging Revenue to OTT Channels. https://www.juniperresearch.com/press/operators-to-lose-3bn-in-sms-business/</w:t>
      </w:r>
    </w:p>
    <w:p>
      <w:r>
        <w:t>Ovum forecast of operator losses to over-the-top VoIP, reported by Voice&amp;Data. https://www.voicendata.com/telcos-lose-usd386-billion/</w:t>
      </w:r>
    </w:p>
    <w:p>
      <w:r>
        <w:t>STL Partners, Telecom Growth Manifesto. https://stlpartners.com/research/ebs-telecom-growth-manifesto/</w:t>
      </w:r>
    </w:p>
    <w:p>
      <w:r>
        <w:t>The Hindu, reporting Reuters and HFS Research on TCS workforce reduction and AI-driven pricing pressure, 27 July 2025. https://www.thehindu.com/business/tcs-to-cut-workforce-by-2-affecting-more-than-12000-jobs/article69861610.ece</w:t>
      </w:r>
    </w:p>
    <w:p>
      <w:r>
        <w:t>Fox Business, Salesforce support headcount reduction attributed to AI agents, 3 September 2025. https://www.foxbusiness.com/economy/salesforce-cuts-4000-jobs-due-ai-ceo-says</w:t>
      </w:r>
    </w:p>
    <w:sectPr w:rsidR="00FC693F" w:rsidRPr="0006063C" w:rsidSect="00034616">
      <w:pgSz w:w="12240" w:h="15840"/>
      <w:pgMar w:top="1440" w:right="1800" w:bottom="1440" w:left="1800" w:header="720" w:footer="720" w:gutter="0"/>
      <w:cols w:space="720"/>
      <w:docGrid w:linePitch="360"/>
      <w:footerReference w:type="default" r:id="rId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jc w:val="center"/>
    </w:pPr>
    <w:r>
      <w:t xml:space="preserve">Is the Traditional MSP and TSP Business Model Becoming Obsolete?  |  Page </w:t>
    </w:r>
    <w:fldSimple w:instr="PAGE">
      <w:r>
        <w:t>1</w:t>
      </w:r>
    </w:fldSimple>
    <w:r>
      <w:t xml:space="preserve"> of </w:t>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D5052F6358F814D992D28385EE1BE6B" ma:contentTypeVersion="3" ma:contentTypeDescription="Create a new document." ma:contentTypeScope="" ma:versionID="4e523ba7feac41abae5805bcdbcbfa3f">
  <xsd:schema xmlns:xsd="http://www.w3.org/2001/XMLSchema" xmlns:xs="http://www.w3.org/2001/XMLSchema" xmlns:p="http://schemas.microsoft.com/office/2006/metadata/properties" xmlns:ns2="d8963cbe-69d3-4a85-9255-9a8759bba65f" targetNamespace="http://schemas.microsoft.com/office/2006/metadata/properties" ma:root="true" ma:fieldsID="ee382c760e23cefc3e353db0c0990a48" ns2:_="">
    <xsd:import namespace="d8963cbe-69d3-4a85-9255-9a8759bba65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963cbe-69d3-4a85-9255-9a8759bba6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D2801E3-0CB8-4447-9BBD-7E3918861679}"/>
</file>

<file path=customXml/itemProps3.xml><?xml version="1.0" encoding="utf-8"?>
<ds:datastoreItem xmlns:ds="http://schemas.openxmlformats.org/officeDocument/2006/customXml" ds:itemID="{3B3B6EFE-3AD9-4666-8A04-F7BCEE6D4095}"/>
</file>

<file path=customXml/itemProps4.xml><?xml version="1.0" encoding="utf-8"?>
<ds:datastoreItem xmlns:ds="http://schemas.openxmlformats.org/officeDocument/2006/customXml" ds:itemID="{A8E91B45-23E3-4805-AE89-AC38B46F2A9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the Traditional MSP/TSP Business Model Becoming Obsolete? A Strategic Research Report</dc:title>
  <dc:subject>Strategic industry analysis of managed and technology service provider business models to 2030</dc:subject>
  <dc:creator>CIAOPS</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0x0101001D5052F6358F814D992D28385EE1BE6B</vt:lpwstr>
  </property>
</Properties>
</file>